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sbw20250930_10q.htm"/>
      <w:bookmarkStart w:id="1" w:name="ksfsbw202509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w:t>
      </w:r>
      <w:r>
        <w:rPr>
          <w:rFonts w:ascii="Times New Roman" w:hAnsi="Times New Roman"/>
          <w:caps w:val="false"/>
          <w:smallCaps w:val="false"/>
          <w:sz w:val="24"/>
        </w:rPr>
        <w:t> </w:t>
      </w:r>
      <w:r>
        <w:rPr>
          <w:rFonts w:ascii="Times New Roman" w:hAnsi="Times New Roman"/>
          <w:b/>
          <w:caps w:val="false"/>
          <w:smallCaps w:val="false"/>
          <w:sz w:val="24"/>
        </w:rPr>
        <w:t>10-Q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b/>
          <w:caps w:val="false"/>
          <w:smallCaps w:val="false"/>
          <w:sz w:val="20"/>
          <w:u w:val="single"/>
        </w:rPr>
        <w:t>September 30,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to </w:t>
      </w:r>
      <w:r>
        <w:rPr>
          <w:rFonts w:ascii="Times New Roman" w:hAnsi="Times New Roman"/>
          <w:caps w:val="false"/>
          <w:smallCaps w:val="false"/>
          <w:sz w:val="20"/>
          <w:u w:val="single"/>
        </w:rPr>
        <w:t>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001-35589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u w:val="single"/>
        </w:rPr>
        <w:t>FS BANCORP,</w:t>
      </w:r>
      <w:r>
        <w:rPr>
          <w:rFonts w:ascii="Times New Roman" w:hAnsi="Times New Roman"/>
          <w:caps w:val="false"/>
          <w:smallCaps w:val="false"/>
          <w:sz w:val="24"/>
          <w:u w:val="single"/>
        </w:rPr>
        <w:t> </w:t>
      </w:r>
      <w:r>
        <w:rPr>
          <w:rFonts w:ascii="Times New Roman" w:hAnsi="Times New Roman"/>
          <w:b/>
          <w:caps w:val="false"/>
          <w:smallCaps w:val="false"/>
          <w:sz w:val="24"/>
          <w:u w:val="single"/>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45-4585178</w:t>
            </w:r>
          </w:p>
        </w:tc>
      </w:tr>
      <w:tr>
        <w:trPr/>
        <w:tc>
          <w:tcPr>
            <w:tcW w:w="48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6920 220th Street SW, Mountlake Terrace, Washington</w:t>
      </w:r>
      <w:r>
        <w:rPr>
          <w:rFonts w:ascii="Times New Roman" w:hAnsi="Times New Roman"/>
          <w:caps w:val="false"/>
          <w:smallCaps w:val="false"/>
          <w:sz w:val="20"/>
          <w:u w:val="single"/>
        </w:rPr>
        <w:t>  </w:t>
      </w:r>
      <w:r>
        <w:rPr>
          <w:rFonts w:ascii="Times New Roman" w:hAnsi="Times New Roman"/>
          <w:b/>
          <w:caps w:val="false"/>
          <w:smallCaps w:val="false"/>
          <w:sz w:val="20"/>
          <w:u w:val="single"/>
        </w:rPr>
        <w:t>98043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(425) 771</w:t>
      </w:r>
      <w:r>
        <w:rPr>
          <w:rFonts w:ascii="Times New Roman" w:hAnsi="Times New Roman"/>
          <w:caps w:val="false"/>
          <w:smallCaps w:val="false"/>
          <w:sz w:val="20"/>
          <w:u w:val="single"/>
        </w:rPr>
        <w:noBreakHyphen/>
      </w:r>
      <w:r>
        <w:rPr>
          <w:rFonts w:ascii="Times New Roman" w:hAnsi="Times New Roman"/>
          <w:b/>
          <w:caps w:val="false"/>
          <w:smallCaps w:val="false"/>
          <w:sz w:val="20"/>
          <w:u w:val="single"/>
        </w:rPr>
        <w:t>5299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400" w:type="dxa"/>
        <w:jc w:val="left"/>
        <w:tblInd w:w="0" w:type="dxa"/>
        <w:tblLayout w:type="fixed"/>
        <w:tblCellMar>
          <w:top w:w="0" w:type="dxa"/>
          <w:left w:w="0" w:type="dxa"/>
          <w:bottom w:w="28" w:type="dxa"/>
          <w:right w:w="0" w:type="dxa"/>
        </w:tblCellMar>
      </w:tblPr>
      <w:tblGrid>
        <w:gridCol w:w="3290"/>
        <w:gridCol w:w="1535"/>
        <w:gridCol w:w="3575"/>
      </w:tblGrid>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FSBW</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0"/>
        <w:gridCol w:w="6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 As of November 7, 2025, there were 7,518,462 outstanding shares of the registrant’s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85"/>
        <w:gridCol w:w="60"/>
        <w:gridCol w:w="8224"/>
        <w:gridCol w:w="60"/>
        <w:gridCol w:w="1176"/>
      </w:tblGrid>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t> </w:t>
            </w:r>
            <w:r>
              <w:rPr>
                <w:rFonts w:ascii="Times New Roman" w:hAnsi="Times New Roman"/>
                <w:b/>
                <w:caps w:val="false"/>
                <w:smallCaps w:val="false"/>
                <w:sz w:val="20"/>
              </w:rPr>
              <w:t>Number</w:t>
            </w:r>
          </w:p>
        </w:tc>
      </w:tr>
      <w:tr>
        <w:trPr/>
        <w:tc>
          <w:tcPr>
            <w:tcW w:w="685"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fs">
              <w:r>
                <w:rPr>
                  <w:rStyle w:val="InternetLink"/>
                  <w:rFonts w:ascii="Times New Roman" w:hAnsi="Times New Roman"/>
                  <w:caps w:val="false"/>
                  <w:smallCaps w:val="false"/>
                  <w:sz w:val="20"/>
                </w:rPr>
                <w:t>Item 1.</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 at September 30, 2025 (Unaudited) and December 31, 2024</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Consolidated Statements of Income for the Three and Nine Months Ended September 30, 2025 and 2024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compincome">
              <w:r>
                <w:rPr>
                  <w:rStyle w:val="InternetLink"/>
                  <w:rFonts w:ascii="Times New Roman" w:hAnsi="Times New Roman"/>
                  <w:caps w:val="false"/>
                  <w:smallCaps w:val="false"/>
                  <w:sz w:val="20"/>
                </w:rPr>
                <w:t>Consolidated Statements of Comprehensive Income for the Three and Nine Months Ended September 30, 2025 and 2024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compincome">
              <w:r>
                <w:rPr>
                  <w:rStyle w:val="InternetLink"/>
                  <w:rFonts w:ascii="Times New Roman" w:hAnsi="Times New Roman"/>
                  <w:caps w:val="false"/>
                  <w:smallCaps w:val="false"/>
                  <w:sz w:val="20"/>
                </w:rPr>
                <w:t>5</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Consolidated Statements of Changes in Stockholders’ Equity for the Three and Nine Months Ended September 30, 2025 and 2024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cashflow">
              <w:r>
                <w:rPr>
                  <w:rStyle w:val="InternetLink"/>
                  <w:rFonts w:ascii="Times New Roman" w:hAnsi="Times New Roman"/>
                  <w:caps w:val="false"/>
                  <w:smallCaps w:val="false"/>
                  <w:sz w:val="20"/>
                </w:rPr>
                <w:t>Consolidated Statements of Cash Flows for the Nine Months Ended September 30, 2025 and 2024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8</w:t>
              </w:r>
            </w:hyperlink>
            <w:r>
              <w:rPr>
                <w:rFonts w:ascii="Times New Roman" w:hAnsi="Times New Roman"/>
                <w:caps w:val="false"/>
                <w:smallCaps w:val="false"/>
                <w:sz w:val="20"/>
              </w:rPr>
              <w:t xml:space="preserve"> - </w:t>
            </w:r>
            <w:hyperlink w:anchor="cashflowsupp">
              <w:r>
                <w:rPr>
                  <w:rStyle w:val="InternetLink"/>
                  <w:rFonts w:ascii="Times New Roman" w:hAnsi="Times New Roman"/>
                  <w:caps w:val="false"/>
                  <w:smallCaps w:val="false"/>
                  <w:sz w:val="20"/>
                </w:rPr>
                <w:t>9</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10</w:t>
              </w:r>
            </w:hyperlink>
            <w:r>
              <w:rPr>
                <w:rFonts w:ascii="Times New Roman" w:hAnsi="Times New Roman"/>
                <w:caps w:val="false"/>
                <w:smallCaps w:val="false"/>
                <w:sz w:val="20"/>
              </w:rPr>
              <w:t xml:space="preserve"> - </w:t>
            </w:r>
            <w:hyperlink w:anchor="Notes_end">
              <w:r>
                <w:rPr>
                  <w:rStyle w:val="InternetLink"/>
                  <w:rFonts w:ascii="Times New Roman" w:hAnsi="Times New Roman"/>
                  <w:caps w:val="false"/>
                  <w:smallCaps w:val="false"/>
                  <w:sz w:val="20"/>
                </w:rPr>
                <w:t>50</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mda">
              <w:r>
                <w:rPr>
                  <w:rStyle w:val="InternetLink"/>
                  <w:rFonts w:ascii="Times New Roman" w:hAnsi="Times New Roman"/>
                  <w:caps w:val="false"/>
                  <w:smallCaps w:val="false"/>
                  <w:sz w:val="20"/>
                </w:rPr>
                <w:t>Item 2.</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51</w:t>
              </w:r>
            </w:hyperlink>
            <w:r>
              <w:rPr>
                <w:rFonts w:ascii="Times New Roman" w:hAnsi="Times New Roman"/>
                <w:caps w:val="false"/>
                <w:smallCaps w:val="false"/>
                <w:sz w:val="20"/>
              </w:rPr>
              <w:t> - </w:t>
            </w:r>
            <w:hyperlink w:anchor="mdaend">
              <w:r>
                <w:rPr>
                  <w:rStyle w:val="InternetLink"/>
                  <w:rFonts w:ascii="Times New Roman" w:hAnsi="Times New Roman"/>
                  <w:caps w:val="false"/>
                  <w:smallCaps w:val="false"/>
                  <w:sz w:val="20"/>
                </w:rPr>
                <w:t>64</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qqd">
              <w:r>
                <w:rPr>
                  <w:rStyle w:val="InternetLink"/>
                  <w:rFonts w:ascii="Times New Roman" w:hAnsi="Times New Roman"/>
                  <w:caps w:val="false"/>
                  <w:smallCaps w:val="false"/>
                  <w:sz w:val="20"/>
                </w:rPr>
                <w:t>Item 3.</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64</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controls">
              <w:r>
                <w:rPr>
                  <w:rStyle w:val="InternetLink"/>
                  <w:rFonts w:ascii="Times New Roman" w:hAnsi="Times New Roman"/>
                  <w:caps w:val="false"/>
                  <w:smallCaps w:val="false"/>
                  <w:sz w:val="20"/>
                </w:rPr>
                <w:t>Item 4.</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64</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part2other">
              <w:r>
                <w:rPr>
                  <w:rStyle w:val="InternetLink"/>
                  <w:rFonts w:ascii="Times New Roman" w:hAnsi="Times New Roman"/>
                  <w:b/>
                  <w:caps w:val="false"/>
                  <w:smallCaps w:val="false"/>
                  <w:sz w:val="20"/>
                </w:rPr>
                <w:t>PART</w:t>
              </w:r>
            </w:hyperlink>
            <w:hyperlink w:anchor="part2other">
              <w:r>
                <w:rPr>
                  <w:rStyle w:val="InternetLink"/>
                  <w:rFonts w:ascii="Times New Roman" w:hAnsi="Times New Roman"/>
                  <w:caps w:val="false"/>
                  <w:smallCaps w:val="false"/>
                  <w:sz w:val="20"/>
                </w:rPr>
                <w:t> </w:t>
              </w:r>
            </w:hyperlink>
            <w:hyperlink w:anchor="part2other">
              <w:r>
                <w:rPr>
                  <w:rStyle w:val="InternetLink"/>
                  <w:rFonts w:ascii="Times New Roman" w:hAnsi="Times New Roman"/>
                  <w:b/>
                  <w:caps w:val="false"/>
                  <w:smallCaps w:val="false"/>
                  <w:sz w:val="20"/>
                </w:rPr>
                <w:t>II</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part2other">
              <w:r>
                <w:rPr>
                  <w:rStyle w:val="InternetLink"/>
                  <w:rFonts w:ascii="Times New Roman" w:hAnsi="Times New Roman"/>
                  <w:b/>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part2other">
              <w:r>
                <w:rPr>
                  <w:rStyle w:val="InternetLink"/>
                  <w:rFonts w:ascii="Times New Roman" w:hAnsi="Times New Roman"/>
                  <w:caps w:val="false"/>
                  <w:smallCaps w:val="false"/>
                  <w:sz w:val="20"/>
                </w:rPr>
                <w:t>65</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legal">
              <w:r>
                <w:rPr>
                  <w:rStyle w:val="InternetLink"/>
                  <w:rFonts w:ascii="Times New Roman" w:hAnsi="Times New Roman"/>
                  <w:caps w:val="false"/>
                  <w:smallCaps w:val="false"/>
                  <w:sz w:val="20"/>
                </w:rPr>
                <w:t>Item 1.</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65</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risk">
              <w:r>
                <w:rPr>
                  <w:rStyle w:val="InternetLink"/>
                  <w:rFonts w:ascii="Times New Roman" w:hAnsi="Times New Roman"/>
                  <w:caps w:val="false"/>
                  <w:smallCaps w:val="false"/>
                  <w:sz w:val="20"/>
                </w:rPr>
                <w:t>Item 1A.</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65</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unregistered">
              <w:r>
                <w:rPr>
                  <w:rStyle w:val="InternetLink"/>
                  <w:rFonts w:ascii="Times New Roman" w:hAnsi="Times New Roman"/>
                  <w:caps w:val="false"/>
                  <w:smallCaps w:val="false"/>
                  <w:sz w:val="20"/>
                </w:rPr>
                <w:t>Item 2.</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65</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defaults">
              <w:r>
                <w:rPr>
                  <w:rStyle w:val="InternetLink"/>
                  <w:rFonts w:ascii="Times New Roman" w:hAnsi="Times New Roman"/>
                  <w:caps w:val="false"/>
                  <w:smallCaps w:val="false"/>
                  <w:sz w:val="20"/>
                </w:rPr>
                <w:t>Item 3.</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66</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mine">
              <w:r>
                <w:rPr>
                  <w:rStyle w:val="InternetLink"/>
                  <w:rFonts w:ascii="Times New Roman" w:hAnsi="Times New Roman"/>
                  <w:caps w:val="false"/>
                  <w:smallCaps w:val="false"/>
                  <w:sz w:val="20"/>
                </w:rPr>
                <w:t>Item 4.</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66</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otheritem5">
              <w:r>
                <w:rPr>
                  <w:rStyle w:val="InternetLink"/>
                  <w:rFonts w:ascii="Times New Roman" w:hAnsi="Times New Roman"/>
                  <w:caps w:val="false"/>
                  <w:smallCaps w:val="false"/>
                  <w:sz w:val="20"/>
                </w:rPr>
                <w:t>Item 5.</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otheritem5">
              <w:r>
                <w:rPr>
                  <w:rStyle w:val="InternetLink"/>
                  <w:rFonts w:ascii="Times New Roman" w:hAnsi="Times New Roman"/>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otheritem5">
              <w:r>
                <w:rPr>
                  <w:rStyle w:val="InternetLink"/>
                  <w:rFonts w:ascii="Times New Roman" w:hAnsi="Times New Roman"/>
                  <w:caps w:val="false"/>
                  <w:smallCaps w:val="false"/>
                  <w:sz w:val="20"/>
                </w:rPr>
                <w:t>66</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160" w:right="0" w:hanging="160"/>
              <w:jc w:val="left"/>
              <w:rPr/>
            </w:pPr>
            <w:hyperlink w:anchor="exhibits">
              <w:r>
                <w:rPr>
                  <w:rStyle w:val="InternetLink"/>
                  <w:rFonts w:ascii="Times New Roman" w:hAnsi="Times New Roman"/>
                  <w:caps w:val="false"/>
                  <w:smallCaps w:val="false"/>
                  <w:sz w:val="20"/>
                </w:rPr>
                <w:t>Item 6.</w:t>
              </w:r>
            </w:hyperlink>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67</w:t>
              </w:r>
            </w:hyperlink>
          </w:p>
        </w:tc>
      </w:tr>
      <w:tr>
        <w:trPr/>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8969" w:type="dxa"/>
            <w:gridSpan w:val="3"/>
            <w:tcBorders/>
            <w:vAlign w:val="center"/>
          </w:tcPr>
          <w:p>
            <w:pPr>
              <w:pStyle w:val="TableContents"/>
              <w:bidi w:val="0"/>
              <w:spacing w:before="0" w:after="0"/>
              <w:ind w:left="160" w:right="0" w:hanging="160"/>
              <w:jc w:val="left"/>
              <w:rPr/>
            </w:pPr>
            <w:hyperlink w:anchor="signatures">
              <w:r>
                <w:rPr>
                  <w:rStyle w:val="InternetLink"/>
                  <w:rFonts w:ascii="Times New Roman" w:hAnsi="Times New Roman"/>
                  <w:b/>
                  <w:caps w:val="false"/>
                  <w:smallCaps w:val="false"/>
                  <w:sz w:val="20"/>
                </w:rPr>
                <w:t>SIGNATURES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68</w:t>
              </w:r>
            </w:hyperlink>
          </w:p>
        </w:tc>
      </w:tr>
    </w:tbl>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fs"/>
      <w:bookmarkEnd w:id="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4" w:name="bs"/>
      <w:bookmarkEnd w:id="4"/>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shares and per share amounts)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1"/>
        <w:gridCol w:w="60"/>
        <w:gridCol w:w="137"/>
        <w:gridCol w:w="930"/>
        <w:gridCol w:w="80"/>
        <w:gridCol w:w="60"/>
        <w:gridCol w:w="134"/>
        <w:gridCol w:w="911"/>
        <w:gridCol w:w="82"/>
      </w:tblGrid>
      <w:tr>
        <w:trPr/>
        <w:tc>
          <w:tcPr>
            <w:tcW w:w="78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due from banks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19,280</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31,635</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1,727</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 (amortized cost of $335,152 and $310,272, net of allowance for credit losses of $0 and $0, respectively)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281,175</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Securities held-to-maturity, at amortized cost (fair value of $32,142 and $8,144, net of allowance for credit losses of $220 and $45, respectively)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8,455</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27,835</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 of allowance for credit losses of $30,056 and $31,870 (includes loans of $12,571 and $12,728, at fair value, respectively)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2,599,601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2,501,951</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13,881</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29,756</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(“ROU”) 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5,378</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Bank (“FHLB”) stock, at cost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15,621</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7,059</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owned life insurance (“BOLI”),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38,528</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 servicing rights (“MSRs”), held at the lower of cost or fair value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9,204</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3,592</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13,710</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39,670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3,208,825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3,029,177</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638,158</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Interest-bearing accounts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2,020,640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1,701,260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deposits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2,339,418</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307,806</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Principal amount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11"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subordinated notes less unamortized debt issuance costs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49,594</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5,556</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31,036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2,908,314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2,733,410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$.01 par value; 45,000,000 shares authorized; 7,535,330 and 7,833,014 shares issued and outstanding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55,716</w:t>
            </w:r>
          </w:p>
        </w:tc>
        <w:tc>
          <w:tcPr>
            <w:tcW w:w="82"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257,113</w:t>
            </w:r>
          </w:p>
        </w:tc>
        <w:tc>
          <w:tcPr>
            <w:tcW w:w="82"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 net of tax</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11"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295,767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3,208,825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3,029,177</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5" w:name="income"/>
      <w:bookmarkEnd w:id="5"/>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shares and per share amounts)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16"/>
        <w:gridCol w:w="60"/>
        <w:gridCol w:w="172"/>
        <w:gridCol w:w="815"/>
        <w:gridCol w:w="110"/>
        <w:gridCol w:w="82"/>
        <w:gridCol w:w="172"/>
        <w:gridCol w:w="815"/>
        <w:gridCol w:w="80"/>
        <w:gridCol w:w="60"/>
        <w:gridCol w:w="158"/>
        <w:gridCol w:w="884"/>
        <w:gridCol w:w="76"/>
        <w:gridCol w:w="76"/>
        <w:gridCol w:w="158"/>
        <w:gridCol w:w="884"/>
        <w:gridCol w:w="87"/>
      </w:tblGrid>
      <w:tr>
        <w:trPr/>
        <w:tc>
          <w:tcPr>
            <w:tcW w:w="5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 September 30,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including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127,203</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dividends on investment securities, cash and cash equivalents, and 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11,459</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50,973</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146,463</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137,863</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14,862</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39,620</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17,283</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49,679</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45,872</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33,690</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96,784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91,991</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3,989</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 AFTER PROVISION FOR CREDIT LOSSES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31,381</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90,862</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88,002</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7,513</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MSRs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8,356</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investment securities,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t>—</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on cash surrender value of BOLI</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 income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5,594</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15,890</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16,946</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14,415</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40,920</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10,354</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6,172</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costs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and board fees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Deposit Insurance Corporation (“FDIC”) insurance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advertising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core deposit intangible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w:t>
            </w:r>
          </w:p>
        </w:tc>
        <w:tc>
          <w:tcPr>
            <w:tcW w:w="87" w:type="dxa"/>
            <w:tcBorders/>
            <w:shd w:fill="CCEEFF" w:val="cle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impairment of MSRs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75,945</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PROVISION (BENEFIT) FOR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31,730</w:t>
            </w:r>
          </w:p>
        </w:tc>
        <w:tc>
          <w:tcPr>
            <w:tcW w:w="87" w:type="dxa"/>
            <w:tcBorders/>
            <w:shd w:fill="FFFFFF" w:val="cle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5,881</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6" w:name="compincome"/>
      <w:bookmarkEnd w:id="6"/>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w:t>
      </w:r>
      <w:r>
        <w:rPr>
          <w:rFonts w:ascii="Times New Roman" w:hAnsi="Times New Roman"/>
          <w:caps w:val="false"/>
          <w:smallCaps w:val="false"/>
          <w:sz w:val="20"/>
        </w:rPr>
        <w:t xml:space="preserve">) </w:t>
      </w:r>
      <w:r>
        <w:rPr>
          <w:rFonts w:ascii="Times New Roman" w:hAnsi="Times New Roman"/>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009" w:type="dxa"/>
        <w:jc w:val="left"/>
        <w:tblInd w:w="0" w:type="dxa"/>
        <w:tblLayout w:type="fixed"/>
        <w:tblCellMar>
          <w:top w:w="0" w:type="dxa"/>
          <w:left w:w="0" w:type="dxa"/>
          <w:bottom w:w="0" w:type="dxa"/>
          <w:right w:w="0" w:type="dxa"/>
        </w:tblCellMar>
      </w:tblPr>
      <w:tblGrid>
        <w:gridCol w:w="6380"/>
        <w:gridCol w:w="60"/>
        <w:gridCol w:w="136"/>
        <w:gridCol w:w="644"/>
        <w:gridCol w:w="87"/>
        <w:gridCol w:w="65"/>
        <w:gridCol w:w="136"/>
        <w:gridCol w:w="644"/>
        <w:gridCol w:w="80"/>
        <w:gridCol w:w="60"/>
        <w:gridCol w:w="130"/>
        <w:gridCol w:w="616"/>
        <w:gridCol w:w="83"/>
        <w:gridCol w:w="62"/>
        <w:gridCol w:w="130"/>
        <w:gridCol w:w="616"/>
        <w:gridCol w:w="80"/>
      </w:tblGrid>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during period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related to unrealized gain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adjustment for realized (gain) loss, net included in net income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7,836</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 related to reclassification for realized loss,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derivative gain (loss) during period</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 related to unrealized derivative (loss) gain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adjustment for realized gain, net included in net income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related to reclassification, net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11,624</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24,713</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7" w:name="equity"/>
      <w:bookmarkEnd w:id="7"/>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(Dollars in thousands, except per share amounts)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Three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701"/>
        <w:gridCol w:w="60"/>
        <w:gridCol w:w="60"/>
        <w:gridCol w:w="845"/>
        <w:gridCol w:w="80"/>
        <w:gridCol w:w="60"/>
        <w:gridCol w:w="211"/>
        <w:gridCol w:w="439"/>
        <w:gridCol w:w="80"/>
        <w:gridCol w:w="60"/>
        <w:gridCol w:w="158"/>
        <w:gridCol w:w="747"/>
        <w:gridCol w:w="80"/>
        <w:gridCol w:w="60"/>
        <w:gridCol w:w="125"/>
        <w:gridCol w:w="695"/>
        <w:gridCol w:w="80"/>
        <w:gridCol w:w="60"/>
        <w:gridCol w:w="206"/>
        <w:gridCol w:w="1074"/>
        <w:gridCol w:w="80"/>
        <w:gridCol w:w="60"/>
        <w:gridCol w:w="167"/>
        <w:gridCol w:w="936"/>
        <w:gridCol w:w="81"/>
      </w:tblGrid>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Common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of Tax</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July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7,742,607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284,026</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($0.27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Common stock repurchased for employee/director taxes paid on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 – repurchase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7,817,172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288,902</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July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7,618,543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297,203</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($0.50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Common stock repurchased for employee/director taxes paid on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 - repurchase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Stock options exercised,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7,535,330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300,511</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Nine Months Ended September 30, 2025 and 2024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701"/>
        <w:gridCol w:w="60"/>
        <w:gridCol w:w="60"/>
        <w:gridCol w:w="845"/>
        <w:gridCol w:w="80"/>
        <w:gridCol w:w="60"/>
        <w:gridCol w:w="211"/>
        <w:gridCol w:w="439"/>
        <w:gridCol w:w="80"/>
        <w:gridCol w:w="60"/>
        <w:gridCol w:w="145"/>
        <w:gridCol w:w="760"/>
        <w:gridCol w:w="80"/>
        <w:gridCol w:w="60"/>
        <w:gridCol w:w="125"/>
        <w:gridCol w:w="695"/>
        <w:gridCol w:w="80"/>
        <w:gridCol w:w="60"/>
        <w:gridCol w:w="206"/>
        <w:gridCol w:w="1074"/>
        <w:gridCol w:w="80"/>
        <w:gridCol w:w="60"/>
        <w:gridCol w:w="167"/>
        <w:gridCol w:w="936"/>
        <w:gridCol w:w="81"/>
      </w:tblGrid>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Common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of Tax</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7,800,545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264,488</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($0.79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 for employee/director taxes paid on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 - repurchase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5,023</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7,817,172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251,843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288,902</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7,833,014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295,767</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($1.06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1" w:type="dxa"/>
            <w:tcBorders/>
            <w:shd w:fill="FFFFFF" w:val="clear"/>
            <w:vAlign w:val="center"/>
          </w:tcPr>
          <w:p>
            <w:pPr>
              <w:pStyle w:val="TableContents"/>
              <w:bidi w:val="0"/>
              <w:spacing w:before="0" w:after="283"/>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 - repurchase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Common stock repurchased for employee/director taxes paid on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Stock options exercised,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7,535,330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300,511</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8" w:name="cashflow"/>
      <w:bookmarkEnd w:id="8"/>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4"/>
        <w:gridCol w:w="60"/>
        <w:gridCol w:w="184"/>
        <w:gridCol w:w="1117"/>
        <w:gridCol w:w="117"/>
        <w:gridCol w:w="88"/>
        <w:gridCol w:w="184"/>
        <w:gridCol w:w="1117"/>
        <w:gridCol w:w="244"/>
      </w:tblGrid>
      <w:tr>
        <w:trPr/>
        <w:tc>
          <w:tcPr>
            <w:tcW w:w="70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sz w:val="20"/>
              </w:rPr>
              <w:t>Nine Months Ended September 30,</w:t>
            </w:r>
          </w:p>
        </w:tc>
        <w:tc>
          <w:tcPr>
            <w:tcW w:w="2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2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24,926</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27,642</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Adjustments to reconcile net income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5,922</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3,989</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amortization and accretion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9,444</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7,948</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 related to stock options and restricted stock awards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1,621</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p>
        </w:tc>
        <w:tc>
          <w:tcPr>
            <w:tcW w:w="244" w:type="dxa"/>
            <w:tcBorders/>
            <w:shd w:fill="CCEEFF" w:val="clear"/>
            <w:vAlign w:val="center"/>
          </w:tcPr>
          <w:p>
            <w:pPr>
              <w:pStyle w:val="TableContents"/>
              <w:bidi w:val="0"/>
              <w:spacing w:before="0" w:after="283"/>
              <w:ind w:left="0" w:right="0" w:firstLine="180"/>
              <w:jc w:val="left"/>
              <w:rPr/>
            </w:pPr>
            <w:r>
              <w:rPr/>
              <w:t> </w:t>
            </w:r>
          </w:p>
        </w:tc>
      </w:tr>
      <w:tr>
        <w:trPr/>
        <w:tc>
          <w:tcPr>
            <w:tcW w:w="709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Earnings on cash surrender value of BOLI</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 held for sale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(6,111</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(6,824</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sale of MSRs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(8,356</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sale of investment securities, net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7,836</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Change in fair value on portfolio loans measured under the fair value option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(469</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(448</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Origination of loans held for sale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(354,231</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(426,672</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loans held for sale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379,654</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430,421</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purchase of tax credits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(660</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(2,262</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tax credits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(7,587</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(26,007</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 of MSRs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(1,241</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8,146</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3,758</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1,294</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w:t>
            </w:r>
          </w:p>
        </w:tc>
        <w:tc>
          <w:tcPr>
            <w:tcW w:w="24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from operating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59,958</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9,294</w:t>
            </w:r>
          </w:p>
        </w:tc>
        <w:tc>
          <w:tcPr>
            <w:tcW w:w="2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USED BY INVESTING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Activity in securities available-for-sale: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Proceeds from sale of investment securities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101,907</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Maturities, prepayments, and calls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35,616</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13,403</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(61,724</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(47,729</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Activity in securities held-to-maturity:</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Purchases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(25,985</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Maturities, prepayments, and calls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3,000</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Maturities of certificates of deposit at other financial institutions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1,727</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14,874</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(2,708</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Portfolio loan originations and principal collections, net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(132,008</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(37,425</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MSRs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16,311</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sale of portfolio loans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2,309</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portfolio loans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(3,956</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(50,099</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premises and equipment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(4,665</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(1,253</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bank owned life insurance death benefits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771</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FHLB stock, net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7,646</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(7,390</w:t>
            </w:r>
          </w:p>
        </w:tc>
        <w:tc>
          <w:tcPr>
            <w:tcW w:w="24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by investing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(177,269</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24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(USED BY)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deposits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347,047</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(95,097</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borrowings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626,436</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707,768</w:t>
            </w:r>
          </w:p>
        </w:tc>
        <w:tc>
          <w:tcPr>
            <w:tcW w:w="244" w:type="dxa"/>
            <w:tcBorders/>
            <w:shd w:fill="CCEEFF" w:val="cle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borrowings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(804,937</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(637,708</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on common stock</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(8,157</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(6,153</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Disbursements from stock options exercised,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Common stock repurchased for employee/director taxes paid on restricted stock awards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(464</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employee stock purchase plan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Common stock repurchased</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(13,886</w:t>
            </w:r>
          </w:p>
        </w:tc>
        <w:tc>
          <w:tcPr>
            <w:tcW w:w="117"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(2,508</w:t>
            </w:r>
          </w:p>
        </w:tc>
        <w:tc>
          <w:tcPr>
            <w:tcW w:w="244"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from (used by) financing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146,956</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(34,536</w:t>
            </w:r>
          </w:p>
        </w:tc>
        <w:tc>
          <w:tcPr>
            <w:tcW w:w="24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29,645</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(25,351</w:t>
            </w:r>
          </w:p>
        </w:tc>
        <w:tc>
          <w:tcPr>
            <w:tcW w:w="24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r>
      <w:tr>
        <w:trPr/>
        <w:tc>
          <w:tcPr>
            <w:tcW w:w="709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31,635</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65,691</w:t>
            </w:r>
          </w:p>
        </w:tc>
        <w:tc>
          <w:tcPr>
            <w:tcW w:w="2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09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61,280</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40,340</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cashflowsupp"/>
      <w:bookmarkEnd w:id="9"/>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 (Continued)</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5"/>
        <w:gridCol w:w="60"/>
        <w:gridCol w:w="125"/>
        <w:gridCol w:w="590"/>
        <w:gridCol w:w="80"/>
        <w:gridCol w:w="60"/>
        <w:gridCol w:w="125"/>
        <w:gridCol w:w="590"/>
        <w:gridCol w:w="80"/>
      </w:tblGrid>
      <w:tr>
        <w:trPr/>
        <w:tc>
          <w:tcPr>
            <w:tcW w:w="84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SUPPLEMENTARY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4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4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on deposits and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47,071</w:t>
            </w:r>
          </w:p>
        </w:tc>
        <w:tc>
          <w:tcPr>
            <w:tcW w:w="80" w:type="dxa"/>
            <w:tcBorders/>
            <w:shd w:fill="FFFFFF" w:val="clear"/>
            <w:vAlign w:val="center"/>
          </w:tcPr>
          <w:p>
            <w:pPr>
              <w:pStyle w:val="TableContents"/>
              <w:bidi w:val="0"/>
              <w:spacing w:before="0" w:after="283"/>
              <w:jc w:val="left"/>
              <w:rPr/>
            </w:pPr>
            <w:r>
              <w:rPr/>
              <w:t> </w:t>
            </w:r>
          </w:p>
        </w:tc>
      </w:tr>
      <w:tr>
        <w:trPr/>
        <w:tc>
          <w:tcPr>
            <w:tcW w:w="84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2,435</w:t>
            </w:r>
          </w:p>
        </w:tc>
        <w:tc>
          <w:tcPr>
            <w:tcW w:w="80" w:type="dxa"/>
            <w:tcBorders/>
            <w:shd w:fill="CCEEFF" w:val="clear"/>
            <w:vAlign w:val="center"/>
          </w:tcPr>
          <w:p>
            <w:pPr>
              <w:pStyle w:val="TableContents"/>
              <w:bidi w:val="0"/>
              <w:spacing w:before="0" w:after="283"/>
              <w:jc w:val="left"/>
              <w:rPr/>
            </w:pPr>
            <w:r>
              <w:rPr/>
              <w:t> </w:t>
            </w:r>
          </w:p>
        </w:tc>
      </w:tr>
      <w:tr>
        <w:trPr/>
        <w:tc>
          <w:tcPr>
            <w:tcW w:w="8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4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SUPPLEMENTARY DISCLOSURES OF NONCASH OPERATING,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4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on available-for-sale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11,689</w:t>
            </w:r>
          </w:p>
        </w:tc>
        <w:tc>
          <w:tcPr>
            <w:tcW w:w="80" w:type="dxa"/>
            <w:tcBorders/>
            <w:shd w:fill="FFFFFF" w:val="clear"/>
            <w:vAlign w:val="center"/>
          </w:tcPr>
          <w:p>
            <w:pPr>
              <w:pStyle w:val="TableContents"/>
              <w:bidi w:val="0"/>
              <w:spacing w:before="0" w:after="283"/>
              <w:jc w:val="left"/>
              <w:rPr/>
            </w:pPr>
            <w:r>
              <w:rPr/>
              <w:t> </w:t>
            </w:r>
          </w:p>
        </w:tc>
      </w:tr>
      <w:tr>
        <w:trPr/>
        <w:tc>
          <w:tcPr>
            <w:tcW w:w="84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on fair value and cash flow hedges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4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Retention in gross MSRs from loan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1,891</w:t>
            </w:r>
          </w:p>
        </w:tc>
        <w:tc>
          <w:tcPr>
            <w:tcW w:w="80" w:type="dxa"/>
            <w:tcBorders/>
            <w:shd w:fill="FFFFFF" w:val="clear"/>
            <w:vAlign w:val="center"/>
          </w:tcPr>
          <w:p>
            <w:pPr>
              <w:pStyle w:val="TableContents"/>
              <w:bidi w:val="0"/>
              <w:spacing w:before="0" w:after="283"/>
              <w:jc w:val="left"/>
              <w:rPr/>
            </w:pPr>
            <w:r>
              <w:rPr/>
              <w:t> </w:t>
            </w:r>
          </w:p>
        </w:tc>
      </w:tr>
      <w:tr>
        <w:trPr/>
        <w:tc>
          <w:tcPr>
            <w:tcW w:w="849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ROU assets in exchange for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 xml:space="preserve">FS BANCORP, INC. AND SUBSIDIARY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Dollar Amounts in Thousands,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caps w:val="false"/>
          <w:smallCaps w:val="false"/>
          <w:sz w:val="20"/>
        </w:rPr>
        <w:t xml:space="preserve"> – </w:t>
      </w:r>
      <w:r>
        <w:rPr>
          <w:rFonts w:ascii="Times New Roman" w:hAnsi="Times New Roman"/>
          <w:b/>
          <w:caps w:val="false"/>
          <w:smallCaps w:val="false"/>
          <w:sz w:val="20"/>
        </w:rPr>
        <w:t>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Nature of Operations</w:t>
      </w:r>
      <w:r>
        <w:rPr>
          <w:rFonts w:ascii="Times New Roman" w:hAnsi="Times New Roman"/>
          <w:caps w:val="false"/>
          <w:smallCaps w:val="false"/>
          <w:sz w:val="20"/>
        </w:rPr>
        <w:t xml:space="preserve"> – FS Bancorp, Inc. (the “Company”) was incorporated in </w:t>
      </w:r>
      <w:r>
        <w:rPr>
          <w:rStyle w:val="Emphasis"/>
          <w:rFonts w:ascii="Times New Roman" w:hAnsi="Times New Roman"/>
          <w:caps w:val="false"/>
          <w:smallCaps w:val="false"/>
          <w:sz w:val="20"/>
        </w:rPr>
        <w:t>September 2011</w:t>
      </w:r>
      <w:r>
        <w:rPr>
          <w:rFonts w:ascii="Times New Roman" w:hAnsi="Times New Roman"/>
          <w:caps w:val="false"/>
          <w:smallCaps w:val="false"/>
          <w:sz w:val="20"/>
        </w:rPr>
        <w:t xml:space="preserve"> as the holding company for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of Washington (the “Bank” or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in connection with the Bank’s conversion from the mutual to stock form of ownership which was completed on </w:t>
      </w:r>
      <w:r>
        <w:rPr>
          <w:rStyle w:val="Emphasis"/>
          <w:rFonts w:ascii="Times New Roman" w:hAnsi="Times New Roman"/>
          <w:caps w:val="false"/>
          <w:smallCaps w:val="false"/>
          <w:sz w:val="20"/>
        </w:rPr>
        <w:t xml:space="preserve">July 9, 2012. </w:t>
      </w:r>
      <w:r>
        <w:rPr>
          <w:rFonts w:ascii="Times New Roman" w:hAnsi="Times New Roman"/>
          <w:caps w:val="false"/>
          <w:smallCaps w:val="false"/>
          <w:sz w:val="20"/>
        </w:rPr>
        <w:t>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Financial Statement Presentation</w:t>
      </w:r>
      <w:r>
        <w:rPr>
          <w:rFonts w:ascii="Times New Roman" w:hAnsi="Times New Roman"/>
          <w:caps w:val="false"/>
          <w:smallCaps w:val="false"/>
          <w:sz w:val="20"/>
        </w:rPr>
        <w:t> – The accompanying unaudited interim consolidated financial statements have been prepared in accordance with accounting principles generally accepted in the United States (“U.S. GAAP”) for interim financial information and in accordance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as promulgated by the Securities and Exchange Commission (“SEC”). These unaudited interim consolidated financial statements should be read in conjunction with the Company’s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which includes all the audited financial statements and footnotes required by U.S. GAAP for complete financial statements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In the opinion of management, all normal adjustments and recurring accruals considered necessary for a fair presentation of the financial position and results of operations for the periods presented have been included. Certain prior-period amounts have been reclassified to conform to the current 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Amounts presented in the consolidated financial statements and footnote tables are rounded and presented to the nearest thousands of dollars except per share amounts. If the amounts are above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million, they are rounded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decimal point, and if they are above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billion, they are rounded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decimal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 xml:space="preserve">– The consolidated financial statements include the accounts of FS Bancorp and its wholly owned subsidiary,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All material intercompany accounts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Segment Reporting</w:t>
      </w:r>
      <w:r>
        <w:rPr>
          <w:rFonts w:ascii="Times New Roman" w:hAnsi="Times New Roman"/>
          <w:caps w:val="false"/>
          <w:smallCaps w:val="false"/>
          <w:sz w:val="20"/>
        </w:rPr>
        <w:t xml:space="preserve"> – The Company operates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business segments through the Bank: commercial and consumer banking and home lending. The 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w:t>
      </w:r>
      <w:r>
        <w:rPr>
          <w:rStyle w:val="Emphasis"/>
          <w:rFonts w:ascii="Times New Roman" w:hAnsi="Times New Roman"/>
          <w:caps w:val="false"/>
          <w:smallCaps w:val="false"/>
          <w:sz w:val="20"/>
        </w:rPr>
        <w:t>13</w:t>
      </w:r>
      <w:r>
        <w:rPr>
          <w:rFonts w:ascii="Times New Roman" w:hAnsi="Times New Roman"/>
          <w:caps w:val="false"/>
          <w:smallCaps w:val="false"/>
          <w:sz w:val="20"/>
        </w:rPr>
        <w:t> – 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 xml:space="preserve">Subsequent Events </w:t>
      </w:r>
      <w:r>
        <w:rPr>
          <w:rFonts w:ascii="Times New Roman" w:hAnsi="Times New Roman"/>
          <w:caps w:val="false"/>
          <w:smallCaps w:val="false"/>
          <w:sz w:val="20"/>
        </w:rPr>
        <w:t>– The Company has evaluated events and transactions after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for potential recognition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Financial Accounting Standards Board (“FASB”) issued guidance within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The amendments in the ASU are intended to enhance transparency regarding income tax information by improving income tax disclosures, particularly related to the rate reconciliation and income taxes paid. The ASU requires entities to disclose specified categories within the rate reconciliation and to provide additional information for reconciling items that meet a defined quantitative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Those amendments require disclosure of the following information about income taxes paid on an annual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Income taxes paid (net of refunds received), disaggregated by federal and state taxes and by individual jurisdictions in which income taxes paid (net of refunds received) is equal to or greater than </w:t>
            </w:r>
            <w:r>
              <w:rPr>
                <w:rStyle w:val="Emphasis"/>
                <w:rFonts w:ascii="Times New Roman;Times;serif" w:hAnsi="Times New Roman;Times;serif"/>
                <w:caps w:val="false"/>
                <w:smallCaps w:val="false"/>
                <w:sz w:val="20"/>
              </w:rPr>
              <w:t>five</w:t>
            </w:r>
            <w:r>
              <w:rPr>
                <w:rFonts w:ascii="Times New Roman;Times;serif" w:hAnsi="Times New Roman;Times;serif"/>
                <w:caps w:val="false"/>
                <w:smallCaps w:val="false"/>
                <w:sz w:val="20"/>
              </w:rPr>
              <w:t xml:space="preserve"> percent of total income taxes paid (net refunds received).</w:t>
            </w:r>
          </w:p>
        </w:tc>
      </w:tr>
    </w:tbl>
    <w:tbl>
      <w:tblPr>
        <w:tblW w:w="8950" w:type="dxa"/>
        <w:jc w:val="left"/>
        <w:tblInd w:w="0" w:type="dxa"/>
        <w:tblLayout w:type="fixed"/>
        <w:tblCellMar>
          <w:top w:w="0" w:type="dxa"/>
          <w:left w:w="0" w:type="dxa"/>
          <w:bottom w:w="0" w:type="dxa"/>
          <w:right w:w="0" w:type="dxa"/>
        </w:tblCellMar>
      </w:tblPr>
      <w:tblGrid>
        <w:gridCol w:w="185"/>
        <w:gridCol w:w="8765"/>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(or benefit) from continuing operations disaggregated by federal and state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ASU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is permitted for annual financial statements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issued or made available for issuance. The amendments should be applied on a prospective basis.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ASU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FASB issued guidance within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Disaggregation of Income Statement Expenses. </w:t>
      </w:r>
      <w:r>
        <w:rPr>
          <w:rFonts w:ascii="Times New Roman" w:hAnsi="Times New Roman"/>
          <w:caps w:val="false"/>
          <w:smallCaps w:val="false"/>
          <w:sz w:val="20"/>
        </w:rPr>
        <w:t>The amendments in the ASU require public companies to disclose, in the notes to financial statements, specified information about certain costs and expenses at each interim and annual reporting period. Specifically, public companies will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 certain amounts that are already required to be disclosed under GAAP in the same disclosure as the other disaggregation requirements.</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Disclose a qualitative description of the amounts remaining in relevant expense captions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separately disaggregated quantitatively.</w:t>
            </w:r>
          </w:p>
        </w:tc>
      </w:tr>
    </w:tbl>
    <w:tbl>
      <w:tblPr>
        <w:tblW w:w="9955" w:type="dxa"/>
        <w:jc w:val="left"/>
        <w:tblInd w:w="0" w:type="dxa"/>
        <w:tblLayout w:type="fixed"/>
        <w:tblCellMar>
          <w:top w:w="0" w:type="dxa"/>
          <w:left w:w="0" w:type="dxa"/>
          <w:bottom w:w="0" w:type="dxa"/>
          <w:right w:w="0" w:type="dxa"/>
        </w:tblCellMar>
      </w:tblPr>
      <w:tblGrid>
        <w:gridCol w:w="185"/>
        <w:gridCol w:w="977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 the total amount of selling expenses and, in annual reporting periods, an entity’s definition of selling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This ASU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amendments should be applied prospectively. The Company is currently evaluating the impact of this ASU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the FASB issued guidance within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Disaggregation of Income Statement Expenses. </w:t>
      </w:r>
      <w:r>
        <w:rPr>
          <w:rFonts w:ascii="Times New Roman" w:hAnsi="Times New Roman"/>
          <w:caps w:val="false"/>
          <w:smallCaps w:val="false"/>
          <w:sz w:val="20"/>
        </w:rPr>
        <w:t xml:space="preserve">The amendment in this ASU amends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to clarify that all public business entities are required to adopt the guidance in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permitted.  The Company is currently evaluating the impact of this ASU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 xml:space="preserve">Application of New Accounting Guidance Adopted in </w:t>
      </w:r>
      <w:r>
        <w:rPr>
          <w:rStyle w:val="Emphasis"/>
          <w:rFonts w:ascii="Times New Roman" w:hAnsi="Times New Roman"/>
          <w:b/>
          <w:i/>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2</w:t>
      </w:r>
      <w:r>
        <w:rPr>
          <w:rFonts w:ascii="Times New Roman" w:hAnsi="Times New Roman"/>
          <w:caps w:val="false"/>
          <w:smallCaps w:val="false"/>
          <w:sz w:val="20"/>
        </w:rPr>
        <w:t xml:space="preserve"> – </w:t>
      </w:r>
      <w:r>
        <w:rPr>
          <w:rFonts w:ascii="Times New Roman" w:hAnsi="Times New Roman"/>
          <w:b/>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tables present the amortized costs, unrealized gains, unrealized losses, estimated fair values of securities available-for-sale and held-to-maturity, and the ACL on securities available-for-sale and held-to-maturity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3425"/>
        <w:gridCol w:w="60"/>
        <w:gridCol w:w="128"/>
        <w:gridCol w:w="717"/>
        <w:gridCol w:w="60"/>
        <w:gridCol w:w="60"/>
        <w:gridCol w:w="188"/>
        <w:gridCol w:w="732"/>
        <w:gridCol w:w="60"/>
        <w:gridCol w:w="60"/>
        <w:gridCol w:w="148"/>
        <w:gridCol w:w="772"/>
        <w:gridCol w:w="80"/>
        <w:gridCol w:w="60"/>
        <w:gridCol w:w="126"/>
        <w:gridCol w:w="704"/>
        <w:gridCol w:w="60"/>
        <w:gridCol w:w="60"/>
        <w:gridCol w:w="125"/>
        <w:gridCol w:w="335"/>
        <w:gridCol w:w="6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335,152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311,695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Municipal bonds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366,758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343,837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3425"/>
        <w:gridCol w:w="60"/>
        <w:gridCol w:w="128"/>
        <w:gridCol w:w="717"/>
        <w:gridCol w:w="60"/>
        <w:gridCol w:w="60"/>
        <w:gridCol w:w="250"/>
        <w:gridCol w:w="670"/>
        <w:gridCol w:w="60"/>
        <w:gridCol w:w="60"/>
        <w:gridCol w:w="148"/>
        <w:gridCol w:w="772"/>
        <w:gridCol w:w="80"/>
        <w:gridCol w:w="60"/>
        <w:gridCol w:w="126"/>
        <w:gridCol w:w="704"/>
        <w:gridCol w:w="60"/>
        <w:gridCol w:w="60"/>
        <w:gridCol w:w="125"/>
        <w:gridCol w:w="260"/>
        <w:gridCol w:w="6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310,272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281,175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318,772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289,319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present the activity in the ACL on securities held-to-maturity by major security type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3260"/>
        <w:gridCol w:w="60"/>
        <w:gridCol w:w="461"/>
        <w:gridCol w:w="1235"/>
        <w:gridCol w:w="221"/>
        <w:gridCol w:w="221"/>
        <w:gridCol w:w="461"/>
        <w:gridCol w:w="959"/>
        <w:gridCol w:w="60"/>
      </w:tblGrid>
      <w:tr>
        <w:trPr/>
        <w:tc>
          <w:tcPr>
            <w:tcW w:w="3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35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 the 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2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4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Beginning ACL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ending ACL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61" w:type="dxa"/>
        <w:jc w:val="left"/>
        <w:tblInd w:w="0" w:type="dxa"/>
        <w:tblLayout w:type="fixed"/>
        <w:tblCellMar>
          <w:top w:w="0" w:type="dxa"/>
          <w:left w:w="0" w:type="dxa"/>
          <w:bottom w:w="0" w:type="dxa"/>
          <w:right w:w="0" w:type="dxa"/>
        </w:tblCellMar>
      </w:tblPr>
      <w:tblGrid>
        <w:gridCol w:w="3260"/>
        <w:gridCol w:w="60"/>
        <w:gridCol w:w="451"/>
        <w:gridCol w:w="1209"/>
        <w:gridCol w:w="216"/>
        <w:gridCol w:w="216"/>
        <w:gridCol w:w="451"/>
        <w:gridCol w:w="938"/>
        <w:gridCol w:w="60"/>
      </w:tblGrid>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34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2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3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ACL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4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2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ending ACL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4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Management measures expected credit losses on held-to-maturity debt securities on an individual basis. The estimate of expected credit losses considers historical credit loss information that is adjusted for current conditions and reasonable and supportable forecasts. The increase in provision during the periods was attributable to increased securities balances. Accrued interest receivable totaled $609,000 and $116,000 on held-to-maturity debt securities and $1.7 million and $1.2 million on available-for-sale debt securities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  Accrued interest receivable on securities is reported in “Accrued interest receivable” on the Consolidated Balance Sheets and is excluded from the calculation of the ACL.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pStyle w:val="TextBody"/>
        <w:bidi w:val="0"/>
        <w:spacing w:before="0" w:after="0"/>
        <w:ind w:left="0" w:right="0" w:hanging="0"/>
        <w:jc w:val="both"/>
        <w:rPr>
          <w:caps w:val="false"/>
          <w:smallCaps w:val="false"/>
        </w:rPr>
      </w:pPr>
      <w:r>
        <w:rPr>
          <w:caps w:val="false"/>
          <w:smallCaps w:val="false"/>
        </w:rPr>
        <w:t> </w:t>
      </w:r>
    </w:p>
    <w:tbl>
      <w:tblPr>
        <w:tblW w:w="4183" w:type="dxa"/>
        <w:jc w:val="left"/>
        <w:tblInd w:w="0" w:type="dxa"/>
        <w:tblLayout w:type="fixed"/>
        <w:tblCellMar>
          <w:top w:w="0" w:type="dxa"/>
          <w:left w:w="0" w:type="dxa"/>
          <w:bottom w:w="0" w:type="dxa"/>
          <w:right w:w="0" w:type="dxa"/>
        </w:tblCellMar>
      </w:tblPr>
      <w:tblGrid>
        <w:gridCol w:w="1640"/>
        <w:gridCol w:w="60"/>
        <w:gridCol w:w="204"/>
        <w:gridCol w:w="970"/>
        <w:gridCol w:w="60"/>
        <w:gridCol w:w="60"/>
        <w:gridCol w:w="231"/>
        <w:gridCol w:w="898"/>
        <w:gridCol w:w="60"/>
      </w:tblGrid>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BBB/BBB-</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bonds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AA</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there were no debt securities held-to-maturity that were classified as either nonaccrual or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investment securities which were pledged to secure borrowings, public deposits or other obligations as permitted or required by law:</w:t>
      </w:r>
    </w:p>
    <w:p>
      <w:pPr>
        <w:pStyle w:val="TextBody"/>
        <w:bidi w:val="0"/>
        <w:spacing w:before="0" w:after="0"/>
        <w:ind w:left="0" w:right="0" w:hanging="0"/>
        <w:jc w:val="both"/>
        <w:rPr>
          <w:caps w:val="false"/>
          <w:smallCaps w:val="false"/>
        </w:rPr>
      </w:pPr>
      <w:r>
        <w:rPr>
          <w:caps w:val="false"/>
          <w:smallCaps w:val="false"/>
        </w:rPr>
        <w:t> </w:t>
      </w:r>
    </w:p>
    <w:tbl>
      <w:tblPr>
        <w:tblW w:w="7352" w:type="dxa"/>
        <w:jc w:val="left"/>
        <w:tblInd w:w="0" w:type="dxa"/>
        <w:tblLayout w:type="fixed"/>
        <w:tblCellMar>
          <w:top w:w="0" w:type="dxa"/>
          <w:left w:w="0" w:type="dxa"/>
          <w:bottom w:w="0" w:type="dxa"/>
          <w:right w:w="0" w:type="dxa"/>
        </w:tblCellMar>
      </w:tblPr>
      <w:tblGrid>
        <w:gridCol w:w="3530"/>
        <w:gridCol w:w="60"/>
        <w:gridCol w:w="225"/>
        <w:gridCol w:w="1069"/>
        <w:gridCol w:w="60"/>
        <w:gridCol w:w="60"/>
        <w:gridCol w:w="220"/>
        <w:gridCol w:w="1044"/>
        <w:gridCol w:w="60"/>
        <w:gridCol w:w="60"/>
        <w:gridCol w:w="158"/>
        <w:gridCol w:w="746"/>
        <w:gridCol w:w="60"/>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Purpose or beneficiary</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 and local government public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securities that were in an unrealized loss position at the dates indicated are presented in the following tables, based on the length of time individual securities have been in an unrealized loss position.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0"/>
        <w:gridCol w:w="60"/>
        <w:gridCol w:w="145"/>
        <w:gridCol w:w="689"/>
        <w:gridCol w:w="69"/>
        <w:gridCol w:w="69"/>
        <w:gridCol w:w="307"/>
        <w:gridCol w:w="973"/>
        <w:gridCol w:w="80"/>
        <w:gridCol w:w="60"/>
        <w:gridCol w:w="132"/>
        <w:gridCol w:w="740"/>
        <w:gridCol w:w="60"/>
        <w:gridCol w:w="60"/>
        <w:gridCol w:w="205"/>
        <w:gridCol w:w="1075"/>
        <w:gridCol w:w="80"/>
        <w:gridCol w:w="60"/>
        <w:gridCol w:w="132"/>
        <w:gridCol w:w="740"/>
        <w:gridCol w:w="60"/>
        <w:gridCol w:w="60"/>
        <w:gridCol w:w="205"/>
        <w:gridCol w:w="1075"/>
        <w:gridCol w:w="89"/>
      </w:tblGrid>
      <w:tr>
        <w:trPr/>
        <w:tc>
          <w:tcPr>
            <w:tcW w:w="2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7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 2025</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12 Months or Longer</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Losses</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9"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(11,225</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50,987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(9,580</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3,713</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61,184</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221,201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(24,365</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5,594</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5,594</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66,778</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160,957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227,735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(24,447</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80"/>
        <w:gridCol w:w="60"/>
        <w:gridCol w:w="145"/>
        <w:gridCol w:w="689"/>
        <w:gridCol w:w="69"/>
        <w:gridCol w:w="69"/>
        <w:gridCol w:w="307"/>
        <w:gridCol w:w="973"/>
        <w:gridCol w:w="80"/>
        <w:gridCol w:w="60"/>
        <w:gridCol w:w="132"/>
        <w:gridCol w:w="740"/>
        <w:gridCol w:w="60"/>
        <w:gridCol w:w="60"/>
        <w:gridCol w:w="205"/>
        <w:gridCol w:w="1075"/>
        <w:gridCol w:w="80"/>
        <w:gridCol w:w="60"/>
        <w:gridCol w:w="132"/>
        <w:gridCol w:w="740"/>
        <w:gridCol w:w="60"/>
        <w:gridCol w:w="60"/>
        <w:gridCol w:w="205"/>
        <w:gridCol w:w="1075"/>
        <w:gridCol w:w="89"/>
      </w:tblGrid>
      <w:tr>
        <w:trPr/>
        <w:tc>
          <w:tcPr>
            <w:tcW w:w="2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7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2024</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12 Months or Longer</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Losses</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9"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(12,430</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31,093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(11,969</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3,638</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43,189</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160,221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203,410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(29,568</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43,189</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168,365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(29,924</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five held-to-maturity debt securities in an unrealized loss position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held-to-maturity debt securities in an unrealized loss position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compared to no held-to-maturity debt securities in an unrealized loss position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seven held-to-maturity debt securities in an unrealized loss position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20 available-for-sale securities in an unrealized loss position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121 available-for-sale securities in an unrealized loss position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compared to 22 available-for-sale securities in an unrealized loss position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121 available-for-sale securities in an unrealized loss position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unrealized losses associated with these securities are believed to be caused by changing market conditions and considered to be temporary,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All of the available-for-sale mortgage-backed securities and asset-backed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or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contractual maturities of securities available-for-sale and held-to-maturity at the dates indicated are listed below. Expected maturities of mortgage-backed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contractual maturities because borrowers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the right to call or prepay the obligations; therefore, these securities are classified separately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specific maturity date.</w:t>
      </w:r>
    </w:p>
    <w:p>
      <w:pPr>
        <w:pStyle w:val="TextBody"/>
        <w:bidi w:val="0"/>
        <w:spacing w:before="0" w:after="0"/>
        <w:ind w:left="0" w:right="0" w:hanging="0"/>
        <w:jc w:val="left"/>
        <w:rPr>
          <w:caps w:val="false"/>
          <w:smallCaps w:val="false"/>
        </w:rPr>
      </w:pPr>
      <w:r>
        <w:rPr>
          <w:caps w:val="false"/>
          <w:smallCaps w:val="false"/>
        </w:rPr>
        <w:t> </w:t>
      </w:r>
    </w:p>
    <w:tbl>
      <w:tblPr>
        <w:tblW w:w="8360" w:type="dxa"/>
        <w:jc w:val="left"/>
        <w:tblInd w:w="0" w:type="dxa"/>
        <w:tblLayout w:type="fixed"/>
        <w:tblCellMar>
          <w:top w:w="0" w:type="dxa"/>
          <w:left w:w="0" w:type="dxa"/>
          <w:bottom w:w="0" w:type="dxa"/>
          <w:right w:w="0" w:type="dxa"/>
        </w:tblCellMar>
      </w:tblPr>
      <w:tblGrid>
        <w:gridCol w:w="4550"/>
        <w:gridCol w:w="60"/>
        <w:gridCol w:w="128"/>
        <w:gridCol w:w="717"/>
        <w:gridCol w:w="60"/>
        <w:gridCol w:w="60"/>
        <w:gridCol w:w="125"/>
        <w:gridCol w:w="695"/>
        <w:gridCol w:w="60"/>
        <w:gridCol w:w="60"/>
        <w:gridCol w:w="128"/>
        <w:gridCol w:w="717"/>
        <w:gridCol w:w="60"/>
        <w:gridCol w:w="60"/>
        <w:gridCol w:w="125"/>
        <w:gridCol w:w="695"/>
        <w:gridCol w:w="60"/>
      </w:tblGrid>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agency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4,575</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9,193</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10,766</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2,918</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Municipal bonds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2,168</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3,728</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82,774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Mortgage-backed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National Mortgage Association (“FNMA”)</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80,677</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Mortgage Corporation (“FHLMC”)</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47,773</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Government National Mortgage Association (“GNMA”)</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205,937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197,222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1,037</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2,648</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335,152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311,695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310,272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281,175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29,336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29,658</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Municipal bonds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after five years through ten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2,270</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2,484</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45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366,758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343,837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318,772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289,319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proceeds and resulting gains and losses from sales of securities available-for-sale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12" w:type="dxa"/>
        <w:jc w:val="left"/>
        <w:tblInd w:w="0" w:type="dxa"/>
        <w:tblLayout w:type="fixed"/>
        <w:tblCellMar>
          <w:top w:w="0" w:type="dxa"/>
          <w:left w:w="0" w:type="dxa"/>
          <w:bottom w:w="0" w:type="dxa"/>
          <w:right w:w="0" w:type="dxa"/>
        </w:tblCellMar>
      </w:tblPr>
      <w:tblGrid>
        <w:gridCol w:w="2270"/>
        <w:gridCol w:w="60"/>
        <w:gridCol w:w="360"/>
        <w:gridCol w:w="750"/>
        <w:gridCol w:w="173"/>
        <w:gridCol w:w="173"/>
        <w:gridCol w:w="360"/>
        <w:gridCol w:w="750"/>
        <w:gridCol w:w="173"/>
        <w:gridCol w:w="173"/>
        <w:gridCol w:w="360"/>
        <w:gridCol w:w="750"/>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Three Months Ended 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rStyle w:val="Emphasis"/>
              </w:rPr>
              <w:t> </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Proceeds</w:t>
            </w:r>
          </w:p>
        </w:tc>
        <w:tc>
          <w:tcPr>
            <w:tcW w:w="1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1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CCEEFF" w:val="clear"/>
            <w:vAlign w:val="center"/>
          </w:tcPr>
          <w:p>
            <w:pPr>
              <w:pStyle w:val="TableContents"/>
              <w:bidi w:val="0"/>
              <w:spacing w:before="0" w:after="283"/>
              <w:ind w:left="0" w:right="0" w:hanging="0"/>
              <w:jc w:val="left"/>
              <w:rPr/>
            </w:pPr>
            <w:r>
              <w:rPr/>
              <w:t> </w:t>
            </w:r>
          </w:p>
        </w:tc>
        <w:tc>
          <w:tcPr>
            <w:tcW w:w="3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283"/>
              <w:ind w:left="0" w:right="0" w:hanging="0"/>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3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283"/>
              <w:ind w:left="0" w:right="0" w:hanging="0"/>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3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409" w:type="dxa"/>
        <w:jc w:val="left"/>
        <w:tblInd w:w="0" w:type="dxa"/>
        <w:tblLayout w:type="fixed"/>
        <w:tblCellMar>
          <w:top w:w="0" w:type="dxa"/>
          <w:left w:w="0" w:type="dxa"/>
          <w:bottom w:w="0" w:type="dxa"/>
          <w:right w:w="0" w:type="dxa"/>
        </w:tblCellMar>
      </w:tblPr>
      <w:tblGrid>
        <w:gridCol w:w="2270"/>
        <w:gridCol w:w="60"/>
        <w:gridCol w:w="316"/>
        <w:gridCol w:w="1227"/>
        <w:gridCol w:w="151"/>
        <w:gridCol w:w="151"/>
        <w:gridCol w:w="316"/>
        <w:gridCol w:w="582"/>
        <w:gridCol w:w="151"/>
        <w:gridCol w:w="151"/>
        <w:gridCol w:w="316"/>
        <w:gridCol w:w="658"/>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Three Months Ended September 30,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center"/>
              <w:rPr/>
            </w:pPr>
            <w:r>
              <w:rPr>
                <w:rStyle w:val="Emphasis"/>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Proceeds</w:t>
            </w:r>
          </w:p>
        </w:tc>
        <w:tc>
          <w:tcPr>
            <w:tcW w:w="15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15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CCEEFF" w:val="clear"/>
            <w:vAlign w:val="center"/>
          </w:tcPr>
          <w:p>
            <w:pPr>
              <w:pStyle w:val="TableContents"/>
              <w:bidi w:val="0"/>
              <w:spacing w:before="0" w:after="283"/>
              <w:ind w:left="0" w:right="0" w:hanging="0"/>
              <w:jc w:val="left"/>
              <w:rPr/>
            </w:pPr>
            <w:r>
              <w:rPr/>
              <w:t> </w:t>
            </w:r>
          </w:p>
        </w:tc>
        <w:tc>
          <w:tcPr>
            <w:tcW w:w="3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3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3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6333" w:type="dxa"/>
        <w:jc w:val="left"/>
        <w:tblInd w:w="0" w:type="dxa"/>
        <w:tblLayout w:type="fixed"/>
        <w:tblCellMar>
          <w:top w:w="0" w:type="dxa"/>
          <w:left w:w="0" w:type="dxa"/>
          <w:bottom w:w="0" w:type="dxa"/>
          <w:right w:w="0" w:type="dxa"/>
        </w:tblCellMar>
      </w:tblPr>
      <w:tblGrid>
        <w:gridCol w:w="2270"/>
        <w:gridCol w:w="60"/>
        <w:gridCol w:w="353"/>
        <w:gridCol w:w="736"/>
        <w:gridCol w:w="169"/>
        <w:gridCol w:w="169"/>
        <w:gridCol w:w="353"/>
        <w:gridCol w:w="736"/>
        <w:gridCol w:w="169"/>
        <w:gridCol w:w="169"/>
        <w:gridCol w:w="353"/>
        <w:gridCol w:w="736"/>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Nine Months Ended 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pPr>
            <w:r>
              <w:rPr>
                <w:rStyle w:val="Emphasis"/>
              </w:rPr>
              <w:t> </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Proceeds</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pPr>
            <w:r>
              <w:rPr/>
              <w:t>—</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pPr>
            <w:r>
              <w:rPr/>
              <w:t>—</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356" w:type="dxa"/>
        <w:jc w:val="left"/>
        <w:tblInd w:w="0" w:type="dxa"/>
        <w:tblLayout w:type="fixed"/>
        <w:tblCellMar>
          <w:top w:w="0" w:type="dxa"/>
          <w:left w:w="0" w:type="dxa"/>
          <w:bottom w:w="0" w:type="dxa"/>
          <w:right w:w="0" w:type="dxa"/>
        </w:tblCellMar>
      </w:tblPr>
      <w:tblGrid>
        <w:gridCol w:w="2270"/>
        <w:gridCol w:w="60"/>
        <w:gridCol w:w="225"/>
        <w:gridCol w:w="1253"/>
        <w:gridCol w:w="108"/>
        <w:gridCol w:w="108"/>
        <w:gridCol w:w="225"/>
        <w:gridCol w:w="604"/>
        <w:gridCol w:w="108"/>
        <w:gridCol w:w="108"/>
        <w:gridCol w:w="225"/>
        <w:gridCol w:w="982"/>
        <w:gridCol w:w="8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Nine Months Ended September 30,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center"/>
              <w:rPr/>
            </w:pPr>
            <w:r>
              <w:rPr>
                <w:rStyle w:val="Emphasis"/>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0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Proceeds</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101,907</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3</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LOANS RECEIVABLE AND ALLOWANCE FOR CREDIT LOSSES </w:t>
      </w:r>
      <w:r>
        <w:rPr>
          <w:rFonts w:ascii="Times New Roman" w:hAnsi="Times New Roman"/>
          <w:caps w:val="false"/>
          <w:smallCaps w:val="false"/>
          <w:sz w:val="20"/>
        </w:rPr>
        <w:t xml:space="preserve">– </w:t>
      </w:r>
      <w:r>
        <w:rPr>
          <w:rFonts w:ascii="Times New Roman" w:hAnsi="Times New Roman"/>
          <w:b/>
          <w:caps w:val="false"/>
          <w:smallCaps w:val="false"/>
          <w:sz w:val="20"/>
        </w:rPr>
        <w:t>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composition of the loan portfolio was as follows at the dates indicated:</w:t>
      </w:r>
    </w:p>
    <w:p>
      <w:pPr>
        <w:pStyle w:val="TextBody"/>
        <w:bidi w:val="0"/>
        <w:spacing w:before="0" w:after="0"/>
        <w:ind w:left="0" w:right="0" w:hanging="0"/>
        <w:jc w:val="left"/>
        <w:rPr>
          <w:caps w:val="false"/>
          <w:smallCaps w:val="false"/>
        </w:rPr>
      </w:pPr>
      <w:r>
        <w:rPr>
          <w:caps w:val="false"/>
          <w:smallCaps w:val="false"/>
        </w:rPr>
        <w:t> </w:t>
      </w:r>
    </w:p>
    <w:tbl>
      <w:tblPr>
        <w:tblW w:w="7433" w:type="dxa"/>
        <w:jc w:val="left"/>
        <w:tblInd w:w="0" w:type="dxa"/>
        <w:tblLayout w:type="fixed"/>
        <w:tblCellMar>
          <w:top w:w="0" w:type="dxa"/>
          <w:left w:w="0" w:type="dxa"/>
          <w:bottom w:w="0" w:type="dxa"/>
          <w:right w:w="0" w:type="dxa"/>
        </w:tblCellMar>
      </w:tblPr>
      <w:tblGrid>
        <w:gridCol w:w="4850"/>
        <w:gridCol w:w="60"/>
        <w:gridCol w:w="151"/>
        <w:gridCol w:w="1023"/>
        <w:gridCol w:w="80"/>
        <w:gridCol w:w="60"/>
        <w:gridCol w:w="145"/>
        <w:gridCol w:w="984"/>
        <w:gridCol w:w="8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COMMERCIAL REAL ESTATE ("CRE") LOANS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170,396</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CRE non-owner occupied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174,921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280,798</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245,222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CRE loans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932,689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871,337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RESIDENTIAL REAL ESTATE LOANS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617,322</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75,147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Residential custom construction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49,902</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Total residential 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102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769,903</w:t>
            </w:r>
          </w:p>
        </w:tc>
        <w:tc>
          <w:tcPr>
            <w:tcW w:w="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9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742,371</w:t>
            </w:r>
          </w:p>
        </w:tc>
        <w:tc>
          <w:tcPr>
            <w:tcW w:w="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541,946</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74,931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600,779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620,181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industrial (“C&amp;I”)</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287,014</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326,286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299,932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 receivable, gross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2,629,657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2,533,821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ACL on loans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2,599,601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2,501,951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 amounts are net of unearned loan fees in excess of unamortized costs, unamortized net discounts on acquired loans, and premiums on purchased loans of $8.9 million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$8.0 million as of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Net loans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accrued interest receivable.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Most of the Company’s CRE and multi-family real estate, construction, residential, and/or commercial business lending activities are with customers located in Western Washington, the Oregon Coast, or near our loan production offices in Vancouver and the Tri-Cities, Washington. While the Company primarily originates real estate, consumer, and commercial business loans in these market areas, it also originates indirect home improvement loans, including solar-related home improvement loans, through a network of home improvement contractors and dealers located throughout Washington, Oregon, California, Idaho, Colorado, Arizona, Minnesota, Nevada, Texas, Utah, Massachusetts, Montana, and New Hampshire. Depending on underwriting guidelines, these indirect home improvement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secured by collateral, with legal documentation that establishes the Company's rights to the collateral, where practicable. Local economic conditions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borrowers’ ability to meet the stated repayment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held approximately $1.07 billion in loans that are pledged as collateral for FHLB borrowings, compared to approximately $1.11 billion at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held approximately $585.2 million in loans that are pledged as collateral for the Federal Reserve Bank of San Francisco (the “FRB”) line of credit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compared to approximately $606.5 million at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defined its loan portfolio into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segments that reflect the structure of the lending function, the Company’s strategic plan and the way management monitors performance and credit quality. The </w:t>
      </w:r>
      <w:r>
        <w:rPr>
          <w:rStyle w:val="Emphasis"/>
          <w:rFonts w:ascii="Times New Roman" w:hAnsi="Times New Roman"/>
          <w:caps w:val="false"/>
          <w:smallCaps w:val="false"/>
          <w:sz w:val="20"/>
        </w:rPr>
        <w:t>four</w:t>
      </w:r>
      <w:r>
        <w:rPr>
          <w:rFonts w:ascii="Times New Roman" w:hAnsi="Times New Roman"/>
          <w:caps w:val="false"/>
          <w:smallCaps w:val="false"/>
          <w:sz w:val="20"/>
        </w:rPr>
        <w:t> loan portfolio segments are: (a) CRE, (b) residential real estate, (c) consumer, and (d) commercial business. Each of these segments is disaggregated into classes based on the risk characteristics of the borrower and/or the collateral type securing the loan. The following is a summary of each of the Company’s loan portfolio segments and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Multi-Family Lending</w:t>
      </w:r>
      <w:r>
        <w:rPr>
          <w:rFonts w:ascii="Times New Roman" w:hAnsi="Times New Roman"/>
          <w:caps w:val="false"/>
          <w:smallCaps w:val="false"/>
          <w:sz w:val="20"/>
        </w:rPr>
        <w:t>. Apartment term lending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or more units) to current banking customers and community reinvestment loans for low to moderate income individuals in the Company’s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CRE Lending</w:t>
      </w:r>
      <w:r>
        <w:rPr>
          <w:rFonts w:ascii="Times New Roman" w:hAnsi="Times New Roman"/>
          <w:caps w:val="false"/>
          <w:smallCaps w:val="false"/>
          <w:sz w:val="20"/>
        </w:rPr>
        <w:t>. Loans originated by the Company primarily secured by income-producing properties, including retail centers, warehouses, and office buildings located in our market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Commercial and Speculative Construction and Development Lending</w:t>
      </w:r>
      <w:r>
        <w:rPr>
          <w:rFonts w:ascii="Times New Roman" w:hAnsi="Times New Roman"/>
          <w:caps w:val="false"/>
          <w:smallCaps w:val="false"/>
          <w:sz w:val="20"/>
        </w:rPr>
        <w:t xml:space="preserve">. Loans originated by the Company for the construction of, and secured by, commercial real estate,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and multi-family residences and tracts of land for development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pre-sold. Custom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construction loans to the intended occupant of the residence are included under residential custom construction lending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Residential Real Estate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One-to-Four-Family Real Estate Lending</w:t>
      </w:r>
      <w:r>
        <w:rPr>
          <w:rFonts w:ascii="Times New Roman" w:hAnsi="Times New Roman"/>
          <w:caps w:val="false"/>
          <w:smallCaps w:val="false"/>
          <w:sz w:val="20"/>
        </w:rPr>
        <w:t>. One-to-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residential loans include both owner occupied properties (including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homes), and non-owner-occupied properties with up 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units. These loans, which are originated by the Company or periodically purchased from other banks, are secured by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mortgages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residences in our market areas and are intended to be held in the Company's portfolio (excludes loans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Home Equity Lending</w:t>
      </w:r>
      <w:r>
        <w:rPr>
          <w:rFonts w:ascii="Times New Roman" w:hAnsi="Times New Roman"/>
          <w:caps w:val="false"/>
          <w:smallCaps w:val="false"/>
          <w:sz w:val="20"/>
        </w:rPr>
        <w:t xml:space="preserve">. Loans originated by the Company secured by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mortgages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residences, including home equity lines of credit in our market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Residential Custom Construction Lending</w:t>
      </w:r>
      <w:r>
        <w:rPr>
          <w:rFonts w:ascii="Times New Roman" w:hAnsi="Times New Roman"/>
          <w:caps w:val="false"/>
          <w:smallCaps w:val="false"/>
          <w:sz w:val="20"/>
        </w:rPr>
        <w:t>.  One-to-</w:t>
      </w:r>
      <w:r>
        <w:rPr>
          <w:rStyle w:val="Emphasis"/>
          <w:rFonts w:ascii="Times New Roman" w:hAnsi="Times New Roman"/>
          <w:caps w:val="false"/>
          <w:smallCaps w:val="false"/>
          <w:sz w:val="20"/>
        </w:rPr>
        <w:t>four</w:t>
      </w:r>
      <w:r>
        <w:rPr>
          <w:rFonts w:ascii="Times New Roman" w:hAnsi="Times New Roman"/>
          <w:caps w:val="false"/>
          <w:smallCaps w:val="false"/>
          <w:sz w:val="20"/>
        </w:rPr>
        <w:t>-family custom construction loans to the intended occupant of the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Consumer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Indirect Home Improvement</w:t>
      </w:r>
      <w:r>
        <w:rPr>
          <w:rFonts w:ascii="Times New Roman" w:hAnsi="Times New Roman"/>
          <w:caps w:val="false"/>
          <w:smallCaps w:val="false"/>
          <w:sz w:val="20"/>
        </w:rPr>
        <w:t xml:space="preserve">. Fixture secured loans for home improvement are originated by the Company through its network of home improvement contractors and dealers and are secured by the personal property installed in, on, or at the borrower’s real property,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perfected with a </w:t>
      </w:r>
      <w:r>
        <w:rPr>
          <w:rStyle w:val="Emphasis"/>
          <w:rFonts w:ascii="Times New Roman" w:hAnsi="Times New Roman"/>
          <w:caps w:val="false"/>
          <w:smallCaps w:val="false"/>
          <w:sz w:val="20"/>
        </w:rPr>
        <w:t>UCC</w:t>
        <w:noBreakHyphen/>
        <w:t>2</w:t>
      </w:r>
      <w:r>
        <w:rPr>
          <w:rFonts w:ascii="Times New Roman" w:hAnsi="Times New Roman"/>
          <w:caps w:val="false"/>
          <w:smallCaps w:val="false"/>
          <w:sz w:val="20"/>
        </w:rPr>
        <w:t xml:space="preserve"> financing statement filed in the county of the borrower’s residence. These indirect home improvement loans include replacement windows, siding, roofing, spas, and other home fixture installations, including solar related home improvement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Marine</w:t>
      </w:r>
      <w:r>
        <w:rPr>
          <w:rFonts w:ascii="Times New Roman" w:hAnsi="Times New Roman"/>
          <w:caps w:val="false"/>
          <w:smallCaps w:val="false"/>
          <w:sz w:val="20"/>
        </w:rPr>
        <w:t>. Loans originated by the Company, secured by boats, to borrowers primarily located in states where the Company originates consumer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Consumer</w:t>
      </w:r>
      <w:r>
        <w:rPr>
          <w:rFonts w:ascii="Times New Roman" w:hAnsi="Times New Roman"/>
          <w:caps w:val="false"/>
          <w:smallCaps w:val="false"/>
          <w:sz w:val="20"/>
        </w:rPr>
        <w:t>. Loans originated by the Company to consumers in our retail branch footprint, including automobiles, direct home improvement loans, loans on deposits, and other consumer loans, primarily consisting of personal lines of credit and credit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Commercial Business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C&amp;I</w:t>
      </w:r>
      <w:r>
        <w:rPr>
          <w:rFonts w:ascii="Times New Roman" w:hAnsi="Times New Roman"/>
          <w:caps w:val="false"/>
          <w:smallCaps w:val="false"/>
          <w:sz w:val="20"/>
        </w:rPr>
        <w:t> </w:t>
      </w:r>
      <w:r>
        <w:rPr>
          <w:rFonts w:ascii="Times New Roman" w:hAnsi="Times New Roman"/>
          <w:i/>
          <w:caps w:val="false"/>
          <w:smallCaps w:val="false"/>
          <w:sz w:val="20"/>
        </w:rPr>
        <w:t xml:space="preserve">Lending. </w:t>
      </w:r>
      <w:r>
        <w:rPr>
          <w:rFonts w:ascii="Times New Roman" w:hAnsi="Times New Roman"/>
          <w:caps w:val="false"/>
          <w:smallCaps w:val="false"/>
          <w:sz w:val="20"/>
        </w:rPr>
        <w:t xml:space="preserve">C&amp;I loans originated by the Company to local small- and mid-sized businesses in our market area are secured primarily by accounts receivable, inventory, or personal property, plant and equipment. Some C&amp;I loans purchased by the Company are outside of our market area. C&amp;I loans are made based on the borrower’s ability to make repayment from the cash flow of the borrower’s business.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C&amp;I loans included Small Business Administration and United States Department of Agriculture guaranteed certificates of $46.1 million and $52.6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i/>
          <w:sz w:val="20"/>
        </w:rPr>
        <w:t>Warehouse Lending</w:t>
      </w:r>
      <w:r>
        <w:rPr>
          <w:rFonts w:ascii="Times New Roman;Times;serif" w:hAnsi="Times New Roman;Times;serif"/>
          <w:sz w:val="20"/>
        </w:rPr>
        <w:t xml:space="preserve">. Loans originated to non-depository financial institutions and secured by notes originated by the non-depository financial institution.  The Company has </w:t>
      </w:r>
      <w:r>
        <w:rPr>
          <w:rStyle w:val="Emphasis"/>
          <w:rFonts w:ascii="Times New Roman;Times;serif" w:hAnsi="Times New Roman;Times;serif"/>
          <w:sz w:val="20"/>
        </w:rPr>
        <w:t>two</w:t>
      </w:r>
      <w:r>
        <w:rPr>
          <w:rFonts w:ascii="Times New Roman;Times;serif" w:hAnsi="Times New Roman;Times;serif"/>
          <w:sz w:val="20"/>
        </w:rPr>
        <w:t xml:space="preserve"> distinct warehouse lending divisions: commercial warehouse re-lending secured by notes on construction loans and mortgage warehouse re-lending secured by notes on </w:t>
      </w:r>
      <w:r>
        <w:rPr>
          <w:rStyle w:val="Emphasis"/>
          <w:rFonts w:ascii="Times New Roman;Times;serif" w:hAnsi="Times New Roman;Times;serif"/>
          <w:sz w:val="20"/>
        </w:rPr>
        <w:t>one</w:t>
      </w:r>
      <w:r>
        <w:rPr>
          <w:rFonts w:ascii="Times New Roman;Times;serif" w:hAnsi="Times New Roman;Times;serif"/>
          <w:sz w:val="20"/>
        </w:rPr>
        <w:t>-to-</w:t>
      </w:r>
      <w:r>
        <w:rPr>
          <w:rStyle w:val="Emphasis"/>
          <w:rFonts w:ascii="Times New Roman;Times;serif" w:hAnsi="Times New Roman;Times;serif"/>
          <w:sz w:val="20"/>
        </w:rPr>
        <w:t>four</w:t>
      </w:r>
      <w:r>
        <w:rPr>
          <w:rFonts w:ascii="Times New Roman;Times;serif" w:hAnsi="Times New Roman;Times;serif"/>
          <w:sz w:val="20"/>
        </w:rPr>
        <w:t xml:space="preserve">-family loans. The Company’s commercial construction warehouse lines are secured by notes on construction loans and typically guaranteed by principals with experience in construction lending.  Mortgage warehouse lending loans are funded through </w:t>
      </w:r>
      <w:r>
        <w:rPr>
          <w:rStyle w:val="Emphasis"/>
          <w:rFonts w:ascii="Times New Roman;Times;serif" w:hAnsi="Times New Roman;Times;serif"/>
          <w:sz w:val="20"/>
        </w:rPr>
        <w:t>third</w:t>
      </w:r>
      <w:r>
        <w:rPr>
          <w:rFonts w:ascii="Times New Roman;Times;serif" w:hAnsi="Times New Roman;Times;serif"/>
          <w:sz w:val="20"/>
        </w:rPr>
        <w:t>-party residential mortgage bankers. Under this program, the Company provides short-term funding to the mortgage banking companies for the purpose of originating residential mortgage loans for sale into the secondary market.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detail activity in the ACL on loans by loan categories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30" w:type="dxa"/>
        <w:jc w:val="left"/>
        <w:tblInd w:w="0" w:type="dxa"/>
        <w:tblLayout w:type="fixed"/>
        <w:tblCellMar>
          <w:top w:w="0" w:type="dxa"/>
          <w:left w:w="0" w:type="dxa"/>
          <w:bottom w:w="0" w:type="dxa"/>
          <w:right w:w="0" w:type="dxa"/>
        </w:tblCellMar>
      </w:tblPr>
      <w:tblGrid>
        <w:gridCol w:w="3845"/>
        <w:gridCol w:w="60"/>
        <w:gridCol w:w="144"/>
        <w:gridCol w:w="628"/>
        <w:gridCol w:w="92"/>
        <w:gridCol w:w="69"/>
        <w:gridCol w:w="194"/>
        <w:gridCol w:w="756"/>
        <w:gridCol w:w="92"/>
        <w:gridCol w:w="69"/>
        <w:gridCol w:w="147"/>
        <w:gridCol w:w="698"/>
        <w:gridCol w:w="92"/>
        <w:gridCol w:w="69"/>
        <w:gridCol w:w="206"/>
        <w:gridCol w:w="804"/>
        <w:gridCol w:w="92"/>
        <w:gridCol w:w="69"/>
        <w:gridCol w:w="144"/>
        <w:gridCol w:w="680"/>
        <w:gridCol w:w="80"/>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4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2" w:type="dxa"/>
            <w:gridSpan w:val="2"/>
            <w:tcBorders/>
            <w:shd w:fill="FFFFFF" w:val="clear"/>
            <w:vAlign w:val="center"/>
          </w:tcPr>
          <w:p>
            <w:pPr>
              <w:pStyle w:val="TableContents"/>
              <w:bidi w:val="0"/>
              <w:spacing w:before="0" w:after="283"/>
              <w:jc w:val="center"/>
              <w:rPr/>
            </w:pPr>
            <w:r>
              <w:rPr>
                <w:rStyle w:val="Emphasis"/>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Residential</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center"/>
              <w:rPr/>
            </w:pPr>
            <w:r>
              <w:rPr>
                <w:rStyle w:val="Emphasis"/>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Commercial</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60" w:type="dxa"/>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CRE</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Real Estate</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Consumer</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Business</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15,075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32,189</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(reversal of) credit losses on loans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2,452</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1,852</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w:t>
            </w:r>
          </w:p>
        </w:tc>
        <w:tc>
          <w:tcPr>
            <w:tcW w:w="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(2,044</w:t>
            </w:r>
          </w:p>
        </w:tc>
        <w:tc>
          <w:tcPr>
            <w:tcW w:w="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(charge-offs) recoveries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4,792</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7,489</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15,833</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1,942</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56" w:type="dxa"/>
        <w:jc w:val="left"/>
        <w:tblInd w:w="0" w:type="dxa"/>
        <w:tblLayout w:type="fixed"/>
        <w:tblCellMar>
          <w:top w:w="0" w:type="dxa"/>
          <w:left w:w="0" w:type="dxa"/>
          <w:bottom w:w="0" w:type="dxa"/>
          <w:right w:w="0" w:type="dxa"/>
        </w:tblCellMar>
      </w:tblPr>
      <w:tblGrid>
        <w:gridCol w:w="3920"/>
        <w:gridCol w:w="60"/>
        <w:gridCol w:w="147"/>
        <w:gridCol w:w="571"/>
        <w:gridCol w:w="94"/>
        <w:gridCol w:w="70"/>
        <w:gridCol w:w="194"/>
        <w:gridCol w:w="756"/>
        <w:gridCol w:w="70"/>
        <w:gridCol w:w="70"/>
        <w:gridCol w:w="147"/>
        <w:gridCol w:w="698"/>
        <w:gridCol w:w="94"/>
        <w:gridCol w:w="70"/>
        <w:gridCol w:w="206"/>
        <w:gridCol w:w="804"/>
        <w:gridCol w:w="94"/>
        <w:gridCol w:w="70"/>
        <w:gridCol w:w="147"/>
        <w:gridCol w:w="694"/>
        <w:gridCol w:w="80"/>
      </w:tblGrid>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6"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September 30,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Residential</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Commercial</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60" w:type="dxa"/>
            <w:tcBorders/>
            <w:shd w:fill="FFFFFF" w:val="clear"/>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CRE</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Real Estate</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Consumer</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Business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6,671</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3,897</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31,238</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(Reversal of) provision for credit losses on loans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5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2,102</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571" w:type="dxa"/>
            <w:tcBorders/>
            <w:shd w:fill="CCEEFF" w:val="cle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(1,964</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(charge-offs) recoveries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6,568</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7,566</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13,752</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3,346</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3845"/>
        <w:gridCol w:w="60"/>
        <w:gridCol w:w="142"/>
        <w:gridCol w:w="621"/>
        <w:gridCol w:w="91"/>
        <w:gridCol w:w="68"/>
        <w:gridCol w:w="194"/>
        <w:gridCol w:w="756"/>
        <w:gridCol w:w="68"/>
        <w:gridCol w:w="68"/>
        <w:gridCol w:w="147"/>
        <w:gridCol w:w="698"/>
        <w:gridCol w:w="91"/>
        <w:gridCol w:w="68"/>
        <w:gridCol w:w="206"/>
        <w:gridCol w:w="804"/>
        <w:gridCol w:w="91"/>
        <w:gridCol w:w="68"/>
        <w:gridCol w:w="142"/>
        <w:gridCol w:w="672"/>
        <w:gridCol w:w="80"/>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Nine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Residential</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ACL ON LOANS</w:t>
            </w:r>
          </w:p>
        </w:tc>
        <w:tc>
          <w:tcPr>
            <w:tcW w:w="60"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CRE</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Real Estate</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Consumer</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Business</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31,870</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(reversal of) credit losses on loans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5,072</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(4,232</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4,792</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7,489</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15,833</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86" w:type="dxa"/>
        <w:jc w:val="left"/>
        <w:tblInd w:w="0" w:type="dxa"/>
        <w:tblLayout w:type="fixed"/>
        <w:tblCellMar>
          <w:top w:w="0" w:type="dxa"/>
          <w:left w:w="0" w:type="dxa"/>
          <w:bottom w:w="0" w:type="dxa"/>
          <w:right w:w="0" w:type="dxa"/>
        </w:tblCellMar>
      </w:tblPr>
      <w:tblGrid>
        <w:gridCol w:w="3920"/>
        <w:gridCol w:w="60"/>
        <w:gridCol w:w="142"/>
        <w:gridCol w:w="552"/>
        <w:gridCol w:w="91"/>
        <w:gridCol w:w="68"/>
        <w:gridCol w:w="194"/>
        <w:gridCol w:w="756"/>
        <w:gridCol w:w="68"/>
        <w:gridCol w:w="68"/>
        <w:gridCol w:w="147"/>
        <w:gridCol w:w="698"/>
        <w:gridCol w:w="91"/>
        <w:gridCol w:w="68"/>
        <w:gridCol w:w="188"/>
        <w:gridCol w:w="822"/>
        <w:gridCol w:w="91"/>
        <w:gridCol w:w="68"/>
        <w:gridCol w:w="142"/>
        <w:gridCol w:w="672"/>
        <w:gridCol w:w="80"/>
      </w:tblGrid>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26"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Nine Months Ended September 30,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Residential</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ACL ON LOANS</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CRE</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Real Estate</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Consumer</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Business</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7,293</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13,357</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31,534</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 provision for credit losses on loans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4,013</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6,568</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7,566</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13,752</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3,346</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The increase in the provision for credit losses on loans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was primarily the result of elevated net charge-offs in the consumer loan portfolio, particularly in indirect home improvement loans.  The ACL on loans decreased primarily due to a partial charge-off of $2.3 million on a single CRE loan. As the partial charge-off was previously reserved for in prior periods, it did </w:t>
      </w:r>
      <w:r>
        <w:rPr>
          <w:rStyle w:val="Emphasis"/>
          <w:rFonts w:ascii="Times New Roman;Times;serif" w:hAnsi="Times New Roman;Times;serif"/>
          <w:sz w:val="20"/>
        </w:rPr>
        <w:t>not</w:t>
      </w:r>
      <w:r>
        <w:rPr>
          <w:rFonts w:ascii="Times New Roman;Times;serif" w:hAnsi="Times New Roman;Times;serif"/>
          <w:sz w:val="20"/>
        </w:rPr>
        <w:t xml:space="preserve"> result in an additional provisioning impact in the current period. The most significant qualitative factor affecting the ACL was an increase in reserves attributable to higher levels of past due and nonperforming loans, as well as higher net charge-offs on consumer loans relative to prior periods.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i/>
          <w:sz w:val="20"/>
        </w:rPr>
        <w:t>Nonaccrual and Past Due Loans</w:t>
      </w:r>
      <w:r>
        <w:rPr>
          <w:rFonts w:ascii="Times New Roman;Times;serif" w:hAnsi="Times New Roman;Times;serif"/>
          <w:sz w:val="20"/>
        </w:rPr>
        <w:t xml:space="preserve">. Loans are considered past due if the required principal and interest payments have </w:t>
      </w:r>
      <w:r>
        <w:rPr>
          <w:rStyle w:val="Emphasis"/>
          <w:rFonts w:ascii="Times New Roman;Times;serif" w:hAnsi="Times New Roman;Times;serif"/>
          <w:sz w:val="20"/>
        </w:rPr>
        <w:t>not</w:t>
      </w:r>
      <w:r>
        <w:rPr>
          <w:rFonts w:ascii="Times New Roman;Times;serif" w:hAnsi="Times New Roman;Times;serif"/>
          <w:sz w:val="20"/>
        </w:rPr>
        <w:t xml:space="preserve"> been received as of the date such payments were due. Loans are automatically placed on nonaccrual once the loan is </w:t>
      </w:r>
      <w:r>
        <w:rPr>
          <w:rStyle w:val="Emphasis"/>
          <w:rFonts w:ascii="Times New Roman;Times;serif" w:hAnsi="Times New Roman;Times;serif"/>
          <w:sz w:val="20"/>
        </w:rPr>
        <w:t>90</w:t>
      </w:r>
      <w:r>
        <w:rPr>
          <w:rFonts w:ascii="Times New Roman;Times;serif" w:hAnsi="Times New Roman;Times;serif"/>
          <w:sz w:val="20"/>
        </w:rPr>
        <w:t xml:space="preserve"> days past due or sooner if, in management’s opinion, the borrower </w:t>
      </w:r>
      <w:r>
        <w:rPr>
          <w:rStyle w:val="Emphasis"/>
          <w:rFonts w:ascii="Times New Roman;Times;serif" w:hAnsi="Times New Roman;Times;serif"/>
          <w:sz w:val="20"/>
        </w:rPr>
        <w:t xml:space="preserve">may </w:t>
      </w:r>
      <w:r>
        <w:rPr>
          <w:rFonts w:ascii="Times New Roman;Times;serif" w:hAnsi="Times New Roman;Times;serif"/>
          <w:sz w:val="20"/>
        </w:rPr>
        <w:t>be unable to meet payment obligations as they become due, or as required by regulatory authorities.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Loan Modifications to Borrowers Experiencing Financial Difficulty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modify the contractual terms of a loan to a borrower experiencing financial difficulty as a part of ongoing loss mitigation strategies. These modifications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an interest rate reduction, term extension, an other-than-insignificant payment delay, or a combination thereof. The Company typically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 principal forgiveness. An assessment of whether a borrower is experiencing financial difficulty is made on the date of a modification. The effect of most modifications made to borrowers experiencing financial difficulty is already included in the ACL on loans because of the measurement methodologies used to estimate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present the amortized cost basis of loans that were both experiencing financial difficulty and modified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by class and by type of modification. The tables also present the percentage of the amortized cost basis of loans modified for borrowers experiencing financial difficulty relative to the total amortized cost basis of each class of financing receivable, as well as the financial effect of the modification.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5"/>
        <w:gridCol w:w="60"/>
        <w:gridCol w:w="305"/>
        <w:gridCol w:w="1180"/>
        <w:gridCol w:w="144"/>
        <w:gridCol w:w="144"/>
        <w:gridCol w:w="271"/>
        <w:gridCol w:w="671"/>
        <w:gridCol w:w="447"/>
        <w:gridCol w:w="144"/>
        <w:gridCol w:w="153"/>
        <w:gridCol w:w="705"/>
        <w:gridCol w:w="60"/>
        <w:gridCol w:w="60"/>
        <w:gridCol w:w="282"/>
        <w:gridCol w:w="1089"/>
        <w:gridCol w:w="133"/>
        <w:gridCol w:w="133"/>
        <w:gridCol w:w="135"/>
        <w:gridCol w:w="855"/>
        <w:gridCol w:w="413"/>
        <w:gridCol w:w="133"/>
        <w:gridCol w:w="153"/>
        <w:gridCol w:w="705"/>
        <w:gridCol w:w="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6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Three Months Ended 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Nine Months Ended September 30, 2025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center"/>
              <w:rPr/>
            </w:pPr>
            <w:r>
              <w:rPr>
                <w:rStyle w:val="Emphasis"/>
              </w:rPr>
              <w:t> </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44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center"/>
              <w:rPr/>
            </w:pPr>
            <w:r>
              <w:rPr>
                <w:rStyle w:val="Emphasis"/>
              </w:rPr>
              <w:t> </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pPr>
            <w:r>
              <w:rPr>
                <w:rStyle w:val="Emphasis"/>
              </w:rPr>
              <w:t> </w:t>
            </w:r>
          </w:p>
        </w:tc>
        <w:tc>
          <w:tcPr>
            <w:tcW w:w="41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w:t>
            </w:r>
          </w:p>
        </w:tc>
        <w:tc>
          <w:tcPr>
            <w:tcW w:w="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center"/>
              <w:rPr/>
            </w:pPr>
            <w:r>
              <w:rPr>
                <w:rStyle w:val="Emphasis"/>
              </w:rPr>
              <w:t> </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44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center"/>
              <w:rPr/>
            </w:pPr>
            <w:r>
              <w:rPr>
                <w:rStyle w:val="Emphasis"/>
              </w:rPr>
              <w:t> </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pPr>
            <w:r>
              <w:rPr>
                <w:rStyle w:val="Emphasis"/>
              </w:rPr>
              <w:t> </w:t>
            </w:r>
          </w:p>
        </w:tc>
        <w:tc>
          <w:tcPr>
            <w:tcW w:w="41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Average</w:t>
            </w:r>
          </w:p>
        </w:tc>
        <w:tc>
          <w:tcPr>
            <w:tcW w:w="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Combination</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44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Combination</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pPr>
            <w:r>
              <w:rPr>
                <w:rStyle w:val="Emphasis"/>
              </w:rPr>
              <w:t> </w:t>
            </w:r>
          </w:p>
        </w:tc>
        <w:tc>
          <w:tcPr>
            <w:tcW w:w="41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44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41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 of</w:t>
            </w:r>
          </w:p>
        </w:tc>
        <w:tc>
          <w:tcPr>
            <w:tcW w:w="44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 of</w:t>
            </w:r>
          </w:p>
        </w:tc>
        <w:tc>
          <w:tcPr>
            <w:tcW w:w="41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Financing</w:t>
            </w:r>
          </w:p>
        </w:tc>
        <w:tc>
          <w:tcPr>
            <w:tcW w:w="44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Financing</w:t>
            </w:r>
          </w:p>
        </w:tc>
        <w:tc>
          <w:tcPr>
            <w:tcW w:w="41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Receivable</w:t>
            </w:r>
          </w:p>
        </w:tc>
        <w:tc>
          <w:tcPr>
            <w:tcW w:w="4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Receivable</w:t>
            </w:r>
          </w:p>
        </w:tc>
        <w:tc>
          <w:tcPr>
            <w:tcW w:w="4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 years)</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4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4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031" w:type="dxa"/>
        <w:jc w:val="left"/>
        <w:tblInd w:w="0" w:type="dxa"/>
        <w:tblLayout w:type="fixed"/>
        <w:tblCellMar>
          <w:top w:w="0" w:type="dxa"/>
          <w:left w:w="0" w:type="dxa"/>
          <w:bottom w:w="0" w:type="dxa"/>
          <w:right w:w="0" w:type="dxa"/>
        </w:tblCellMar>
      </w:tblPr>
      <w:tblGrid>
        <w:gridCol w:w="1760"/>
        <w:gridCol w:w="60"/>
        <w:gridCol w:w="329"/>
        <w:gridCol w:w="1280"/>
        <w:gridCol w:w="158"/>
        <w:gridCol w:w="166"/>
        <w:gridCol w:w="754"/>
        <w:gridCol w:w="488"/>
        <w:gridCol w:w="158"/>
        <w:gridCol w:w="725"/>
        <w:gridCol w:w="60"/>
        <w:gridCol w:w="321"/>
        <w:gridCol w:w="1248"/>
        <w:gridCol w:w="154"/>
        <w:gridCol w:w="286"/>
        <w:gridCol w:w="708"/>
        <w:gridCol w:w="476"/>
        <w:gridCol w:w="154"/>
        <w:gridCol w:w="746"/>
      </w:tblGrid>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8"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Three Months Ended September 30, 2024</w:t>
            </w:r>
          </w:p>
        </w:tc>
        <w:tc>
          <w:tcPr>
            <w:tcW w:w="60" w:type="dxa"/>
            <w:tcBorders/>
            <w:shd w:fill="FFFFFF" w:val="clear"/>
            <w:vAlign w:val="center"/>
          </w:tcPr>
          <w:p>
            <w:pPr>
              <w:pStyle w:val="TableContents"/>
              <w:bidi w:val="0"/>
              <w:spacing w:before="0" w:after="283"/>
              <w:jc w:val="left"/>
              <w:rPr/>
            </w:pPr>
            <w:r>
              <w:rPr/>
              <w:t> </w:t>
            </w:r>
          </w:p>
        </w:tc>
        <w:tc>
          <w:tcPr>
            <w:tcW w:w="4093"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the Nine Months Ended September 30, 2024</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shd w:fill="FFFFFF" w:val="clear"/>
            <w:vAlign w:val="center"/>
          </w:tcPr>
          <w:p>
            <w:pPr>
              <w:pStyle w:val="TableContents"/>
              <w:bidi w:val="0"/>
              <w:spacing w:before="0" w:after="283"/>
              <w:jc w:val="left"/>
              <w:rPr/>
            </w:pPr>
            <w:r>
              <w:rPr>
                <w:rStyle w:val="Emphasis"/>
              </w:rPr>
              <w:t> </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shd w:fill="FFFFFF" w:val="clear"/>
            <w:vAlign w:val="center"/>
          </w:tcPr>
          <w:p>
            <w:pPr>
              <w:pStyle w:val="TableContents"/>
              <w:bidi w:val="0"/>
              <w:spacing w:before="0" w:after="283"/>
              <w:jc w:val="left"/>
              <w:rPr/>
            </w:pPr>
            <w:r>
              <w:rPr>
                <w:rStyle w:val="Emphasis"/>
              </w:rPr>
              <w:t> </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left"/>
              <w:rPr/>
            </w:pPr>
            <w:r>
              <w:rPr>
                <w:rStyle w:val="Emphasis"/>
              </w:rPr>
              <w:t> </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shd w:fill="FFFFFF" w:val="clear"/>
            <w:vAlign w:val="center"/>
          </w:tcPr>
          <w:p>
            <w:pPr>
              <w:pStyle w:val="TableContents"/>
              <w:bidi w:val="0"/>
              <w:spacing w:before="0" w:after="283"/>
              <w:jc w:val="left"/>
              <w:rPr/>
            </w:pPr>
            <w:r>
              <w:rPr>
                <w:rStyle w:val="Emphasis"/>
              </w:rPr>
              <w:t> </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shd w:fill="FFFFFF" w:val="clear"/>
            <w:vAlign w:val="center"/>
          </w:tcPr>
          <w:p>
            <w:pPr>
              <w:pStyle w:val="TableContents"/>
              <w:bidi w:val="0"/>
              <w:spacing w:before="0" w:after="283"/>
              <w:jc w:val="left"/>
              <w:rPr/>
            </w:pPr>
            <w:r>
              <w:rPr>
                <w:rStyle w:val="Emphasis"/>
              </w:rPr>
              <w:t> </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left"/>
              <w:rPr/>
            </w:pPr>
            <w:r>
              <w:rPr>
                <w:rStyle w:val="Emphasis"/>
              </w:rPr>
              <w:t> </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Average</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Combination</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Combination</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left"/>
              <w:rPr/>
            </w:pPr>
            <w:r>
              <w:rPr>
                <w:rStyle w:val="Emphasis"/>
              </w:rPr>
              <w:t> </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Term</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 of</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Extension</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 of</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Financing</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Financing</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 LOANS</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158" w:type="dxa"/>
            <w:tcBorders/>
            <w:shd w:fill="FFFFFF" w:val="clear"/>
            <w:vAlign w:val="center"/>
          </w:tcPr>
          <w:p>
            <w:pPr>
              <w:pStyle w:val="TableContents"/>
              <w:bidi w:val="0"/>
              <w:spacing w:before="0" w:after="283"/>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Receivable</w:t>
            </w:r>
          </w:p>
        </w:tc>
        <w:tc>
          <w:tcPr>
            <w:tcW w:w="488" w:type="dxa"/>
            <w:tcBorders/>
            <w:shd w:fill="FFFFFF" w:val="clear"/>
            <w:vAlign w:val="center"/>
          </w:tcPr>
          <w:p>
            <w:pPr>
              <w:pStyle w:val="TableContents"/>
              <w:bidi w:val="0"/>
              <w:spacing w:before="0" w:after="283"/>
              <w:jc w:val="left"/>
              <w:rPr/>
            </w:pPr>
            <w:r>
              <w:rPr/>
              <w:t> </w:t>
            </w:r>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1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Delay</w:t>
            </w:r>
          </w:p>
        </w:tc>
        <w:tc>
          <w:tcPr>
            <w:tcW w:w="154" w:type="dxa"/>
            <w:tcBorders/>
            <w:shd w:fill="FFFFFF" w:val="clear"/>
            <w:vAlign w:val="center"/>
          </w:tcPr>
          <w:p>
            <w:pPr>
              <w:pStyle w:val="TableContents"/>
              <w:bidi w:val="0"/>
              <w:spacing w:before="0" w:after="283"/>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Receivable</w:t>
            </w:r>
          </w:p>
        </w:tc>
        <w:tc>
          <w:tcPr>
            <w:tcW w:w="476" w:type="dxa"/>
            <w:tcBorders/>
            <w:shd w:fill="FFFFFF" w:val="clear"/>
            <w:vAlign w:val="center"/>
          </w:tcPr>
          <w:p>
            <w:pPr>
              <w:pStyle w:val="TableContents"/>
              <w:bidi w:val="0"/>
              <w:spacing w:before="0" w:after="283"/>
              <w:jc w:val="left"/>
              <w:rPr/>
            </w:pPr>
            <w:r>
              <w:rPr/>
              <w:t> </w:t>
            </w:r>
          </w:p>
        </w:tc>
        <w:tc>
          <w:tcPr>
            <w:tcW w:w="9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 years)</w:t>
            </w:r>
          </w:p>
        </w:tc>
      </w:tr>
      <w:tr>
        <w:trPr/>
        <w:tc>
          <w:tcPr>
            <w:tcW w:w="1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owner occupied</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1,130</w:t>
            </w:r>
          </w:p>
        </w:tc>
        <w:tc>
          <w:tcPr>
            <w:tcW w:w="15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0.3</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58"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1,130</w:t>
            </w:r>
          </w:p>
        </w:tc>
        <w:tc>
          <w:tcPr>
            <w:tcW w:w="154"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0.3</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5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caps w:val="false"/>
          <w:smallCaps w:val="false"/>
        </w:rPr>
        <w:t>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the Company had committed to lend additional amounts totaling $292,000 to borrowers experiencing financial difficulty whose loans were modified within the previous </w:t>
      </w:r>
      <w:r>
        <w:rPr>
          <w:rStyle w:val="Emphasis"/>
          <w:rFonts w:ascii="Times New Roman" w:hAnsi="Times New Roman"/>
          <w:caps w:val="false"/>
          <w:smallCaps w:val="false"/>
          <w:sz w:val="20"/>
        </w:rPr>
        <w:t>12</w:t>
      </w:r>
      <w:r>
        <w:rPr>
          <w:rFonts w:ascii="Times New Roman" w:hAnsi="Times New Roman"/>
          <w:caps w:val="false"/>
          <w:smallCaps w:val="false"/>
          <w:sz w:val="20"/>
        </w:rPr>
        <w:t>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 closely monitors the performance of loans that are modified to borrowers experiencing financial difficulty to understand the effectiveness of its modification efforts.  The following table presents the performance of such loans that have been modified in the last </w:t>
      </w:r>
      <w:r>
        <w:rPr>
          <w:rStyle w:val="Emphasis"/>
          <w:rFonts w:ascii="Times New Roman" w:hAnsi="Times New Roman"/>
          <w:caps w:val="false"/>
          <w:smallCaps w:val="false"/>
          <w:sz w:val="20"/>
        </w:rPr>
        <w:t>twelve</w:t>
      </w:r>
      <w:r>
        <w:rPr>
          <w:rFonts w:ascii="Times New Roman" w:hAnsi="Times New Roman"/>
          <w:caps w:val="false"/>
          <w:smallCaps w:val="false"/>
          <w:sz w:val="20"/>
        </w:rPr>
        <w:t> months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62" w:type="dxa"/>
        <w:jc w:val="left"/>
        <w:tblInd w:w="0" w:type="dxa"/>
        <w:tblLayout w:type="fixed"/>
        <w:tblCellMar>
          <w:top w:w="0" w:type="dxa"/>
          <w:left w:w="0" w:type="dxa"/>
          <w:bottom w:w="0" w:type="dxa"/>
          <w:right w:w="0" w:type="dxa"/>
        </w:tblCellMar>
      </w:tblPr>
      <w:tblGrid>
        <w:gridCol w:w="4850"/>
        <w:gridCol w:w="60"/>
        <w:gridCol w:w="162"/>
        <w:gridCol w:w="337"/>
        <w:gridCol w:w="60"/>
        <w:gridCol w:w="60"/>
        <w:gridCol w:w="162"/>
        <w:gridCol w:w="337"/>
        <w:gridCol w:w="60"/>
        <w:gridCol w:w="60"/>
        <w:gridCol w:w="148"/>
        <w:gridCol w:w="576"/>
        <w:gridCol w:w="60"/>
        <w:gridCol w:w="60"/>
        <w:gridCol w:w="125"/>
        <w:gridCol w:w="485"/>
        <w:gridCol w:w="6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9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Days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Days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90 Days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 More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Past</w:t>
            </w:r>
          </w:p>
        </w:tc>
        <w:tc>
          <w:tcPr>
            <w:tcW w:w="6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 LOANS</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Due</w:t>
            </w:r>
          </w:p>
        </w:tc>
        <w:tc>
          <w:tcPr>
            <w:tcW w:w="6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speculative construction and development</w:t>
            </w:r>
          </w:p>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9,150</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C&amp;I</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loans to borrowers experiencing financial difficulty that had a payment default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and were modified in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prior to that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Nonaccrual and Past Due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provide information pertaining to the aging analysis of contractually past due loans and nonaccrual loans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7"/>
        <w:gridCol w:w="60"/>
        <w:gridCol w:w="125"/>
        <w:gridCol w:w="485"/>
        <w:gridCol w:w="60"/>
        <w:gridCol w:w="60"/>
        <w:gridCol w:w="125"/>
        <w:gridCol w:w="485"/>
        <w:gridCol w:w="60"/>
        <w:gridCol w:w="60"/>
        <w:gridCol w:w="129"/>
        <w:gridCol w:w="613"/>
        <w:gridCol w:w="60"/>
        <w:gridCol w:w="60"/>
        <w:gridCol w:w="125"/>
        <w:gridCol w:w="590"/>
        <w:gridCol w:w="60"/>
        <w:gridCol w:w="60"/>
        <w:gridCol w:w="125"/>
        <w:gridCol w:w="845"/>
        <w:gridCol w:w="60"/>
        <w:gridCol w:w="60"/>
        <w:gridCol w:w="125"/>
        <w:gridCol w:w="845"/>
        <w:gridCol w:w="60"/>
        <w:gridCol w:w="60"/>
        <w:gridCol w:w="149"/>
        <w:gridCol w:w="709"/>
        <w:gridCol w:w="63"/>
      </w:tblGrid>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5"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 2025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30</w:t>
            </w:r>
            <w:r>
              <w:rPr>
                <w:rFonts w:ascii="Times New Roman" w:hAnsi="Times New Roman"/>
                <w:sz w:val="20"/>
              </w:rPr>
              <w:t>-</w:t>
            </w:r>
            <w:r>
              <w:rPr>
                <w:rStyle w:val="Emphasis"/>
                <w:rFonts w:ascii="Times New Roman" w:hAnsi="Times New Roman"/>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60</w:t>
            </w:r>
            <w:r>
              <w:rPr>
                <w:rFonts w:ascii="Times New Roman" w:hAnsi="Times New Roman"/>
                <w:sz w:val="20"/>
              </w:rPr>
              <w:t>-</w:t>
            </w:r>
            <w:r>
              <w:rPr>
                <w:rStyle w:val="Emphasis"/>
                <w:rFonts w:ascii="Times New Roman" w:hAnsi="Times New Roman"/>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Accrual (1)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2,047</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CRE non-owner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9,150</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Total CRE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9,994</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10,557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922,132</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932,689</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11,197</w:t>
            </w:r>
          </w:p>
        </w:tc>
        <w:tc>
          <w:tcPr>
            <w:tcW w:w="63"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887"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RESIDENTIAL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One-to-four-family (excludes loans held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628,924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629,712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1,799</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custom construction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768,993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769,903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3,802</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594,356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600,779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4,462</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326,286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2,611,168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2,629,657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18,374</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7"/>
        <w:gridCol w:w="60"/>
        <w:gridCol w:w="125"/>
        <w:gridCol w:w="485"/>
        <w:gridCol w:w="60"/>
        <w:gridCol w:w="60"/>
        <w:gridCol w:w="125"/>
        <w:gridCol w:w="485"/>
        <w:gridCol w:w="60"/>
        <w:gridCol w:w="60"/>
        <w:gridCol w:w="129"/>
        <w:gridCol w:w="613"/>
        <w:gridCol w:w="60"/>
        <w:gridCol w:w="60"/>
        <w:gridCol w:w="125"/>
        <w:gridCol w:w="590"/>
        <w:gridCol w:w="60"/>
        <w:gridCol w:w="60"/>
        <w:gridCol w:w="125"/>
        <w:gridCol w:w="845"/>
        <w:gridCol w:w="60"/>
        <w:gridCol w:w="60"/>
        <w:gridCol w:w="125"/>
        <w:gridCol w:w="845"/>
        <w:gridCol w:w="60"/>
        <w:gridCol w:w="60"/>
        <w:gridCol w:w="149"/>
        <w:gridCol w:w="709"/>
        <w:gridCol w:w="63"/>
      </w:tblGrid>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5"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30</w:t>
            </w:r>
            <w:r>
              <w:rPr>
                <w:rFonts w:ascii="Times New Roman" w:hAnsi="Times New Roman"/>
                <w:sz w:val="20"/>
              </w:rPr>
              <w:t>-</w:t>
            </w:r>
            <w:r>
              <w:rPr>
                <w:rStyle w:val="Emphasis"/>
                <w:rFonts w:ascii="Times New Roman" w:hAnsi="Times New Roman"/>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60</w:t>
            </w:r>
            <w:r>
              <w:rPr>
                <w:rFonts w:ascii="Times New Roman" w:hAnsi="Times New Roman"/>
                <w:sz w:val="20"/>
              </w:rPr>
              <w:t>-</w:t>
            </w:r>
            <w:r>
              <w:rPr>
                <w:rStyle w:val="Emphasis"/>
                <w:rFonts w:ascii="Times New Roman" w:hAnsi="Times New Roman"/>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Accrual (1)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2,771</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CRE non-owner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4,979</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245,222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245,222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Total CRE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845</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6,604</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7,449</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863,888</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871,337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7,750</w:t>
            </w:r>
          </w:p>
        </w:tc>
        <w:tc>
          <w:tcPr>
            <w:tcW w:w="63"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887"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RESIDENTIAL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Residential custom construction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49,080</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49,902</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8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738,442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742,371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1,677</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612,777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620,181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1,980</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3,446</w:t>
            </w:r>
          </w:p>
        </w:tc>
        <w:tc>
          <w:tcPr>
            <w:tcW w:w="63"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296,483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299,932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3,446</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2,511,590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2,533,821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13,601</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4795" w:type="dxa"/>
        <w:jc w:val="left"/>
        <w:tblInd w:w="0" w:type="dxa"/>
        <w:tblLayout w:type="fixed"/>
        <w:tblCellMar>
          <w:top w:w="0" w:type="dxa"/>
          <w:left w:w="0" w:type="dxa"/>
          <w:bottom w:w="0" w:type="dxa"/>
          <w:right w:w="0" w:type="dxa"/>
        </w:tblCellMar>
      </w:tblPr>
      <w:tblGrid>
        <w:gridCol w:w="60"/>
        <w:gridCol w:w="245"/>
        <w:gridCol w:w="44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449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Includes loans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loans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interest at both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There were $792,000 and $84,000 in residential real estate loans in the process of foreclosure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Quality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utilizes a risk grading matrix to assign a risk grade to its real estate and commercial business loans. Loans are graded on a scale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with loans in risk grades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reported as “Pass” and loans in risk grades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reported as classified loans in the Company’s ACL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description of the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risk grades is as follows: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Grades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2</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These grades include loans to very high-quality borrowers with excellent or desirable business credit.</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3</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loans to borrowers of good business credit with moderate risk.</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Grades </w:t>
            </w:r>
            <w:r>
              <w:rPr>
                <w:rStyle w:val="Emphasis"/>
                <w:rFonts w:ascii="Times New Roman" w:hAnsi="Times New Roman"/>
                <w:i/>
                <w:caps w:val="false"/>
                <w:smallCaps w:val="false"/>
                <w:sz w:val="20"/>
              </w:rPr>
              <w:t>4</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5</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These grades include “Pass” grade loans to borrowers of average credit quality and risk.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6</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loans on management’s “Watch” list and is intended to be utilized on a temporary basis for “Pass” grade borrowers where frequent and thorough monitoring is required due to credit weaknesses and where significant risk-modifying action is anticipated in the near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7</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is for “Other Assets Especially Mentioned (“OAEM”)” or “Special Mention” in accordance with regulatory guidelines and includes borrowers where performance is poor or significantly less than expected.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8</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xml:space="preserve"> This grade includes “Substandard” loans in accordance with regulatory guidelines which represent an unacceptable business credit where a loss is possible if loan weakness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corrected.</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170"/>
        <w:gridCol w:w="9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1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9</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“Doubtful” loans in accordance with regulatory guidelines where a loss is highly probable.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10</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“Loss” loans in accordance with regulatory guidelines for which total loss is expected and when identified are charged 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liens. Under the Uniform Retail Credit Classification and Account Management Policy, loans that are current or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are graded “Pass” and risk rated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internally. Loans that are past due more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are classified “Substandard” and risk graded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internally until the loan has demonstrated consistent performance, typically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contractual payments. Closed-end loans that are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past due and open-end loans that are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past due are charged off based on the value of the collateral less cost to sell. Management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choose to conservatively risk rate credits even if paying in accordance with the loan’s repayment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CRE (both owner occupied and non-owner occupied), commercial construction and development, multi-family and commercial business loans are evaluated individually for their risk classification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quarterly.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risk rated loan balances and total current period gross charge-offs by category, as of the dates indicated. Term loans that were renewed or extended for periods longer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are presented as new originations in the year of the most recent renewal or extension.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5"/>
        <w:gridCol w:w="60"/>
        <w:gridCol w:w="110"/>
        <w:gridCol w:w="605"/>
        <w:gridCol w:w="60"/>
        <w:gridCol w:w="60"/>
        <w:gridCol w:w="110"/>
        <w:gridCol w:w="605"/>
        <w:gridCol w:w="60"/>
        <w:gridCol w:w="60"/>
        <w:gridCol w:w="110"/>
        <w:gridCol w:w="515"/>
        <w:gridCol w:w="60"/>
        <w:gridCol w:w="60"/>
        <w:gridCol w:w="110"/>
        <w:gridCol w:w="605"/>
        <w:gridCol w:w="60"/>
        <w:gridCol w:w="60"/>
        <w:gridCol w:w="110"/>
        <w:gridCol w:w="605"/>
        <w:gridCol w:w="60"/>
        <w:gridCol w:w="60"/>
        <w:gridCol w:w="110"/>
        <w:gridCol w:w="605"/>
        <w:gridCol w:w="60"/>
        <w:gridCol w:w="60"/>
        <w:gridCol w:w="145"/>
        <w:gridCol w:w="565"/>
        <w:gridCol w:w="60"/>
        <w:gridCol w:w="60"/>
        <w:gridCol w:w="199"/>
        <w:gridCol w:w="526"/>
        <w:gridCol w:w="60"/>
        <w:gridCol w:w="60"/>
        <w:gridCol w:w="110"/>
        <w:gridCol w:w="605"/>
        <w:gridCol w:w="60"/>
      </w:tblGrid>
      <w:tr>
        <w:trPr/>
        <w:tc>
          <w:tcPr>
            <w:tcW w:w="2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owner occupied</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141,790</w:t>
            </w:r>
          </w:p>
        </w:tc>
        <w:tc>
          <w:tcPr>
            <w:tcW w:w="60"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26,489</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41,711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170,714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non-owner occupied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165,729</w:t>
            </w:r>
          </w:p>
        </w:tc>
        <w:tc>
          <w:tcPr>
            <w:tcW w:w="60"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Special mention</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2,128</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3,491</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3,081</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non-owner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51,317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55,841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172,713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speculative construction and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317,534</w:t>
            </w:r>
          </w:p>
        </w:tc>
        <w:tc>
          <w:tcPr>
            <w:tcW w:w="60"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and speculative construction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130,119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108,636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326,684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speculative construction and development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2,300</w:t>
            </w:r>
          </w:p>
        </w:tc>
        <w:tc>
          <w:tcPr>
            <w:tcW w:w="60"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102,906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262,578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multi-family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102,906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262,578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176,489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142,513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90,042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143,314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160,443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210,896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932,689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CRE loans gross charge-offs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570"/>
        <w:gridCol w:w="60"/>
        <w:gridCol w:w="110"/>
        <w:gridCol w:w="605"/>
        <w:gridCol w:w="60"/>
        <w:gridCol w:w="60"/>
        <w:gridCol w:w="110"/>
        <w:gridCol w:w="515"/>
        <w:gridCol w:w="60"/>
        <w:gridCol w:w="60"/>
        <w:gridCol w:w="110"/>
        <w:gridCol w:w="605"/>
        <w:gridCol w:w="60"/>
        <w:gridCol w:w="60"/>
        <w:gridCol w:w="110"/>
        <w:gridCol w:w="605"/>
        <w:gridCol w:w="60"/>
        <w:gridCol w:w="60"/>
        <w:gridCol w:w="110"/>
        <w:gridCol w:w="605"/>
        <w:gridCol w:w="60"/>
        <w:gridCol w:w="60"/>
        <w:gridCol w:w="110"/>
        <w:gridCol w:w="605"/>
        <w:gridCol w:w="60"/>
        <w:gridCol w:w="60"/>
        <w:gridCol w:w="124"/>
        <w:gridCol w:w="586"/>
        <w:gridCol w:w="60"/>
        <w:gridCol w:w="60"/>
        <w:gridCol w:w="199"/>
        <w:gridCol w:w="526"/>
        <w:gridCol w:w="60"/>
        <w:gridCol w:w="60"/>
        <w:gridCol w:w="110"/>
        <w:gridCol w:w="605"/>
        <w:gridCol w:w="60"/>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RESIDENTIAL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ind w:left="0" w:right="0" w:hanging="0"/>
              <w:jc w:val="left"/>
              <w:rPr/>
            </w:pPr>
            <w:r>
              <w:rPr/>
              <w:t> </w:t>
            </w:r>
          </w:p>
        </w:tc>
        <w:tc>
          <w:tcPr>
            <w:tcW w:w="48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loans held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625,352</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676</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one-to-four-family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75,788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107,809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155,597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99,758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132,080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629,712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86,578</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home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63,546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86,895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Residential custom construction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custom construction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113,691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83,415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111,611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157,252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138,761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63,546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769,903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0"/>
        <w:gridCol w:w="60"/>
        <w:gridCol w:w="110"/>
        <w:gridCol w:w="515"/>
        <w:gridCol w:w="60"/>
        <w:gridCol w:w="60"/>
        <w:gridCol w:w="110"/>
        <w:gridCol w:w="515"/>
        <w:gridCol w:w="60"/>
        <w:gridCol w:w="60"/>
        <w:gridCol w:w="110"/>
        <w:gridCol w:w="605"/>
        <w:gridCol w:w="60"/>
        <w:gridCol w:w="60"/>
        <w:gridCol w:w="110"/>
        <w:gridCol w:w="605"/>
        <w:gridCol w:w="60"/>
        <w:gridCol w:w="60"/>
        <w:gridCol w:w="110"/>
        <w:gridCol w:w="515"/>
        <w:gridCol w:w="60"/>
        <w:gridCol w:w="60"/>
        <w:gridCol w:w="110"/>
        <w:gridCol w:w="515"/>
        <w:gridCol w:w="60"/>
        <w:gridCol w:w="60"/>
        <w:gridCol w:w="152"/>
        <w:gridCol w:w="588"/>
        <w:gridCol w:w="60"/>
        <w:gridCol w:w="60"/>
        <w:gridCol w:w="220"/>
        <w:gridCol w:w="520"/>
        <w:gridCol w:w="60"/>
        <w:gridCol w:w="60"/>
        <w:gridCol w:w="110"/>
        <w:gridCol w:w="605"/>
        <w:gridCol w:w="60"/>
      </w:tblGrid>
      <w:tr>
        <w:trPr/>
        <w:tc>
          <w:tcPr>
            <w:tcW w:w="3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8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590" w:type="dxa"/>
            <w:gridSpan w:val="23"/>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Term Loans by Year of Origination</w:t>
            </w:r>
          </w:p>
        </w:tc>
        <w:tc>
          <w:tcPr>
            <w:tcW w:w="60"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523,795</w:t>
            </w:r>
          </w:p>
        </w:tc>
        <w:tc>
          <w:tcPr>
            <w:tcW w:w="60" w:type="dxa"/>
            <w:tcBorders/>
            <w:shd w:fill="CCEEFF" w:val="cle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indirect home improvement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85,286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75,230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107,891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140,750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62,344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527,597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69,600</w:t>
            </w:r>
          </w:p>
        </w:tc>
        <w:tc>
          <w:tcPr>
            <w:tcW w:w="60" w:type="dxa"/>
            <w:tcBorders/>
            <w:shd w:fill="FFFFFF" w:val="cle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marine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7,154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70,220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 gross charge-offs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2,922</w:t>
            </w:r>
          </w:p>
        </w:tc>
        <w:tc>
          <w:tcPr>
            <w:tcW w:w="60" w:type="dxa"/>
            <w:tcBorders/>
            <w:shd w:fill="CCEEFF" w:val="cle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92,626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118,037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158,434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69,987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600,779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 loans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5"/>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48"/>
        <w:gridCol w:w="577"/>
        <w:gridCol w:w="60"/>
        <w:gridCol w:w="60"/>
        <w:gridCol w:w="110"/>
        <w:gridCol w:w="740"/>
        <w:gridCol w:w="60"/>
      </w:tblGrid>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BUSINESS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295,088</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4,599</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7,522</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C&amp;I</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149,179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Warehouse lending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14,329</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warehouse lending</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business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164,292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326,286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business loans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LOANS RECEIVABLE, GROSS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455,898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2,558,591</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32,176</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11,797</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receivable,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416,818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370,209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345,027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472,360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347,607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437,173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238,882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2,629,657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5"/>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24"/>
        <w:gridCol w:w="586"/>
        <w:gridCol w:w="60"/>
        <w:gridCol w:w="60"/>
        <w:gridCol w:w="199"/>
        <w:gridCol w:w="526"/>
        <w:gridCol w:w="60"/>
        <w:gridCol w:w="60"/>
        <w:gridCol w:w="110"/>
        <w:gridCol w:w="605"/>
        <w:gridCol w:w="60"/>
      </w:tblGrid>
      <w:tr>
        <w:trPr/>
        <w:tc>
          <w:tcPr>
            <w:tcW w:w="2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owner occupied</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140,078</w:t>
            </w:r>
          </w:p>
        </w:tc>
        <w:tc>
          <w:tcPr>
            <w:tcW w:w="60" w:type="dxa"/>
            <w:tcBorders/>
            <w:shd w:fill="CCEE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26,308</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w:t>
            </w:r>
          </w:p>
        </w:tc>
        <w:tc>
          <w:tcPr>
            <w:tcW w:w="60" w:type="dxa"/>
            <w:tcBorders/>
            <w:shd w:fill="CCEE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31,943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44,548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170,396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non-owner occupied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167,803</w:t>
            </w:r>
          </w:p>
        </w:tc>
        <w:tc>
          <w:tcPr>
            <w:tcW w:w="60" w:type="dxa"/>
            <w:tcBorders/>
            <w:shd w:fill="CCEE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non-owner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174,921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speculative construction and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275,819</w:t>
            </w:r>
          </w:p>
        </w:tc>
        <w:tc>
          <w:tcPr>
            <w:tcW w:w="60" w:type="dxa"/>
            <w:tcBorders/>
            <w:shd w:fill="CCEEFF" w:val="cle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and speculative construction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129,201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77,241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280,798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89,733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47,813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245,222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multi-family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89,733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47,813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245,222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162,886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135,840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148,653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184,112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105,163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123,668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871,337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570"/>
        <w:gridCol w:w="60"/>
        <w:gridCol w:w="110"/>
        <w:gridCol w:w="605"/>
        <w:gridCol w:w="60"/>
        <w:gridCol w:w="60"/>
        <w:gridCol w:w="110"/>
        <w:gridCol w:w="605"/>
        <w:gridCol w:w="60"/>
        <w:gridCol w:w="60"/>
        <w:gridCol w:w="110"/>
        <w:gridCol w:w="605"/>
        <w:gridCol w:w="60"/>
        <w:gridCol w:w="60"/>
        <w:gridCol w:w="110"/>
        <w:gridCol w:w="605"/>
        <w:gridCol w:w="60"/>
        <w:gridCol w:w="60"/>
        <w:gridCol w:w="110"/>
        <w:gridCol w:w="515"/>
        <w:gridCol w:w="60"/>
        <w:gridCol w:w="60"/>
        <w:gridCol w:w="110"/>
        <w:gridCol w:w="515"/>
        <w:gridCol w:w="60"/>
        <w:gridCol w:w="60"/>
        <w:gridCol w:w="124"/>
        <w:gridCol w:w="586"/>
        <w:gridCol w:w="60"/>
        <w:gridCol w:w="60"/>
        <w:gridCol w:w="199"/>
        <w:gridCol w:w="526"/>
        <w:gridCol w:w="60"/>
        <w:gridCol w:w="60"/>
        <w:gridCol w:w="110"/>
        <w:gridCol w:w="605"/>
        <w:gridCol w:w="60"/>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2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RESIDENTIAL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ind w:left="0" w:right="0" w:hanging="0"/>
              <w:jc w:val="left"/>
              <w:rPr/>
            </w:pPr>
            <w:r>
              <w:rPr/>
              <w:t> </w:t>
            </w:r>
          </w:p>
        </w:tc>
        <w:tc>
          <w:tcPr>
            <w:tcW w:w="471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loans held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614,547</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one-to-four-family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77,602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110,505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175,090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109,006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76,653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68,466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617,322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74,886</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home equity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56,677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Residential custom construction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custom construction</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real estate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122,844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122,655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176,806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110,544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82,583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56,677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742,371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0"/>
        <w:gridCol w:w="60"/>
        <w:gridCol w:w="110"/>
        <w:gridCol w:w="605"/>
        <w:gridCol w:w="60"/>
        <w:gridCol w:w="60"/>
        <w:gridCol w:w="110"/>
        <w:gridCol w:w="605"/>
        <w:gridCol w:w="60"/>
        <w:gridCol w:w="60"/>
        <w:gridCol w:w="110"/>
        <w:gridCol w:w="605"/>
        <w:gridCol w:w="60"/>
        <w:gridCol w:w="60"/>
        <w:gridCol w:w="110"/>
        <w:gridCol w:w="515"/>
        <w:gridCol w:w="60"/>
        <w:gridCol w:w="60"/>
        <w:gridCol w:w="110"/>
        <w:gridCol w:w="515"/>
        <w:gridCol w:w="60"/>
        <w:gridCol w:w="60"/>
        <w:gridCol w:w="110"/>
        <w:gridCol w:w="515"/>
        <w:gridCol w:w="60"/>
        <w:gridCol w:w="60"/>
        <w:gridCol w:w="152"/>
        <w:gridCol w:w="588"/>
        <w:gridCol w:w="60"/>
        <w:gridCol w:w="60"/>
        <w:gridCol w:w="220"/>
        <w:gridCol w:w="520"/>
        <w:gridCol w:w="60"/>
        <w:gridCol w:w="60"/>
        <w:gridCol w:w="110"/>
        <w:gridCol w:w="605"/>
        <w:gridCol w:w="60"/>
      </w:tblGrid>
      <w:tr>
        <w:trPr/>
        <w:tc>
          <w:tcPr>
            <w:tcW w:w="2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7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680" w:type="dxa"/>
            <w:gridSpan w:val="23"/>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Term Loans by Year of Origination</w:t>
            </w:r>
          </w:p>
        </w:tc>
        <w:tc>
          <w:tcPr>
            <w:tcW w:w="60"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540,269</w:t>
            </w:r>
          </w:p>
        </w:tc>
        <w:tc>
          <w:tcPr>
            <w:tcW w:w="60" w:type="dxa"/>
            <w:tcBorders/>
            <w:shd w:fill="CCEE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1,677</w:t>
            </w:r>
          </w:p>
        </w:tc>
        <w:tc>
          <w:tcPr>
            <w:tcW w:w="60" w:type="dxa"/>
            <w:tcBorders/>
            <w:shd w:fill="FFFFFF" w:val="cle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indirect home improvement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98,615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130,657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168,608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74,677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541,946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74,642</w:t>
            </w:r>
          </w:p>
        </w:tc>
        <w:tc>
          <w:tcPr>
            <w:tcW w:w="60" w:type="dxa"/>
            <w:tcBorders/>
            <w:shd w:fill="FFFFFF" w:val="cle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289</w:t>
            </w:r>
          </w:p>
        </w:tc>
        <w:tc>
          <w:tcPr>
            <w:tcW w:w="60" w:type="dxa"/>
            <w:tcBorders/>
            <w:shd w:fill="CCEE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marine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74,931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3,290</w:t>
            </w:r>
          </w:p>
        </w:tc>
        <w:tc>
          <w:tcPr>
            <w:tcW w:w="60" w:type="dxa"/>
            <w:tcBorders/>
            <w:shd w:fill="CCEE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consumer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112,247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142,136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189,391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83,257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39,250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51,553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620,181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 loans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5"/>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48"/>
        <w:gridCol w:w="577"/>
        <w:gridCol w:w="60"/>
        <w:gridCol w:w="60"/>
        <w:gridCol w:w="110"/>
        <w:gridCol w:w="740"/>
        <w:gridCol w:w="60"/>
      </w:tblGrid>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BUSINESS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258,561</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11,691</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7,474</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9,288</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C&amp;I</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65,491</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27,444</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20,091</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19,976</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9,189</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10,643</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133,578</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57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74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287,014</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C&amp;I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Warehouse lending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11,060</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warehouse lending</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business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65,491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146,496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299,932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business loans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LOANS RECEIVABLE, GROSS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463,369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417,177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2,456,079</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45,117</w:t>
            </w:r>
          </w:p>
        </w:tc>
        <w:tc>
          <w:tcPr>
            <w:tcW w:w="60"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9,726</w:t>
            </w:r>
          </w:p>
        </w:tc>
        <w:tc>
          <w:tcPr>
            <w:tcW w:w="60"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receivable,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463,468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428,075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534,941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397,889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236,185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255,975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215,856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2,533,821</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1,531</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1,185</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7,135</w:t>
            </w:r>
          </w:p>
        </w:tc>
        <w:tc>
          <w:tcPr>
            <w:tcW w:w="60" w:type="dxa"/>
            <w:tcBorders>
              <w:bottom w:val="double" w:sz="6" w:space="0" w:color="000000"/>
            </w:tcBorders>
            <w:shd w:fill="FFFFFF" w:val="clear"/>
            <w:tcMar>
              <w:bottom w:w="45"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amortized cost basis of loans on nonaccrual status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9"/>
        <w:gridCol w:w="60"/>
        <w:gridCol w:w="190"/>
        <w:gridCol w:w="893"/>
        <w:gridCol w:w="60"/>
        <w:gridCol w:w="60"/>
        <w:gridCol w:w="221"/>
        <w:gridCol w:w="862"/>
        <w:gridCol w:w="60"/>
        <w:gridCol w:w="60"/>
        <w:gridCol w:w="146"/>
        <w:gridCol w:w="684"/>
        <w:gridCol w:w="60"/>
        <w:gridCol w:w="60"/>
        <w:gridCol w:w="221"/>
        <w:gridCol w:w="862"/>
        <w:gridCol w:w="60"/>
        <w:gridCol w:w="60"/>
        <w:gridCol w:w="221"/>
        <w:gridCol w:w="862"/>
        <w:gridCol w:w="60"/>
        <w:gridCol w:w="60"/>
        <w:gridCol w:w="146"/>
        <w:gridCol w:w="684"/>
        <w:gridCol w:w="64"/>
      </w:tblGrid>
      <w:tr>
        <w:trPr/>
        <w:tc>
          <w:tcPr>
            <w:tcW w:w="34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2024</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4" w:type="dxa"/>
            <w:tcBorders/>
            <w:shd w:fill="FFFFFF" w:val="cle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 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 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w:t>
            </w:r>
          </w:p>
        </w:tc>
        <w:tc>
          <w:tcPr>
            <w:tcW w:w="64" w:type="dxa"/>
            <w:tcBorders/>
            <w:shd w:fill="CCEEFF" w:val="cle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speculative construction and development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4,979</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7,750</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RESIDENTIAL REAL ESTATE LOANS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w:t>
            </w:r>
          </w:p>
        </w:tc>
        <w:tc>
          <w:tcPr>
            <w:tcW w:w="64" w:type="dxa"/>
            <w:tcBorders/>
            <w:shd w:fill="FFFFFF" w:val="cle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89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64"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4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 LOANS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1,677</w:t>
            </w:r>
          </w:p>
        </w:tc>
        <w:tc>
          <w:tcPr>
            <w:tcW w:w="64" w:type="dxa"/>
            <w:tcBorders/>
            <w:shd w:fill="CCEEFF" w:val="cle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64" w:type="dxa"/>
            <w:tcBorders/>
            <w:shd w:fill="FFFFFF" w:val="cle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1,980</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BUSINESS LOANS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489"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C&amp;I</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3,446</w:t>
            </w:r>
          </w:p>
        </w:tc>
        <w:tc>
          <w:tcPr>
            <w:tcW w:w="64"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4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13,747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13,601</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recognized interest income on a cash basis for nonaccrual loans of $146,000 and $41,000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$391,000 and $244,000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amortized cost basis of collateral dependent loans by class of loans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5"/>
        <w:gridCol w:w="60"/>
        <w:gridCol w:w="110"/>
        <w:gridCol w:w="515"/>
        <w:gridCol w:w="60"/>
        <w:gridCol w:w="60"/>
        <w:gridCol w:w="161"/>
        <w:gridCol w:w="624"/>
        <w:gridCol w:w="60"/>
        <w:gridCol w:w="60"/>
        <w:gridCol w:w="139"/>
        <w:gridCol w:w="541"/>
        <w:gridCol w:w="60"/>
        <w:gridCol w:w="60"/>
        <w:gridCol w:w="110"/>
        <w:gridCol w:w="515"/>
        <w:gridCol w:w="60"/>
        <w:gridCol w:w="60"/>
        <w:gridCol w:w="110"/>
        <w:gridCol w:w="425"/>
        <w:gridCol w:w="60"/>
        <w:gridCol w:w="60"/>
        <w:gridCol w:w="215"/>
        <w:gridCol w:w="570"/>
        <w:gridCol w:w="60"/>
        <w:gridCol w:w="60"/>
        <w:gridCol w:w="139"/>
        <w:gridCol w:w="541"/>
        <w:gridCol w:w="60"/>
        <w:gridCol w:w="60"/>
        <w:gridCol w:w="110"/>
        <w:gridCol w:w="515"/>
        <w:gridCol w:w="6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Residential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Residential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Real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Non-Real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Real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Non-Real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Commercial and speculative construction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7,750</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7,750</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RESIDENTIAL REAL ESTATE LOANS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1,677</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BUSINESS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4</w:t>
      </w:r>
      <w:r>
        <w:rPr>
          <w:rFonts w:ascii="Times New Roman" w:hAnsi="Times New Roman"/>
          <w:caps w:val="false"/>
          <w:smallCaps w:val="false"/>
          <w:sz w:val="20"/>
        </w:rPr>
        <w:t xml:space="preserve"> – </w:t>
      </w:r>
      <w:r>
        <w:rPr>
          <w:rFonts w:ascii="Times New Roman" w:hAnsi="Times New Roman"/>
          <w:b/>
          <w:caps w:val="false"/>
          <w:smallCaps w:val="false"/>
          <w:sz w:val="20"/>
        </w:rPr>
        <w:t>MORTGAGE SERVICING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Loans serviced for others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on the Consolidated Balance Sheets. The unpaid principal balance of residential mortgage loans serviced for others was $1.64 billion and $1.63 billion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MSRs activity at or for the dates indicated:</w:t>
      </w:r>
    </w:p>
    <w:p>
      <w:pPr>
        <w:pStyle w:val="TextBody"/>
        <w:bidi w:val="0"/>
        <w:spacing w:before="0" w:after="0"/>
        <w:ind w:left="0" w:right="0" w:hanging="0"/>
        <w:jc w:val="left"/>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205"/>
        <w:gridCol w:w="60"/>
        <w:gridCol w:w="258"/>
        <w:gridCol w:w="1002"/>
        <w:gridCol w:w="165"/>
        <w:gridCol w:w="123"/>
        <w:gridCol w:w="258"/>
        <w:gridCol w:w="1002"/>
        <w:gridCol w:w="8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at the lower of cost or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8,652</w:t>
            </w:r>
          </w:p>
        </w:tc>
        <w:tc>
          <w:tcPr>
            <w:tcW w:w="16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 amortized</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(impairment) of MSRs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at the lower of cost or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8,506</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205"/>
        <w:gridCol w:w="60"/>
        <w:gridCol w:w="224"/>
        <w:gridCol w:w="977"/>
        <w:gridCol w:w="143"/>
        <w:gridCol w:w="107"/>
        <w:gridCol w:w="224"/>
        <w:gridCol w:w="1058"/>
        <w:gridCol w:w="8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Nine Months Ended</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at the lower of cost or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 amortized</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MSRs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at the lower of cost or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8,506</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fair value of the MSRs’ assets was $21.7 million and $21.0 million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Key economic assumptions of the current fair value for single family MSRs are presented in the table below. Also shown is the sensitivity of the MSR portfolio to changes in market interest rates on the underlying loans, expressed as the impact on prepayment speeds and discount rates.  The table presents the estimated decline in fair value assuming a </w:t>
      </w:r>
      <w:r>
        <w:rPr>
          <w:rStyle w:val="Emphasis"/>
          <w:rFonts w:ascii="Times New Roman" w:hAnsi="Times New Roman"/>
          <w:caps w:val="false"/>
          <w:smallCaps w:val="false"/>
          <w:sz w:val="20"/>
        </w:rPr>
        <w:t>10%</w:t>
      </w:r>
      <w:r>
        <w:rPr>
          <w:rFonts w:ascii="Times New Roman" w:hAnsi="Times New Roman"/>
          <w:caps w:val="false"/>
          <w:smallCaps w:val="false"/>
          <w:sz w:val="20"/>
        </w:rPr>
        <w:t> and 20% adverse change in market interest rates.  Two sets of sensitivities are provided: (i) prepayment-only sensitivity, reflecting the impact of the interest rate change on prepayment speeds, holding discount rates constant; and (ii) combined sensitivity reflecting the impact of the interest rate change on both prepayment speeds and the discount rate used to value the MSRs.</w:t>
      </w:r>
    </w:p>
    <w:p>
      <w:pPr>
        <w:pStyle w:val="TextBody"/>
        <w:bidi w:val="0"/>
        <w:spacing w:before="0" w:after="0"/>
        <w:ind w:left="0" w:right="0" w:hanging="0"/>
        <w:jc w:val="both"/>
        <w:rPr>
          <w:caps w:val="false"/>
          <w:smallCaps w:val="false"/>
        </w:rPr>
      </w:pPr>
      <w:r>
        <w:rPr>
          <w:caps w:val="false"/>
          <w:smallCaps w:val="false"/>
        </w:rPr>
        <w:t> </w:t>
      </w:r>
    </w:p>
    <w:tbl>
      <w:tblPr>
        <w:tblW w:w="8963" w:type="dxa"/>
        <w:jc w:val="left"/>
        <w:tblInd w:w="0" w:type="dxa"/>
        <w:tblLayout w:type="fixed"/>
        <w:tblCellMar>
          <w:top w:w="0" w:type="dxa"/>
          <w:left w:w="0" w:type="dxa"/>
          <w:bottom w:w="0" w:type="dxa"/>
          <w:right w:w="0" w:type="dxa"/>
        </w:tblCellMar>
      </w:tblPr>
      <w:tblGrid>
        <w:gridCol w:w="6170"/>
        <w:gridCol w:w="60"/>
        <w:gridCol w:w="151"/>
        <w:gridCol w:w="1023"/>
        <w:gridCol w:w="185"/>
        <w:gridCol w:w="60"/>
        <w:gridCol w:w="145"/>
        <w:gridCol w:w="984"/>
        <w:gridCol w:w="185"/>
      </w:tblGrid>
      <w:tr>
        <w:trPr/>
        <w:tc>
          <w:tcPr>
            <w:tcW w:w="6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portfolio principal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1,639,890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1,632,141</w:t>
            </w:r>
          </w:p>
        </w:tc>
        <w:tc>
          <w:tcPr>
            <w:tcW w:w="18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rate of loans in MSRs portfolio</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MSRs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21,043</w:t>
            </w:r>
          </w:p>
        </w:tc>
        <w:tc>
          <w:tcPr>
            <w:tcW w:w="18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life in years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c>
          <w:tcPr>
            <w:tcW w:w="18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constant prepayment rate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10% adverse change (prepayment-only)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w:t>
            </w:r>
          </w:p>
        </w:tc>
        <w:tc>
          <w:tcPr>
            <w:tcW w:w="18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20% adverse change (prepayment-only)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776</w:t>
            </w:r>
          </w:p>
        </w:tc>
        <w:tc>
          <w:tcPr>
            <w:tcW w:w="18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Effective discount rate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10% adverse change (prepayment + discount rate)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911</w:t>
            </w:r>
          </w:p>
        </w:tc>
        <w:tc>
          <w:tcPr>
            <w:tcW w:w="18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20% adverse change (prepayment + discount rate)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1,819</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These sensitivities are hypothetical and should be used with caution as the tables above demonstrate the Company’s methodology for estimating the fair value of MSRs which is extremely sensitive to changes in key assumptions. For example, actual prepayment experience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and any difference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material effect on the fair value of MSRs. Changes in fair value resulting from changes in assumptions generally cannot be extrapolated because the relationship of the change in the assumption to the change in fair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linear. Also, in these tables, the effects of a variation in a particular assumption on the fair value of MSRs is calculated without changing any other assumption; in reality, changes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factor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associated with changes in another (for example, decreases in market interest rates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an incentive to refinance, however, this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indicate a slowing economy and an increase in the unemployment rate, which reduces the number of borrowers who qualify for refinancing),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magnify or counteract the sensitivities. Thus, any measurement of the fair value of MSRs is limited by the conditions existing and assumptions made at a particular point in time. Those assumptions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appropriate if they are applied to a different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recorded $1.1 million of gross contractually specified servicing fees, late fees, and other ancillary fees resulting from servicing of loans for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$3.3 million and $3.6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income, net of amortization of MSRs, is reported in “Service charges and fee income” on the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 </w:t>
      </w:r>
      <w:r>
        <w:rPr>
          <w:rFonts w:ascii="Times New Roman" w:hAnsi="Times New Roman"/>
          <w:b/>
          <w:caps w:val="false"/>
          <w:smallCaps w:val="false"/>
          <w:sz w:val="20"/>
        </w:rPr>
        <w:t>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Mortgage Banking Derivatives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regularly enters into commitments to originate and sell loans held for sale. The Company has exposure to movements in interest rates associated with written interest rate lock commitments with potential borrowers to originate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that are intended to be sold and for closed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mortgage loans or into contracts to sell forward To-Be-Announced (“TBA”) mortgage-backed securities. These commitments and contracts are considered derivatives but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 xml:space="preserve">Customer Swaps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also enters into derivative contracts, which consist of interest rate swaps, to facilitate the needs of clients desiring to manage interest rate risk. These swaps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accounting hedges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To economically hedge the interest rate risk associated with offering this product, the Company simultaneously enters into derivative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speculative and arise from a service provided to clients.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Flow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interest rate swaps to reduce the exposure to variability in interest-related cash outflows attributable to changes in forecasted Secured Overnight Financing Rate (“SOFR”) based brokered deposits. These derivative instruments are designated as cash flow hedges. The hedged item is the SOFR portion of the series of future adjustable-rate borrowings and deposits over the term of the interest rate swap.  Accordingly, changes to the amount of interest payment cash flows for the hedged transactions attributable to a change in credit risk are excluded from management’s assessment of hedge effectiveness. The Company tests for hedging effectiveness on a quarterly basis. The accumulated other comprehensive income is subsequently reclassified into earnings in the period that the hedged forecasted transaction effects earnings.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hedge ineffectiveness since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expects that approximately $157,000 will be reclassified from accumulated other comprehensive loss as a decrease to interest expense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related to these cash flow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amounts were recorded on the balance sheet related to cumulative-basis adjustment for fair value hedges for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22"/>
        <w:gridCol w:w="60"/>
        <w:gridCol w:w="318"/>
        <w:gridCol w:w="1514"/>
        <w:gridCol w:w="60"/>
        <w:gridCol w:w="60"/>
        <w:gridCol w:w="920"/>
        <w:gridCol w:w="3588"/>
        <w:gridCol w:w="63"/>
      </w:tblGrid>
      <w:tr>
        <w:trPr/>
        <w:tc>
          <w:tcPr>
            <w:tcW w:w="362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Line item in the Consolidated Balance Sheets in which the hedged item is included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3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 Amount of the Hedged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0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Cumulative Amount of Fair Value Hedging Adjustment Included in the Carrying Amount of the Hedged Assets</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pPr>
            <w:r>
              <w:rPr/>
              <w:t> </w:t>
            </w:r>
          </w:p>
        </w:tc>
        <w:tc>
          <w:tcPr>
            <w:tcW w:w="3588"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3622"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securities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57,882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2,118</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2"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57,882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2,118</w:t>
            </w:r>
          </w:p>
        </w:tc>
        <w:tc>
          <w:tcPr>
            <w:tcW w:w="63"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362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8" w:type="dxa"/>
            <w:tcBorders/>
            <w:shd w:fill="FFFFFF" w:val="clear"/>
            <w:tcMar>
              <w:bottom w:w="0" w:type="dxa"/>
            </w:tcMar>
            <w:vAlign w:val="center"/>
          </w:tcPr>
          <w:p>
            <w:pPr>
              <w:pStyle w:val="TableContents"/>
              <w:bidi w:val="0"/>
              <w:spacing w:before="0" w:after="283"/>
              <w:jc w:val="left"/>
              <w:rPr/>
            </w:pPr>
            <w:r>
              <w:rPr/>
              <w:t> </w:t>
            </w:r>
          </w:p>
        </w:tc>
        <w:tc>
          <w:tcPr>
            <w:tcW w:w="15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pPr>
            <w:r>
              <w:rPr/>
              <w:t> </w:t>
            </w:r>
          </w:p>
        </w:tc>
        <w:tc>
          <w:tcPr>
            <w:tcW w:w="3588"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36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pPr>
            <w:r>
              <w:rPr/>
              <w:t> </w:t>
            </w:r>
          </w:p>
        </w:tc>
        <w:tc>
          <w:tcPr>
            <w:tcW w:w="3588"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3622"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securities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55,701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4,299</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2"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55,701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4,299</w:t>
            </w:r>
          </w:p>
        </w:tc>
        <w:tc>
          <w:tcPr>
            <w:tcW w:w="63"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6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These amounts include the amortized cost basis of closed portfolios used in designated hedging relationships in which the hedged item is the last layer expected to be remaining at the end of the hedging relationship. At </w:t>
            </w:r>
            <w:r>
              <w:rPr>
                <w:rStyle w:val="Emphasis"/>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rPr>
              <w:t>, the amortized cost basis of the closed portfolios used in these hedging relationships was $183.2 million; the cumulative basis adjustments associated with these hedging relationships was $2.1 million; and the amount of the designated hedged items was $60.0 million.  At </w:t>
            </w:r>
            <w:r>
              <w:rPr>
                <w:rStyle w:val="Emphasis"/>
                <w:rFonts w:ascii="Times New Roman;Times;serif" w:hAnsi="Times New Roman;Times;serif"/>
                <w:caps w:val="false"/>
                <w:smallCaps w:val="false"/>
                <w:sz w:val="20"/>
              </w:rPr>
              <w:t xml:space="preserve"> December 31, 2024</w:t>
            </w:r>
            <w:r>
              <w:rPr>
                <w:rFonts w:ascii="Times New Roman;Times;serif" w:hAnsi="Times New Roman;Times;serif"/>
                <w:caps w:val="false"/>
                <w:smallCaps w:val="false"/>
                <w:sz w:val="20"/>
              </w:rPr>
              <w:t>, the amortized cost basis of the closed portfolios used in these hedging relationships was $189.0 million; the cumulative basis adjustment associated with these hedging relationships was $4.3 million; and the amount of the designated hedged items was $60.0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Company’s derivative instruments at the dates indicated. The Company recognizes derivative assets and liabilities in “Other assets” and “Other liabilities,” respectively, on the Consolidated Balance Sheets, as follows:</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5285"/>
        <w:gridCol w:w="60"/>
        <w:gridCol w:w="125"/>
        <w:gridCol w:w="695"/>
        <w:gridCol w:w="60"/>
        <w:gridCol w:w="60"/>
        <w:gridCol w:w="125"/>
        <w:gridCol w:w="485"/>
        <w:gridCol w:w="60"/>
        <w:gridCol w:w="60"/>
        <w:gridCol w:w="197"/>
        <w:gridCol w:w="528"/>
        <w:gridCol w:w="60"/>
      </w:tblGrid>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and fair value hedges: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Notional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Asset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Non-hedging derivatives: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Fallout adjusted 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Mandatory and best effort forward commitments with investors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w:t>
            </w:r>
          </w:p>
        </w:tc>
        <w:tc>
          <w:tcPr>
            <w:tcW w:w="6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5135"/>
        <w:gridCol w:w="60"/>
        <w:gridCol w:w="125"/>
        <w:gridCol w:w="695"/>
        <w:gridCol w:w="60"/>
        <w:gridCol w:w="60"/>
        <w:gridCol w:w="125"/>
        <w:gridCol w:w="485"/>
        <w:gridCol w:w="60"/>
        <w:gridCol w:w="60"/>
        <w:gridCol w:w="235"/>
        <w:gridCol w:w="490"/>
        <w:gridCol w:w="60"/>
      </w:tblGrid>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and fair value hedges: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Notional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Asset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Non-hedging derivatives: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Fallout adjusted 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rate swaps – customer swap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effect of fair value and cash flow hedge accounting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6"/>
        <w:gridCol w:w="60"/>
        <w:gridCol w:w="319"/>
        <w:gridCol w:w="1510"/>
        <w:gridCol w:w="60"/>
        <w:gridCol w:w="60"/>
        <w:gridCol w:w="260"/>
        <w:gridCol w:w="1009"/>
        <w:gridCol w:w="80"/>
        <w:gridCol w:w="60"/>
        <w:gridCol w:w="319"/>
        <w:gridCol w:w="1510"/>
        <w:gridCol w:w="60"/>
        <w:gridCol w:w="60"/>
        <w:gridCol w:w="235"/>
        <w:gridCol w:w="1034"/>
        <w:gridCol w:w="83"/>
      </w:tblGrid>
      <w:tr>
        <w:trPr/>
        <w:tc>
          <w:tcPr>
            <w:tcW w:w="3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7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 September 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 Expense Deposits and Borrowings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 Income Securities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 Expense Deposits and Borrowings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 Income Securities</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amounts presented on the Consolidated Statements of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3,243</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gains (losses) on fair value hedging relationships: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34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securities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Recognized on hedged items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2,432</w:t>
            </w:r>
          </w:p>
        </w:tc>
        <w:tc>
          <w:tcPr>
            <w:tcW w:w="83" w:type="dxa"/>
            <w:tcBorders/>
            <w:shd w:fill="FFFFFF" w:val="clear"/>
            <w:vAlign w:val="center"/>
          </w:tcPr>
          <w:p>
            <w:pPr>
              <w:pStyle w:val="TableContents"/>
              <w:bidi w:val="0"/>
              <w:spacing w:before="0" w:after="283"/>
              <w:jc w:val="left"/>
              <w:rPr/>
            </w:pPr>
            <w:r>
              <w:rPr/>
              <w:t> </w:t>
            </w:r>
          </w:p>
        </w:tc>
      </w:tr>
      <w:tr>
        <w:trPr/>
        <w:tc>
          <w:tcPr>
            <w:tcW w:w="348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Recognized on derivatives designated as hedging instruments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1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(2,432</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interest income recognized on cash flows of derivatives designated as hedging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w:t>
            </w:r>
          </w:p>
        </w:tc>
        <w:tc>
          <w:tcPr>
            <w:tcW w:w="8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486"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Net income recognized on fair value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gain on cash flow hedging relationships: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34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brokered deposits and borrowings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Realized gains, pre-tax, reclassified from accumulated other comprehensive loss into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6"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Net income recognized on cash flow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6"/>
        <w:gridCol w:w="60"/>
        <w:gridCol w:w="188"/>
        <w:gridCol w:w="866"/>
        <w:gridCol w:w="60"/>
        <w:gridCol w:w="60"/>
        <w:gridCol w:w="145"/>
        <w:gridCol w:w="685"/>
        <w:gridCol w:w="80"/>
        <w:gridCol w:w="60"/>
        <w:gridCol w:w="188"/>
        <w:gridCol w:w="866"/>
        <w:gridCol w:w="60"/>
        <w:gridCol w:w="60"/>
        <w:gridCol w:w="145"/>
        <w:gridCol w:w="685"/>
        <w:gridCol w:w="81"/>
      </w:tblGrid>
      <w:tr>
        <w:trPr/>
        <w:tc>
          <w:tcPr>
            <w:tcW w:w="5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 September 30,</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81" w:type="dxa"/>
            <w:tcBorders/>
            <w:shd w:fill="FFFFFF" w:val="cle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Deposits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Deposits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Income</w:t>
            </w:r>
          </w:p>
        </w:tc>
        <w:tc>
          <w:tcPr>
            <w:tcW w:w="81" w:type="dxa"/>
            <w:tcBorders/>
            <w:shd w:fill="FFFFFF" w:val="cle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Borrowings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Securities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Borrowings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Securities</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amounts presented on the Consolidated Statements of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on fair value hedging relationships: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59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securities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hedged items</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81" w:type="dxa"/>
            <w:tcBorders/>
            <w:shd w:fill="FFFFFF" w:val="clear"/>
            <w:vAlign w:val="center"/>
          </w:tcPr>
          <w:p>
            <w:pPr>
              <w:pStyle w:val="TableContents"/>
              <w:bidi w:val="0"/>
              <w:spacing w:before="0" w:after="283"/>
              <w:jc w:val="left"/>
              <w:rPr/>
            </w:pPr>
            <w:r>
              <w:rPr/>
              <w:t> </w:t>
            </w:r>
          </w:p>
        </w:tc>
      </w:tr>
      <w:tr>
        <w:trPr/>
        <w:tc>
          <w:tcPr>
            <w:tcW w:w="59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 designated as hedging instruments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recognized on cash flows of derivatives designated as hedging instruments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recognized on fair value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on cash flow hedging relationships: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59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brokered deposits and borrowings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59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gains, pre-tax, reclassified from accumulated other comprehensive loss into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recognized on cash flow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Changes in the fair value of the non-hedging derivatives recognized in “Noninterest income” on the Consolidated Statements of Income and included in gain on sale of loans resulted in net losses of $266,000 and $149,000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net gains of $3,000 and $201,000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these tables to limit the amount of such collateral to the amount of the related asset or liability for each counterparty.</w:t>
      </w:r>
    </w:p>
    <w:p>
      <w:pPr>
        <w:pStyle w:val="TextBody"/>
        <w:bidi w:val="0"/>
        <w:spacing w:before="0" w:after="0"/>
        <w:ind w:left="0" w:right="0" w:hanging="0"/>
        <w:jc w:val="left"/>
        <w:rPr>
          <w:caps w:val="false"/>
          <w:smallCaps w:val="false"/>
        </w:rPr>
      </w:pPr>
      <w:r>
        <w:rPr>
          <w:caps w:val="false"/>
          <w:smallCaps w:val="false"/>
        </w:rPr>
        <w:t> </w:t>
      </w:r>
    </w:p>
    <w:tbl>
      <w:tblPr>
        <w:tblW w:w="9357" w:type="dxa"/>
        <w:jc w:val="left"/>
        <w:tblInd w:w="0" w:type="dxa"/>
        <w:tblLayout w:type="fixed"/>
        <w:tblCellMar>
          <w:top w:w="0" w:type="dxa"/>
          <w:left w:w="0" w:type="dxa"/>
          <w:bottom w:w="0" w:type="dxa"/>
          <w:right w:w="0" w:type="dxa"/>
        </w:tblCellMar>
      </w:tblPr>
      <w:tblGrid>
        <w:gridCol w:w="2075"/>
        <w:gridCol w:w="60"/>
        <w:gridCol w:w="216"/>
        <w:gridCol w:w="838"/>
        <w:gridCol w:w="60"/>
        <w:gridCol w:w="60"/>
        <w:gridCol w:w="293"/>
        <w:gridCol w:w="776"/>
        <w:gridCol w:w="60"/>
        <w:gridCol w:w="60"/>
        <w:gridCol w:w="311"/>
        <w:gridCol w:w="1208"/>
        <w:gridCol w:w="60"/>
        <w:gridCol w:w="60"/>
        <w:gridCol w:w="241"/>
        <w:gridCol w:w="574"/>
        <w:gridCol w:w="94"/>
        <w:gridCol w:w="94"/>
        <w:gridCol w:w="302"/>
        <w:gridCol w:w="797"/>
        <w:gridCol w:w="94"/>
        <w:gridCol w:w="94"/>
        <w:gridCol w:w="175"/>
        <w:gridCol w:w="680"/>
        <w:gridCol w:w="75"/>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Amounts of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4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 Not Offset</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Offset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Presented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 the Consolidated Balance Sheets</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 Recognized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Cash Collateral</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Offsetting of derivative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Instruments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Received</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September 30, 2025</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FFFFFF" w:val="cle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302"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FFFFFF" w:val="cle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1,773</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December 31, 2024</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03" w:type="dxa"/>
        <w:jc w:val="left"/>
        <w:tblInd w:w="0" w:type="dxa"/>
        <w:tblLayout w:type="fixed"/>
        <w:tblCellMar>
          <w:top w:w="0" w:type="dxa"/>
          <w:left w:w="0" w:type="dxa"/>
          <w:bottom w:w="0" w:type="dxa"/>
          <w:right w:w="0" w:type="dxa"/>
        </w:tblCellMar>
      </w:tblPr>
      <w:tblGrid>
        <w:gridCol w:w="2300"/>
        <w:gridCol w:w="60"/>
        <w:gridCol w:w="289"/>
        <w:gridCol w:w="765"/>
        <w:gridCol w:w="60"/>
        <w:gridCol w:w="60"/>
        <w:gridCol w:w="317"/>
        <w:gridCol w:w="752"/>
        <w:gridCol w:w="60"/>
        <w:gridCol w:w="60"/>
        <w:gridCol w:w="309"/>
        <w:gridCol w:w="820"/>
        <w:gridCol w:w="60"/>
        <w:gridCol w:w="60"/>
        <w:gridCol w:w="241"/>
        <w:gridCol w:w="574"/>
        <w:gridCol w:w="107"/>
        <w:gridCol w:w="107"/>
        <w:gridCol w:w="301"/>
        <w:gridCol w:w="798"/>
        <w:gridCol w:w="107"/>
        <w:gridCol w:w="107"/>
        <w:gridCol w:w="246"/>
        <w:gridCol w:w="583"/>
        <w:gridCol w:w="60"/>
      </w:tblGrid>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4"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Net Amounts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center"/>
              <w:rPr/>
            </w:pPr>
            <w:r>
              <w:rPr>
                <w:rStyle w:val="Emphasis"/>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2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1"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 Not Offset</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Offset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Presented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 the Consolidated 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 Recognized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Cash Collateral</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Offsetting of derivative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Balance Sheets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Balance Sheets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Instruments</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Posted</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September 30, 2025</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283"/>
              <w:ind w:left="0" w:right="0" w:hanging="0"/>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December 31, 2024</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8"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Credit</w:t>
      </w:r>
      <w:r>
        <w:rPr>
          <w:rFonts w:ascii="Times New Roman;Times;serif" w:hAnsi="Times New Roman;Times;serif"/>
          <w:sz w:val="20"/>
        </w:rPr>
        <w:t> </w:t>
      </w:r>
      <w:r>
        <w:rPr>
          <w:rFonts w:ascii="Times New Roman;Times;serif" w:hAnsi="Times New Roman;Times;serif"/>
          <w:b/>
          <w:i/>
          <w:sz w:val="20"/>
        </w:rPr>
        <w:t>Risk</w:t>
      </w:r>
      <w:r>
        <w:rPr>
          <w:rFonts w:ascii="Times New Roman;Times;serif" w:hAnsi="Times New Roman;Times;serif"/>
          <w:sz w:val="20"/>
        </w:rPr>
        <w:t>–</w:t>
      </w:r>
      <w:r>
        <w:rPr>
          <w:rFonts w:ascii="Times New Roman;Times;serif" w:hAnsi="Times New Roman;Times;serif"/>
          <w:b/>
          <w:i/>
          <w:sz w:val="20"/>
        </w:rPr>
        <w:t xml:space="preserve">Related Contingent Features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derivative contracts with its derivative counterparties that contain a provision to post collateral to the counterparties when these contracts are in a net liability position.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 had $660,000 of collateral posted due to this provision.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operating leases for retail bank and home lending branches, loan production offices, and certain equipment.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these leases have remaining terms ranging from two months to nine years and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months, with some including options to extend for up to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components of lease cost (included in occupancy expense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4732" w:type="dxa"/>
        <w:jc w:val="left"/>
        <w:tblInd w:w="0" w:type="dxa"/>
        <w:tblLayout w:type="fixed"/>
        <w:tblCellMar>
          <w:top w:w="0" w:type="dxa"/>
          <w:left w:w="0" w:type="dxa"/>
          <w:bottom w:w="0" w:type="dxa"/>
          <w:right w:w="0" w:type="dxa"/>
        </w:tblCellMar>
      </w:tblPr>
      <w:tblGrid>
        <w:gridCol w:w="1700"/>
        <w:gridCol w:w="60"/>
        <w:gridCol w:w="350"/>
        <w:gridCol w:w="938"/>
        <w:gridCol w:w="168"/>
        <w:gridCol w:w="168"/>
        <w:gridCol w:w="350"/>
        <w:gridCol w:w="938"/>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jc w:val="center"/>
              <w:rPr/>
            </w:pPr>
            <w:r>
              <w:rPr>
                <w:rStyle w:val="Emphasis"/>
                <w:rFonts w:ascii="Times New Roman" w:hAnsi="Times New Roman"/>
                <w:sz w:val="20"/>
              </w:rPr>
              <w:t>Three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1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56" w:type="dxa"/>
        <w:jc w:val="left"/>
        <w:tblInd w:w="0" w:type="dxa"/>
        <w:tblLayout w:type="fixed"/>
        <w:tblCellMar>
          <w:top w:w="0" w:type="dxa"/>
          <w:left w:w="0" w:type="dxa"/>
          <w:bottom w:w="0" w:type="dxa"/>
          <w:right w:w="0" w:type="dxa"/>
        </w:tblCellMar>
      </w:tblPr>
      <w:tblGrid>
        <w:gridCol w:w="1700"/>
        <w:gridCol w:w="60"/>
        <w:gridCol w:w="264"/>
        <w:gridCol w:w="1027"/>
        <w:gridCol w:w="127"/>
        <w:gridCol w:w="127"/>
        <w:gridCol w:w="264"/>
        <w:gridCol w:w="1027"/>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2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provides supplemental information related to operating leases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802" w:type="dxa"/>
        <w:jc w:val="left"/>
        <w:tblInd w:w="0" w:type="dxa"/>
        <w:tblLayout w:type="fixed"/>
        <w:tblCellMar>
          <w:top w:w="0" w:type="dxa"/>
          <w:left w:w="0" w:type="dxa"/>
          <w:bottom w:w="0" w:type="dxa"/>
          <w:right w:w="0" w:type="dxa"/>
        </w:tblCellMar>
      </w:tblPr>
      <w:tblGrid>
        <w:gridCol w:w="5765"/>
        <w:gridCol w:w="60"/>
        <w:gridCol w:w="345"/>
        <w:gridCol w:w="1050"/>
        <w:gridCol w:w="511"/>
        <w:gridCol w:w="165"/>
        <w:gridCol w:w="345"/>
        <w:gridCol w:w="1050"/>
        <w:gridCol w:w="511"/>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77" w:type="dxa"/>
            <w:gridSpan w:val="7"/>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sz w:val="20"/>
              </w:rPr>
              <w:t>At or For the Three months Ended September 30,</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5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511"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cash 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w:t>
            </w:r>
          </w:p>
        </w:tc>
        <w:tc>
          <w:tcPr>
            <w:tcW w:w="51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w:t>
            </w:r>
          </w:p>
        </w:tc>
        <w:tc>
          <w:tcPr>
            <w:tcW w:w="511" w:type="dxa"/>
            <w:tcBorders/>
            <w:shd w:fill="CCEEFF" w:val="clear"/>
            <w:vAlign w:val="center"/>
          </w:tcPr>
          <w:p>
            <w:pPr>
              <w:pStyle w:val="TableContents"/>
              <w:bidi w:val="0"/>
              <w:spacing w:before="0" w:after="283"/>
              <w:jc w:val="left"/>
              <w:rPr/>
            </w:pPr>
            <w:r>
              <w:rPr>
                <w:rStyle w:val="Emphasis"/>
              </w:rPr>
              <w:t> </w:t>
            </w:r>
          </w:p>
        </w:tc>
      </w:tr>
      <w:tr>
        <w:trPr/>
        <w:tc>
          <w:tcPr>
            <w:tcW w:w="576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 operating leases (in years)</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51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511" w:type="dxa"/>
            <w:tcBorders/>
            <w:shd w:fill="FFFFFF" w:val="clear"/>
            <w:vAlign w:val="center"/>
          </w:tcPr>
          <w:p>
            <w:pPr>
              <w:pStyle w:val="TableContents"/>
              <w:bidi w:val="0"/>
              <w:spacing w:before="0" w:after="283"/>
              <w:jc w:val="left"/>
              <w:rPr/>
            </w:pPr>
            <w:r>
              <w:rPr>
                <w:rStyle w:val="Emphasis"/>
              </w:rPr>
              <w:t> </w:t>
            </w:r>
          </w:p>
        </w:tc>
      </w:tr>
      <w:tr>
        <w:trPr/>
        <w:tc>
          <w:tcPr>
            <w:tcW w:w="576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w:t>
            </w:r>
          </w:p>
        </w:tc>
        <w:tc>
          <w:tcPr>
            <w:tcW w:w="5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65"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511" w:type="dxa"/>
            <w:tcBorders/>
            <w:shd w:fill="CCEEFF" w:val="clear"/>
            <w:vAlign w:val="center"/>
          </w:tcPr>
          <w:p>
            <w:pPr>
              <w:pStyle w:val="TableContents"/>
              <w:bidi w:val="0"/>
              <w:spacing w:before="0" w:after="283"/>
              <w:jc w:val="left"/>
              <w:rPr/>
            </w:pPr>
            <w:r>
              <w:rPr>
                <w:rStyle w:val="Emphasis"/>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912" w:type="dxa"/>
        <w:jc w:val="left"/>
        <w:tblInd w:w="0" w:type="dxa"/>
        <w:tblLayout w:type="fixed"/>
        <w:tblCellMar>
          <w:top w:w="0" w:type="dxa"/>
          <w:left w:w="0" w:type="dxa"/>
          <w:bottom w:w="0" w:type="dxa"/>
          <w:right w:w="0" w:type="dxa"/>
        </w:tblCellMar>
      </w:tblPr>
      <w:tblGrid>
        <w:gridCol w:w="5765"/>
        <w:gridCol w:w="60"/>
        <w:gridCol w:w="333"/>
        <w:gridCol w:w="1292"/>
        <w:gridCol w:w="493"/>
        <w:gridCol w:w="159"/>
        <w:gridCol w:w="333"/>
        <w:gridCol w:w="1292"/>
        <w:gridCol w:w="185"/>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4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493"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3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operating leases (in years)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49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4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leases typically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discount rate implicit in the lease contract.  As an alternative, the discount rate used in determining the lease liability for each individual lease was the FHLB of Des Moines’ fixed advance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Maturities of operating lease liabilities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for future periods are as follows:</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1745"/>
        <w:gridCol w:w="60"/>
        <w:gridCol w:w="125"/>
        <w:gridCol w:w="545"/>
        <w:gridCol w:w="80"/>
      </w:tblGrid>
      <w:tr>
        <w:trPr/>
        <w:tc>
          <w:tcPr>
            <w:tcW w:w="17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Remainder of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491</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1,941</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1,683</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8,059</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caps w:val="false"/>
          <w:smallCaps w:val="false"/>
          <w:sz w:val="20"/>
        </w:rPr>
        <w:t xml:space="preserve"> – </w:t>
      </w:r>
      <w:r>
        <w:rPr>
          <w:rFonts w:ascii="Times New Roman" w:hAnsi="Times New Roman"/>
          <w:b/>
          <w:caps w:val="false"/>
          <w:smallCaps w:val="false"/>
          <w:sz w:val="20"/>
        </w:rPr>
        <w:t>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Deposits are summarized as follows at the dates indicated:</w:t>
      </w:r>
    </w:p>
    <w:p>
      <w:pPr>
        <w:pStyle w:val="TextBody"/>
        <w:bidi w:val="0"/>
        <w:spacing w:before="0" w:after="0"/>
        <w:ind w:left="0" w:right="0" w:hanging="0"/>
        <w:jc w:val="left"/>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4355"/>
        <w:gridCol w:w="60"/>
        <w:gridCol w:w="151"/>
        <w:gridCol w:w="1023"/>
        <w:gridCol w:w="60"/>
        <w:gridCol w:w="60"/>
        <w:gridCol w:w="145"/>
        <w:gridCol w:w="984"/>
        <w:gridCol w:w="6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checking</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627,679</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176,561</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154,188</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341,615</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less than $100,000 (2)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440,257</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of $100,000 through $250,000</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455,594</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greater than $250,000</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133,045</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Escrow accounts related to mortgages serviced (3)</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2,686,492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2,339,418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35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Includes $251,000 and $279,000 of brokered deposits at </w:t>
            </w:r>
            <w:r>
              <w:rPr>
                <w:rStyle w:val="Emphasis"/>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2024</w:t>
            </w:r>
            <w:r>
              <w:rPr>
                <w:rFonts w:ascii="Times New Roman;Times;serif" w:hAnsi="Times New Roman;Times;serif"/>
                <w:caps w:val="false"/>
                <w:smallCaps w:val="false"/>
                <w:sz w:val="20"/>
              </w:rPr>
              <w:t>, respectively.</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996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Includes $369.4 million and $143.1 million of brokered deposits at </w:t>
            </w:r>
            <w:r>
              <w:rPr>
                <w:rStyle w:val="Emphasis"/>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2024</w:t>
            </w:r>
            <w:r>
              <w:rPr>
                <w:rFonts w:ascii="Times New Roman;Times;serif" w:hAnsi="Times New Roman;Times;serif"/>
                <w:caps w:val="false"/>
                <w:smallCaps w:val="false"/>
                <w:sz w:val="20"/>
              </w:rPr>
              <w:t>, respectively.</w:t>
            </w:r>
          </w:p>
        </w:tc>
      </w:tr>
    </w:tbl>
    <w:tbl>
      <w:tblPr>
        <w:tblW w:w="2695" w:type="dxa"/>
        <w:jc w:val="left"/>
        <w:tblInd w:w="0" w:type="dxa"/>
        <w:tblLayout w:type="fixed"/>
        <w:tblCellMar>
          <w:top w:w="0" w:type="dxa"/>
          <w:left w:w="0" w:type="dxa"/>
          <w:bottom w:w="0" w:type="dxa"/>
          <w:right w:w="0" w:type="dxa"/>
        </w:tblCellMar>
      </w:tblPr>
      <w:tblGrid>
        <w:gridCol w:w="245"/>
        <w:gridCol w:w="245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2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Scheduled maturities of time deposits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for future periods ending are as follows:</w:t>
      </w:r>
    </w:p>
    <w:p>
      <w:pPr>
        <w:pStyle w:val="TextBody"/>
        <w:bidi w:val="0"/>
        <w:spacing w:before="0" w:after="0"/>
        <w:ind w:left="0" w:right="0" w:hanging="0"/>
        <w:jc w:val="left"/>
        <w:rPr>
          <w:caps w:val="false"/>
          <w:smallCaps w:val="false"/>
        </w:rPr>
      </w:pPr>
      <w:r>
        <w:rPr>
          <w:caps w:val="false"/>
          <w:smallCaps w:val="false"/>
        </w:rPr>
        <w:t> </w:t>
      </w:r>
    </w:p>
    <w:tbl>
      <w:tblPr>
        <w:tblW w:w="3705" w:type="dxa"/>
        <w:jc w:val="left"/>
        <w:tblInd w:w="0" w:type="dxa"/>
        <w:tblLayout w:type="fixed"/>
        <w:tblCellMar>
          <w:top w:w="0" w:type="dxa"/>
          <w:left w:w="0" w:type="dxa"/>
          <w:bottom w:w="0" w:type="dxa"/>
          <w:right w:w="0" w:type="dxa"/>
        </w:tblCellMar>
      </w:tblPr>
      <w:tblGrid>
        <w:gridCol w:w="2615"/>
        <w:gridCol w:w="60"/>
        <w:gridCol w:w="125"/>
        <w:gridCol w:w="845"/>
        <w:gridCol w:w="60"/>
      </w:tblGrid>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582,010</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662,486</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35,390</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11,409</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2029 and 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1,299,774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by deposit category for the periods indicated is as follows:</w:t>
      </w:r>
    </w:p>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2210"/>
        <w:gridCol w:w="60"/>
        <w:gridCol w:w="235"/>
        <w:gridCol w:w="1109"/>
        <w:gridCol w:w="112"/>
        <w:gridCol w:w="112"/>
        <w:gridCol w:w="235"/>
        <w:gridCol w:w="1109"/>
        <w:gridCol w:w="60"/>
        <w:gridCol w:w="60"/>
        <w:gridCol w:w="229"/>
        <w:gridCol w:w="1081"/>
        <w:gridCol w:w="109"/>
        <w:gridCol w:w="109"/>
        <w:gridCol w:w="229"/>
        <w:gridCol w:w="1081"/>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3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checking</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and money market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5,593</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11,688</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33,731</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14,862</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42,440</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Commitments</w:t>
      </w:r>
      <w:r>
        <w:rPr>
          <w:rFonts w:ascii="Times New Roman" w:hAnsi="Times New Roman"/>
          <w:caps w:val="false"/>
          <w:smallCaps w:val="false"/>
          <w:sz w:val="20"/>
        </w:rPr>
        <w:t> – The Company is party to financial instruments with off-balance sheet risk in the normal course of business to meet the financing needs of its customers. These financial instruments include commitments to extend credit. These instruments involve, to varying degrees, elements of credit risk in excess of the amount recognized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commitments at the dates indicated:</w:t>
      </w:r>
    </w:p>
    <w:p>
      <w:pPr>
        <w:pStyle w:val="TextBody"/>
        <w:bidi w:val="0"/>
        <w:spacing w:before="0" w:after="0"/>
        <w:ind w:left="0" w:right="0" w:hanging="0"/>
        <w:jc w:val="left"/>
        <w:rPr>
          <w:caps w:val="false"/>
          <w:smallCaps w:val="false"/>
        </w:rPr>
      </w:pPr>
      <w:r>
        <w:rPr>
          <w:caps w:val="false"/>
          <w:smallCaps w:val="false"/>
        </w:rPr>
        <w:t> </w:t>
      </w:r>
    </w:p>
    <w:tbl>
      <w:tblPr>
        <w:tblW w:w="7393" w:type="dxa"/>
        <w:jc w:val="left"/>
        <w:tblInd w:w="0" w:type="dxa"/>
        <w:tblLayout w:type="fixed"/>
        <w:tblCellMar>
          <w:top w:w="0" w:type="dxa"/>
          <w:left w:w="0" w:type="dxa"/>
          <w:bottom w:w="0" w:type="dxa"/>
          <w:right w:w="0" w:type="dxa"/>
        </w:tblCellMar>
      </w:tblPr>
      <w:tblGrid>
        <w:gridCol w:w="4850"/>
        <w:gridCol w:w="60"/>
        <w:gridCol w:w="178"/>
        <w:gridCol w:w="996"/>
        <w:gridCol w:w="60"/>
        <w:gridCol w:w="60"/>
        <w:gridCol w:w="171"/>
        <w:gridCol w:w="958"/>
        <w:gridCol w:w="60"/>
      </w:tblGrid>
      <w:tr>
        <w:trPr/>
        <w:tc>
          <w:tcPr>
            <w:tcW w:w="485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COMMITMENTS TO EXTEND CREDIT</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135,006</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Total CRE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229,814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142,014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RESIDENTIAL REAL ESTATE LOANS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One-to-four-family (excludes loans held for sale)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23,138</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97,358</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custom construction</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195,143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174,292</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228,270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commitments to extend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652,261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558,471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Commitments to extend credit are agreements to lend to a customer provided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violation of any condition established in the contract. Since many of the commitments are expected to expire without being drawn upon, the amount of the total commitments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accounts receivable, inventory, property and equipment, residential real estate, and income-producing commercial properties.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Unfunded commitments under commercial lines of credit, revolving credit lines, and overdraft protection agreements are commitments for possible future extensions of credit to existing customers. These lines of credit usually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contain a specified maturity date and ultimately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be drawn on to the total extent to which the Company is committed. The Company’s ACL – unfunded loan commitments at </w:t>
      </w:r>
      <w:r>
        <w:rPr>
          <w:rStyle w:val="Emphasis"/>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2024</w:t>
      </w:r>
      <w:r>
        <w:rPr>
          <w:rFonts w:ascii="Times New Roman;Times;serif" w:hAnsi="Times New Roman;Times;serif"/>
          <w:caps w:val="false"/>
          <w:smallCaps w:val="false"/>
          <w:sz w:val="20"/>
        </w:rPr>
        <w:t xml:space="preserve"> was $2.1 million and $1.4 million, respectively. The Company recorded a provision for credit losses – unfunded loan commitments of $457,000 and $675,000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months ended </w:t>
      </w:r>
      <w:r>
        <w:rPr>
          <w:rStyle w:val="Emphasis"/>
          <w:rFonts w:ascii="Times New Roman;Times;serif" w:hAnsi="Times New Roman;Times;serif"/>
          <w:caps w:val="false"/>
          <w:smallCaps w:val="false"/>
          <w:sz w:val="20"/>
        </w:rPr>
        <w:t xml:space="preserve"> September 30, 2025</w:t>
      </w:r>
      <w:r>
        <w:rPr>
          <w:rFonts w:ascii="Times New Roman;Times;serif" w:hAnsi="Times New Roman;Times;serif"/>
          <w:caps w:val="false"/>
          <w:smallCaps w:val="false"/>
          <w:sz w:val="20"/>
        </w:rPr>
        <w:t xml:space="preserve">, respectively, as compared to a recovery for credit losses – unfunded loan commitments of $78,000 and $24,000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 2024</w:t>
      </w:r>
      <w:r>
        <w:rPr>
          <w:rFonts w:ascii="Times New Roman;Times;serif" w:hAnsi="Times New Roman;Times;serif"/>
          <w:caps w:val="false"/>
          <w:smallCaps w:val="false"/>
          <w:sz w:val="20"/>
        </w:rPr>
        <w:t xml:space="preserve">, respectively. The increase in provision for the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periods was primarily attributable to an $85.7 million increase in commercial and speculative construction and development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portion of the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commitments included in the table above are accounted for as fair value derivatives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carry an associated reserve.  The Company's derivative positions are presented with the discussion in “Note </w:t>
      </w:r>
      <w:r>
        <w:rPr>
          <w:rStyle w:val="Emphasis"/>
          <w:rFonts w:ascii="Times New Roman" w:hAnsi="Times New Roman"/>
          <w:caps w:val="false"/>
          <w:smallCaps w:val="false"/>
          <w:sz w:val="20"/>
        </w:rPr>
        <w:t>5</w:t>
      </w:r>
      <w:r>
        <w:rPr>
          <w:rFonts w:ascii="Times New Roman" w:hAnsi="Times New Roman"/>
          <w:caps w:val="false"/>
          <w:smallCaps w:val="false"/>
          <w:sz w:val="20"/>
        </w:rPr>
        <w:t> –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also sells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to the FHLB of Des Moines that require a limited level of recourse if the loans default and exceed a certain loss exposure. Specific to that recourse, the FHLB of Des Moines established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loss account (“FLA”) related to the loans and required a credit enhancement (“CE”) obligation by the Bank to be utilized after the FLA is used. Based on loans sold through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total loans serviced on behalf of the FHLB of Des Moines were $8.4 million with the FLA totaling $581,000 and the CE obligation at $389,000 or 4.6% of the loans outstanding. Management has established a holdback of 10% of the outstanding CE, or $39,000, which is a part of the off-balance sheet holdback for loans sold. At both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there were no loans sold and serviced on behalf of the FHLB of Des Moines that were greater than </w:t>
      </w:r>
      <w:r>
        <w:rPr>
          <w:rStyle w:val="Emphasis"/>
          <w:rFonts w:ascii="Times New Roman" w:hAnsi="Times New Roman"/>
          <w:caps w:val="false"/>
          <w:smallCaps w:val="false"/>
          <w:sz w:val="20"/>
        </w:rPr>
        <w:t>90</w:t>
      </w:r>
      <w:r>
        <w:rPr>
          <w:rFonts w:ascii="Times New Roman" w:hAnsi="Times New Roman"/>
          <w:caps w:val="false"/>
          <w:smallCaps w:val="false"/>
          <w:sz w:val="20"/>
        </w:rPr>
        <w:t> days past their contractual payment due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Contingent liabilities for loans held for sale</w:t>
      </w:r>
      <w:r>
        <w:rPr>
          <w:rFonts w:ascii="Times New Roman" w:hAnsi="Times New Roman"/>
          <w:caps w:val="false"/>
          <w:smallCaps w:val="false"/>
          <w:sz w:val="20"/>
        </w:rPr>
        <w:t xml:space="preserve"> – In the ordinary course of business, loans are sold with limited recourse against the Company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either repurchase the loan or indemnify the investor for losses sustained.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defects,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commitment to repurchase the loan. The Company has recorded a holdback reserve of $1.8 million and $2.0 million to cover loss exposure related to these guarantees for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sold into the secondary market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 which is included in “Other liabilities”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a severance agreement with its Chief Executive Officer (“CEO”). The severance agreement, subject to certain requirements, generally includes a lump sum payment to the CEO equal to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of base compensation in the event his employment is involuntarily terminated, other than for cause or the executive terminates his employment with good reason, as defined in the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change of control agreements with its executives and select key personnel. The change of control agreements, subject to certain requirements, generally remain in effect until canceled by either party upon at least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prior written notice. Under the change of control agreements, the executive generally will be entitled to a change of control payment from the Company if the executive is involuntarily terminated within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preceding or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after a change in control (as defined in the change of control agreements). In such an event, the executives would each be entitled to receive a cash payment in an amount equal to </w:t>
      </w:r>
      <w:r>
        <w:rPr>
          <w:rStyle w:val="Emphasis"/>
          <w:rFonts w:ascii="Times New Roman" w:hAnsi="Times New Roman"/>
          <w:caps w:val="false"/>
          <w:smallCaps w:val="false"/>
          <w:sz w:val="20"/>
        </w:rPr>
        <w:t>12</w:t>
      </w:r>
      <w:r>
        <w:rPr>
          <w:rFonts w:ascii="Times New Roman" w:hAnsi="Times New Roman"/>
          <w:caps w:val="false"/>
          <w:smallCaps w:val="false"/>
          <w:sz w:val="20"/>
        </w:rPr>
        <w:t> months of their then current salary, subject to certain requirements in the change of control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the nature of our activities, the Company is subject to various pending and threatened legal actions, which arise in the ordinary course of business. From time to time, subordination liens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create litigation which requires us to defend our lien rights. In the opinion of management, liabilities arising from these claims, if 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our financial position.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pending legal actions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xml:space="preserve"> – </w:t>
      </w: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determines fair value based on the requirements established in Accounting Standards Codification (“ASC”) </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820</w:t>
      </w:r>
      <w:r>
        <w:rPr>
          <w:rFonts w:ascii="Times New Roman" w:hAnsi="Times New Roman"/>
          <w:caps w:val="false"/>
          <w:smallCaps w:val="false"/>
          <w:sz w:val="20"/>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definitions describe the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1</w:t>
      </w:r>
      <w:r>
        <w:rPr>
          <w:rFonts w:ascii="Times New Roman" w:hAnsi="Times New Roman"/>
          <w:caps w:val="false"/>
          <w:smallCaps w:val="false"/>
          <w:sz w:val="20"/>
        </w:rPr>
        <w:t> – Inputs to the valuation methodology are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2</w:t>
      </w:r>
      <w:r>
        <w:rPr>
          <w:rFonts w:ascii="Times New Roman" w:hAnsi="Times New Roman"/>
          <w:caps w:val="false"/>
          <w:smallCaps w:val="false"/>
          <w:sz w:val="20"/>
        </w:rPr>
        <w:t> – 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3</w:t>
      </w:r>
      <w:r>
        <w:rPr>
          <w:rFonts w:ascii="Times New Roman" w:hAnsi="Times New Roman"/>
          <w:caps w:val="false"/>
          <w:smallCaps w:val="false"/>
          <w:sz w:val="20"/>
        </w:rPr>
        <w:t> – Inputs to the valuation methodology are unobservable and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methods were used to estimate the fair value of certain assets and liabilities on a recurring and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Securities </w:t>
      </w:r>
      <w:r>
        <w:rPr>
          <w:rFonts w:ascii="Times New Roman" w:hAnsi="Times New Roman"/>
          <w:caps w:val="false"/>
          <w:smallCaps w:val="false"/>
          <w:sz w:val="20"/>
        </w:rPr>
        <w:t xml:space="preserve">– The fair value of securities available-for-sale are recorded on a recurring basis. The fair value of investments and mortgage-backed securities are provided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Transfers between the fair value hierarchy are determined through the </w:t>
      </w:r>
      <w:r>
        <w:rPr>
          <w:rStyle w:val="Emphasis"/>
          <w:rFonts w:ascii="Times New Roman" w:hAnsi="Times New Roman"/>
          <w:caps w:val="false"/>
          <w:smallCaps w:val="false"/>
          <w:sz w:val="20"/>
        </w:rPr>
        <w:t>third</w:t>
      </w:r>
      <w:r>
        <w:rPr>
          <w:rFonts w:ascii="Times New Roman" w:hAnsi="Times New Roman"/>
          <w:caps w:val="false"/>
          <w:smallCaps w:val="false"/>
          <w:sz w:val="20"/>
        </w:rPr>
        <w:t>-party service provider which, from time to time will transfer between levels based on market conditions per the related security. All models and processes used consider market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Mortgage Loans Held for Sale</w:t>
      </w:r>
      <w:r>
        <w:rPr>
          <w:rFonts w:ascii="Times New Roman" w:hAnsi="Times New Roman"/>
          <w:caps w:val="false"/>
          <w:smallCaps w:val="false"/>
          <w:sz w:val="20"/>
        </w:rPr>
        <w:t xml:space="preserve"> – The fair value of loans held for sale reflects the value of commitments with investors and/or the relative price as delivered into a TBA mortgage-backed security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Loans Receivable</w:t>
      </w:r>
      <w:r>
        <w:rPr>
          <w:rFonts w:ascii="Times New Roman" w:hAnsi="Times New Roman"/>
          <w:caps w:val="false"/>
          <w:smallCaps w:val="false"/>
          <w:sz w:val="20"/>
        </w:rPr>
        <w:t xml:space="preserve"> – Certain residential mortgage loans were initially originated for sale with the fair value option elected; after origination, these loans were transferred to loans held for investment.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there were $12.6 million and $12.7 million, respectively, in residential mortgage loans recorded at fair value as they were previously transferred from held for sale, at fair value to loans held for investment. The aggregate unpaid principal balance of these loans was $13.2 million and $13.8 million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respectively. Gains and losses from changes in fair value for these loans are reported in earnings as a component of “Other noninterest income”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the Company recorded a net increase in fair value of $203,000, as compared to a net increase in fair value of $262,000,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For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a net increase in fair value of $469,000 and $448,000, respectively.  For loans originated as held for sale and transferred into loans held for investment, the fair value is determined based on quoted secondary market prices for similar loans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Derivative Instruments</w:t>
      </w:r>
      <w:r>
        <w:rPr>
          <w:rFonts w:ascii="Times New Roman" w:hAnsi="Times New Roman"/>
          <w:caps w:val="false"/>
          <w:smallCaps w:val="false"/>
          <w:sz w:val="20"/>
        </w:rPr>
        <w:t xml:space="preserve"> – Fair values for derivative assets and liabilities are measured on a recurring basis. The primary use of derivative instruments is 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while locks and forwards with customers and investors are fair valued using similar contracts in the market and changes in the market interest rates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Derivative instruments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mortgage banking activities include interest rate swap agreements. The fair values of interest rate swap agreements are based on valuation models using observable market data as of the measurement date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Company’s derivatives are traded in an over-the-counter market where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services. The fair values of all interest rate swaps are determined from </w:t>
      </w:r>
      <w:r>
        <w:rPr>
          <w:rStyle w:val="Emphasis"/>
          <w:rFonts w:ascii="Times New Roman" w:hAnsi="Times New Roman"/>
          <w:caps w:val="false"/>
          <w:smallCaps w:val="false"/>
          <w:sz w:val="20"/>
        </w:rPr>
        <w:t>third</w:t>
      </w:r>
      <w:r>
        <w:rPr>
          <w:rFonts w:ascii="Times New Roman" w:hAnsi="Times New Roman"/>
          <w:caps w:val="false"/>
          <w:smallCaps w:val="false"/>
          <w:sz w:val="20"/>
        </w:rPr>
        <w:t>-party pricing services without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Collateral-Dependent Loans</w:t>
      </w:r>
      <w:r>
        <w:rPr>
          <w:rFonts w:ascii="Times New Roman" w:hAnsi="Times New Roman"/>
          <w:caps w:val="false"/>
          <w:smallCaps w:val="false"/>
          <w:sz w:val="20"/>
        </w:rPr>
        <w:t xml:space="preserve">– Expected credit losses on collateral dependent loans are measured based on the fair value of collateral as of the reporting date, less estimated selling costs, as applicable.  If the fair value of the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is limited to the amount previously charged off.  Subsequent changes in expected credit losses on collateral-dependent loans are included within the provision for credit losses, either as an additional provision or as a reduction of the provision that would otherwise be reported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Mortgage Servicing Rights</w:t>
      </w:r>
      <w:r>
        <w:rPr>
          <w:rFonts w:ascii="Times New Roman" w:hAnsi="Times New Roman"/>
          <w:caps w:val="false"/>
          <w:smallCaps w:val="false"/>
          <w:sz w:val="20"/>
        </w:rPr>
        <w:t xml:space="preserve"> – The fair value of MSRs is estimated using net present value of expected cash flows using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model that incorporates assumptions used in the industry to value such rights, adjusted for factors such as weighted average prepayments speeds based on historical information where appropriate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securities available-for-sale, mortgage loans held for sale, loans receivable, at fair value, and derivative assets and liabilities measured at fair value on a recurring basis at the dates indicated:</w:t>
      </w:r>
    </w:p>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5105"/>
        <w:gridCol w:w="60"/>
        <w:gridCol w:w="195"/>
        <w:gridCol w:w="409"/>
        <w:gridCol w:w="60"/>
        <w:gridCol w:w="60"/>
        <w:gridCol w:w="125"/>
        <w:gridCol w:w="695"/>
        <w:gridCol w:w="80"/>
        <w:gridCol w:w="60"/>
        <w:gridCol w:w="164"/>
        <w:gridCol w:w="440"/>
        <w:gridCol w:w="80"/>
        <w:gridCol w:w="60"/>
        <w:gridCol w:w="125"/>
        <w:gridCol w:w="695"/>
        <w:gridCol w:w="80"/>
      </w:tblGrid>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2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17,988</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15,451</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70,705</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197,222</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10,329</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loans held for sale, at fair value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38,579</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at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12,571</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Forward TBA mortgage-backed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0"/>
              <w:ind w:left="0" w:right="0" w:hanging="0"/>
              <w:jc w:val="left"/>
              <w:rPr/>
            </w:pPr>
            <w:r>
              <w:rPr/>
              <w:t> </w:t>
            </w:r>
          </w:p>
        </w:tc>
        <w:tc>
          <w:tcPr>
            <w:tcW w:w="40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0"/>
              <w:jc w:val="left"/>
              <w:rPr/>
            </w:pPr>
            <w:r>
              <w:rPr/>
              <w:t> </w:t>
            </w:r>
          </w:p>
        </w:tc>
      </w:tr>
      <w:tr>
        <w:trPr/>
        <w:tc>
          <w:tcPr>
            <w:tcW w:w="510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rate swaps - cash flow and fair value hedges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1,714</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dealer offsets to customer swap positions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364,648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364,923</w:t>
            </w:r>
          </w:p>
        </w:tc>
        <w:tc>
          <w:tcPr>
            <w:tcW w:w="8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customer swap positions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rate swaps - cash flow and fair value hedges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Mandatory and best effort forward commitments with investors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measured at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8653" w:type="dxa"/>
        <w:jc w:val="left"/>
        <w:tblInd w:w="0" w:type="dxa"/>
        <w:tblLayout w:type="fixed"/>
        <w:tblCellMar>
          <w:top w:w="0" w:type="dxa"/>
          <w:left w:w="0" w:type="dxa"/>
          <w:bottom w:w="0" w:type="dxa"/>
          <w:right w:w="0" w:type="dxa"/>
        </w:tblCellMar>
      </w:tblPr>
      <w:tblGrid>
        <w:gridCol w:w="5285"/>
        <w:gridCol w:w="60"/>
        <w:gridCol w:w="195"/>
        <w:gridCol w:w="409"/>
        <w:gridCol w:w="60"/>
        <w:gridCol w:w="60"/>
        <w:gridCol w:w="125"/>
        <w:gridCol w:w="695"/>
        <w:gridCol w:w="80"/>
        <w:gridCol w:w="60"/>
        <w:gridCol w:w="164"/>
        <w:gridCol w:w="440"/>
        <w:gridCol w:w="60"/>
        <w:gridCol w:w="60"/>
        <w:gridCol w:w="125"/>
        <w:gridCol w:w="695"/>
        <w:gridCol w:w="80"/>
      </w:tblGrid>
      <w:tr>
        <w:trPr/>
        <w:tc>
          <w:tcPr>
            <w:tcW w:w="52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2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December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17,138</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15,126</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70,344</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167,186</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11,381</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loans held for sale, at fair value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27,835</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at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12,728</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Mandatory and best effort forward commitments with investors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Forward TBA mortgage-backed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cash flow and fair value hedges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7,244</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329,224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329,358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present financial assets measured at fair value on a nonrecurring basis and the level within the fair value hierarchy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assets recorded at fair value on a nonrecurring basis included loans for which a partial charge-off was recorded based on the fair value of collateral.</w:t>
      </w:r>
    </w:p>
    <w:p>
      <w:pPr>
        <w:pStyle w:val="TextBody"/>
        <w:bidi w:val="0"/>
        <w:spacing w:before="0" w:after="0"/>
        <w:ind w:left="0" w:right="0" w:hanging="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2210"/>
        <w:gridCol w:w="60"/>
        <w:gridCol w:w="195"/>
        <w:gridCol w:w="409"/>
        <w:gridCol w:w="60"/>
        <w:gridCol w:w="60"/>
        <w:gridCol w:w="195"/>
        <w:gridCol w:w="409"/>
        <w:gridCol w:w="60"/>
        <w:gridCol w:w="60"/>
        <w:gridCol w:w="125"/>
        <w:gridCol w:w="590"/>
        <w:gridCol w:w="60"/>
        <w:gridCol w:w="60"/>
        <w:gridCol w:w="125"/>
        <w:gridCol w:w="590"/>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dependent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9,349</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2210"/>
        <w:gridCol w:w="60"/>
        <w:gridCol w:w="205"/>
        <w:gridCol w:w="429"/>
        <w:gridCol w:w="60"/>
        <w:gridCol w:w="60"/>
        <w:gridCol w:w="205"/>
        <w:gridCol w:w="429"/>
        <w:gridCol w:w="60"/>
        <w:gridCol w:w="60"/>
        <w:gridCol w:w="125"/>
        <w:gridCol w:w="590"/>
        <w:gridCol w:w="60"/>
        <w:gridCol w:w="60"/>
        <w:gridCol w:w="125"/>
        <w:gridCol w:w="590"/>
        <w:gridCol w:w="6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5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dependent loans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Quantitative Information about Level </w:t>
      </w:r>
      <w:r>
        <w:rPr>
          <w:rStyle w:val="Emphasis"/>
          <w:rFonts w:ascii="Times New Roman" w:hAnsi="Times New Roman"/>
          <w:b/>
          <w:i/>
          <w:caps w:val="false"/>
          <w:smallCaps w:val="false"/>
          <w:sz w:val="20"/>
        </w:rPr>
        <w:t>3</w:t>
      </w:r>
      <w:r>
        <w:rPr>
          <w:rFonts w:ascii="Times New Roman" w:hAnsi="Times New Roman"/>
          <w:b/>
          <w:i/>
          <w:caps w:val="false"/>
          <w:smallCaps w:val="false"/>
          <w:sz w:val="20"/>
        </w:rPr>
        <w:t xml:space="preserve"> Fair Value Measurements</w:t>
      </w:r>
      <w:r>
        <w:rPr>
          <w:rFonts w:ascii="Times New Roman" w:hAnsi="Times New Roman"/>
          <w:caps w:val="false"/>
          <w:smallCaps w:val="false"/>
          <w:sz w:val="20"/>
        </w:rPr>
        <w:t xml:space="preserve"> – Shown in the table below is the fair value of financial instruments measured under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on a recurring and nonrecurring basis at the dates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1"/>
        <w:gridCol w:w="60"/>
        <w:gridCol w:w="1781"/>
        <w:gridCol w:w="60"/>
        <w:gridCol w:w="2191"/>
        <w:gridCol w:w="60"/>
        <w:gridCol w:w="60"/>
        <w:gridCol w:w="671"/>
        <w:gridCol w:w="60"/>
        <w:gridCol w:w="60"/>
        <w:gridCol w:w="136"/>
        <w:gridCol w:w="867"/>
        <w:gridCol w:w="242"/>
        <w:gridCol w:w="78"/>
        <w:gridCol w:w="130"/>
        <w:gridCol w:w="828"/>
        <w:gridCol w:w="190"/>
      </w:tblGrid>
      <w:tr>
        <w:trPr/>
        <w:tc>
          <w:tcPr>
            <w:tcW w:w="273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1"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 Average Rate</w:t>
            </w:r>
          </w:p>
        </w:tc>
        <w:tc>
          <w:tcPr>
            <w:tcW w:w="190" w:type="dxa"/>
            <w:tcBorders/>
            <w:shd w:fill="FFFF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center"/>
              <w:rPr/>
            </w:pPr>
            <w:r>
              <w:rPr/>
              <w:t> </w:t>
            </w:r>
          </w:p>
        </w:tc>
        <w:tc>
          <w:tcPr>
            <w:tcW w:w="1781"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Valuation</w:t>
            </w:r>
          </w:p>
        </w:tc>
        <w:tc>
          <w:tcPr>
            <w:tcW w:w="60" w:type="dxa"/>
            <w:tcBorders/>
            <w:shd w:fill="FFFFFF" w:val="clear"/>
            <w:vAlign w:val="center"/>
          </w:tcPr>
          <w:p>
            <w:pPr>
              <w:pStyle w:val="TableContents"/>
              <w:bidi w:val="0"/>
              <w:spacing w:before="0" w:after="283"/>
              <w:ind w:left="0" w:right="0" w:hanging="0"/>
              <w:jc w:val="center"/>
              <w:rPr/>
            </w:pPr>
            <w:r>
              <w:rPr/>
              <w:t> </w:t>
            </w:r>
          </w:p>
        </w:tc>
        <w:tc>
          <w:tcPr>
            <w:tcW w:w="2191"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September 30,</w:t>
            </w:r>
          </w:p>
        </w:tc>
        <w:tc>
          <w:tcPr>
            <w:tcW w:w="242"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9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190" w:type="dxa"/>
            <w:tcBorders/>
            <w:shd w:fill="FFFFFF" w:val="clear"/>
            <w:vAlign w:val="center"/>
          </w:tcPr>
          <w:p>
            <w:pPr>
              <w:pStyle w:val="TableContents"/>
              <w:bidi w:val="0"/>
              <w:spacing w:before="0" w:after="283"/>
              <w:jc w:val="left"/>
              <w:rPr/>
            </w:pPr>
            <w:r>
              <w:rPr/>
              <w:t> </w:t>
            </w:r>
          </w:p>
        </w:tc>
      </w:tr>
      <w:tr>
        <w:trPr/>
        <w:tc>
          <w:tcPr>
            <w:tcW w:w="27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Instruments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178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Techniques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219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Inputs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2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w:t>
            </w:r>
          </w:p>
        </w:tc>
        <w:tc>
          <w:tcPr>
            <w:tcW w:w="60" w:type="dxa"/>
            <w:tcBorders/>
            <w:shd w:fill="CCEEFF" w:val="clear"/>
            <w:vAlign w:val="center"/>
          </w:tcPr>
          <w:p>
            <w:pPr>
              <w:pStyle w:val="TableContents"/>
              <w:bidi w:val="0"/>
              <w:spacing w:before="0" w:after="283"/>
              <w:jc w:val="left"/>
              <w:rPr/>
            </w:pPr>
            <w:r>
              <w:rPr/>
              <w:t> </w:t>
            </w:r>
          </w:p>
        </w:tc>
        <w:tc>
          <w:tcPr>
            <w:tcW w:w="17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781"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Quoted market prices</w:t>
            </w:r>
          </w:p>
        </w:tc>
        <w:tc>
          <w:tcPr>
            <w:tcW w:w="60" w:type="dxa"/>
            <w:tcBorders/>
            <w:shd w:fill="FFFFFF" w:val="clear"/>
            <w:vAlign w:val="center"/>
          </w:tcPr>
          <w:p>
            <w:pPr>
              <w:pStyle w:val="TableContents"/>
              <w:bidi w:val="0"/>
              <w:spacing w:before="0" w:after="283"/>
              <w:ind w:left="0" w:right="0" w:hanging="0"/>
              <w:jc w:val="left"/>
              <w:rPr/>
            </w:pPr>
            <w:r>
              <w:rPr/>
              <w:t> </w:t>
            </w:r>
          </w:p>
        </w:tc>
        <w:tc>
          <w:tcPr>
            <w:tcW w:w="2191"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Pull-through expectations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80% - 99%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89.9</w:t>
            </w:r>
          </w:p>
        </w:tc>
        <w:tc>
          <w:tcPr>
            <w:tcW w:w="24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1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60" w:type="dxa"/>
            <w:tcBorders/>
            <w:shd w:fill="CCEEFF" w:val="clear"/>
            <w:vAlign w:val="center"/>
          </w:tcPr>
          <w:p>
            <w:pPr>
              <w:pStyle w:val="TableContents"/>
              <w:bidi w:val="0"/>
              <w:spacing w:before="0" w:after="283"/>
              <w:ind w:left="0" w:right="0" w:hanging="0"/>
              <w:jc w:val="left"/>
              <w:rPr/>
            </w:pPr>
            <w:r>
              <w:rPr/>
              <w:t> </w:t>
            </w:r>
          </w:p>
        </w:tc>
        <w:tc>
          <w:tcPr>
            <w:tcW w:w="1781"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Quoted market prices</w:t>
            </w:r>
          </w:p>
        </w:tc>
        <w:tc>
          <w:tcPr>
            <w:tcW w:w="60" w:type="dxa"/>
            <w:tcBorders/>
            <w:shd w:fill="CCEEFF" w:val="clear"/>
            <w:vAlign w:val="center"/>
          </w:tcPr>
          <w:p>
            <w:pPr>
              <w:pStyle w:val="TableContents"/>
              <w:bidi w:val="0"/>
              <w:spacing w:before="0" w:after="283"/>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Pull-through expectations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80% - 99%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89.9</w:t>
            </w:r>
          </w:p>
        </w:tc>
        <w:tc>
          <w:tcPr>
            <w:tcW w:w="2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NONRECURRING</w:t>
            </w:r>
          </w:p>
        </w:tc>
        <w:tc>
          <w:tcPr>
            <w:tcW w:w="60"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Collateral dependent loans</w:t>
            </w:r>
          </w:p>
        </w:tc>
        <w:tc>
          <w:tcPr>
            <w:tcW w:w="60" w:type="dxa"/>
            <w:tcBorders/>
            <w:shd w:fill="CCEEFF" w:val="clear"/>
            <w:vAlign w:val="center"/>
          </w:tcPr>
          <w:p>
            <w:pPr>
              <w:pStyle w:val="TableContents"/>
              <w:bidi w:val="0"/>
              <w:spacing w:before="0" w:after="283"/>
              <w:jc w:val="left"/>
              <w:rPr/>
            </w:pPr>
            <w:r>
              <w:rPr/>
              <w:t> </w:t>
            </w:r>
          </w:p>
        </w:tc>
        <w:tc>
          <w:tcPr>
            <w:tcW w:w="1781"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sz w:val="20"/>
              </w:rPr>
              <w:t>Fair value of underlying collateral</w:t>
            </w:r>
          </w:p>
        </w:tc>
        <w:tc>
          <w:tcPr>
            <w:tcW w:w="60" w:type="dxa"/>
            <w:tcBorders/>
            <w:shd w:fill="CCEEFF" w:val="clear"/>
            <w:vAlign w:val="center"/>
          </w:tcPr>
          <w:p>
            <w:pPr>
              <w:pStyle w:val="TableContents"/>
              <w:bidi w:val="0"/>
              <w:spacing w:before="0" w:after="283"/>
              <w:jc w:val="left"/>
              <w:rPr/>
            </w:pPr>
            <w:r>
              <w:rPr/>
              <w:t> </w:t>
            </w:r>
          </w:p>
        </w:tc>
        <w:tc>
          <w:tcPr>
            <w:tcW w:w="2191"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sz w:val="20"/>
              </w:rPr>
              <w:t>Discount applied to the obtained appraisal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0% - 25%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MSRs</w:t>
            </w:r>
          </w:p>
        </w:tc>
        <w:tc>
          <w:tcPr>
            <w:tcW w:w="60" w:type="dxa"/>
            <w:tcBorders/>
            <w:shd w:fill="FFFFFF" w:val="clear"/>
            <w:vAlign w:val="center"/>
          </w:tcPr>
          <w:p>
            <w:pPr>
              <w:pStyle w:val="TableContents"/>
              <w:bidi w:val="0"/>
              <w:spacing w:before="0" w:after="283"/>
              <w:ind w:left="0" w:right="0" w:hanging="0"/>
              <w:jc w:val="left"/>
              <w:rPr/>
            </w:pPr>
            <w:r>
              <w:rPr/>
              <w:t> </w:t>
            </w:r>
          </w:p>
        </w:tc>
        <w:tc>
          <w:tcPr>
            <w:tcW w:w="1781"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Industry sources</w:t>
            </w:r>
          </w:p>
        </w:tc>
        <w:tc>
          <w:tcPr>
            <w:tcW w:w="60" w:type="dxa"/>
            <w:tcBorders/>
            <w:shd w:fill="FFFFFF" w:val="clear"/>
            <w:vAlign w:val="center"/>
          </w:tcPr>
          <w:p>
            <w:pPr>
              <w:pStyle w:val="TableContents"/>
              <w:bidi w:val="0"/>
              <w:spacing w:before="0" w:after="283"/>
              <w:ind w:left="0" w:right="0" w:hanging="0"/>
              <w:jc w:val="left"/>
              <w:rPr/>
            </w:pPr>
            <w:r>
              <w:rPr/>
              <w:t> </w:t>
            </w:r>
          </w:p>
        </w:tc>
        <w:tc>
          <w:tcPr>
            <w:tcW w:w="2191"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Pre-payment speeds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 - 50%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24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1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pull-through rate is based on historical loan closing rates for similar interest rate lock commitments. An increase or decrease in the pull-through rate would have a corresponding positive or negative fair value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following table provides a reconciliation of assets and liabilities measured at fair value using significant unobservable inputs (Level </w:t>
      </w:r>
      <w:r>
        <w:rPr>
          <w:rStyle w:val="Emphasis"/>
          <w:rFonts w:ascii="Times New Roman;Times;serif" w:hAnsi="Times New Roman;Times;serif"/>
          <w:sz w:val="20"/>
        </w:rPr>
        <w:t>3</w:t>
      </w:r>
      <w:r>
        <w:rPr>
          <w:rFonts w:ascii="Times New Roman;Times;serif" w:hAnsi="Times New Roman;Times;serif"/>
          <w:sz w:val="20"/>
        </w:rPr>
        <w:t>) on a recurring basis during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1"/>
        <w:gridCol w:w="60"/>
        <w:gridCol w:w="210"/>
        <w:gridCol w:w="665"/>
        <w:gridCol w:w="80"/>
        <w:gridCol w:w="60"/>
        <w:gridCol w:w="160"/>
        <w:gridCol w:w="700"/>
        <w:gridCol w:w="80"/>
        <w:gridCol w:w="60"/>
        <w:gridCol w:w="177"/>
        <w:gridCol w:w="773"/>
        <w:gridCol w:w="80"/>
        <w:gridCol w:w="60"/>
        <w:gridCol w:w="188"/>
        <w:gridCol w:w="507"/>
        <w:gridCol w:w="80"/>
        <w:gridCol w:w="60"/>
        <w:gridCol w:w="293"/>
        <w:gridCol w:w="928"/>
        <w:gridCol w:w="80"/>
        <w:gridCol w:w="60"/>
        <w:gridCol w:w="396"/>
        <w:gridCol w:w="825"/>
        <w:gridCol w:w="62"/>
      </w:tblGrid>
      <w:tr>
        <w:trPr/>
        <w:tc>
          <w:tcPr>
            <w:tcW w:w="35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Purchases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change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change in</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Beginning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Sales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Ending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Issuances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Settlements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gains/(losses)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gains/(losses) (2)</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2024</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1"/>
        <w:gridCol w:w="60"/>
        <w:gridCol w:w="210"/>
        <w:gridCol w:w="665"/>
        <w:gridCol w:w="80"/>
        <w:gridCol w:w="60"/>
        <w:gridCol w:w="160"/>
        <w:gridCol w:w="700"/>
        <w:gridCol w:w="80"/>
        <w:gridCol w:w="60"/>
        <w:gridCol w:w="177"/>
        <w:gridCol w:w="773"/>
        <w:gridCol w:w="80"/>
        <w:gridCol w:w="60"/>
        <w:gridCol w:w="188"/>
        <w:gridCol w:w="507"/>
        <w:gridCol w:w="80"/>
        <w:gridCol w:w="60"/>
        <w:gridCol w:w="293"/>
        <w:gridCol w:w="928"/>
        <w:gridCol w:w="80"/>
        <w:gridCol w:w="60"/>
        <w:gridCol w:w="396"/>
        <w:gridCol w:w="825"/>
        <w:gridCol w:w="62"/>
      </w:tblGrid>
      <w:tr>
        <w:trPr/>
        <w:tc>
          <w:tcPr>
            <w:tcW w:w="35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Purchases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change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change in</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Beginning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Sales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Ending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 for</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Issuances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Settlements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gains/(losses)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gains/(losses) (2)</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lock commitments with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forward sale commitments with investors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2024</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lock commitments with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forward sale commitments with investors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Relating to items held at end of period included in income.</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Relating to items held at end of period included in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Gains on interest rate lock commitments and on forward sale commitments with investors carried at fair value are recorded in “Gain on sale of loans held for sale” on the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provides estimated fair values of the Company’s financial instruments at the dates indicated, whether recognized at fair value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5165"/>
        <w:gridCol w:w="60"/>
        <w:gridCol w:w="125"/>
        <w:gridCol w:w="845"/>
        <w:gridCol w:w="60"/>
        <w:gridCol w:w="60"/>
        <w:gridCol w:w="125"/>
        <w:gridCol w:w="845"/>
        <w:gridCol w:w="60"/>
        <w:gridCol w:w="60"/>
        <w:gridCol w:w="125"/>
        <w:gridCol w:w="845"/>
        <w:gridCol w:w="60"/>
        <w:gridCol w:w="60"/>
        <w:gridCol w:w="125"/>
        <w:gridCol w:w="845"/>
        <w:gridCol w:w="60"/>
      </w:tblGrid>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 inputs: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31,635</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 inputs: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281,175</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held-to-maturity, gross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8,144</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27,835</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TBA mortgage-backed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12,728</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cash flow and fair value hedges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7,244</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inputs: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gross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2,385,213</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 held at lower of cost or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21,043</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Mandatory and best effort forward commitments with investors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interest rate locks with customers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 inputs: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1,299,774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1,300,722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1,024,663</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307,408</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 excluding unamortized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45,504</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cash flow and fair value hedges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inputs: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Mandatory and best effort forward commitments with investors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caps w:val="false"/>
          <w:smallCaps w:val="false"/>
          <w:sz w:val="20"/>
        </w:rPr>
        <w:t xml:space="preserve"> –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computes earnings per share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Diluted earnings per share reflect the potential dilution that could occur if securities or other contracts to issue common stock were exercised or converted into common stock or resulted in the issuance of common stock that then shared in the earnings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the components used to compute basic and diluted earnings per share at or for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37"/>
        <w:gridCol w:w="60"/>
        <w:gridCol w:w="181"/>
        <w:gridCol w:w="1097"/>
        <w:gridCol w:w="77"/>
        <w:gridCol w:w="181"/>
        <w:gridCol w:w="1097"/>
        <w:gridCol w:w="60"/>
        <w:gridCol w:w="180"/>
        <w:gridCol w:w="1087"/>
        <w:gridCol w:w="77"/>
        <w:gridCol w:w="180"/>
        <w:gridCol w:w="1091"/>
      </w:tblGrid>
      <w:tr>
        <w:trPr/>
        <w:tc>
          <w:tcPr>
            <w:tcW w:w="48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3"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261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Nine Months Ended September 30,</w:t>
            </w:r>
          </w:p>
        </w:tc>
      </w:tr>
      <w:tr>
        <w:trPr/>
        <w:tc>
          <w:tcPr>
            <w:tcW w:w="48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FFFFFF" w:val="clear"/>
            <w:vAlign w:val="center"/>
          </w:tcPr>
          <w:p>
            <w:pPr>
              <w:pStyle w:val="TableContents"/>
              <w:bidi w:val="0"/>
              <w:spacing w:before="0" w:after="283"/>
              <w:jc w:val="left"/>
              <w:rPr/>
            </w:pPr>
            <w:r>
              <w:rPr/>
              <w:t> </w:t>
            </w:r>
          </w:p>
        </w:tc>
        <w:tc>
          <w:tcPr>
            <w:tcW w:w="12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77" w:type="dxa"/>
            <w:tcBorders/>
            <w:shd w:fill="FFFFFF" w:val="clear"/>
            <w:vAlign w:val="center"/>
          </w:tcPr>
          <w:p>
            <w:pPr>
              <w:pStyle w:val="TableContents"/>
              <w:bidi w:val="0"/>
              <w:spacing w:before="0" w:after="283"/>
              <w:jc w:val="left"/>
              <w:rPr/>
            </w:pPr>
            <w:r>
              <w:rPr/>
              <w:t> </w:t>
            </w:r>
          </w:p>
        </w:tc>
        <w:tc>
          <w:tcPr>
            <w:tcW w:w="12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77" w:type="dxa"/>
            <w:tcBorders/>
            <w:shd w:fill="FFFFFF" w:val="clear"/>
            <w:vAlign w:val="center"/>
          </w:tcPr>
          <w:p>
            <w:pPr>
              <w:pStyle w:val="TableContents"/>
              <w:bidi w:val="0"/>
              <w:spacing w:before="0" w:after="283"/>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r>
      <w:tr>
        <w:trPr/>
        <w:tc>
          <w:tcPr>
            <w:tcW w:w="48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9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9,177</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9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10,286</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24,926</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9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27,642</w:t>
            </w:r>
          </w:p>
        </w:tc>
      </w:tr>
      <w:tr>
        <w:trPr/>
        <w:tc>
          <w:tcPr>
            <w:tcW w:w="48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and undistributed earnings allocated to participating securities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(176)</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(165)</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(443)</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(450)</w:t>
            </w:r>
          </w:p>
        </w:tc>
      </w:tr>
      <w:tr>
        <w:trPr/>
        <w:tc>
          <w:tcPr>
            <w:tcW w:w="483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 available to common shareholders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9,001</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10,121</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24,483</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27,192</w:t>
            </w:r>
          </w:p>
        </w:tc>
      </w:tr>
      <w:tr>
        <w:trPr/>
        <w:tc>
          <w:tcPr>
            <w:tcW w:w="48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(shown as actual):</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left"/>
              <w:rPr/>
            </w:pPr>
            <w:r>
              <w:rPr/>
              <w:t> </w:t>
            </w:r>
          </w:p>
        </w:tc>
      </w:tr>
      <w:tr>
        <w:trPr/>
        <w:tc>
          <w:tcPr>
            <w:tcW w:w="48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7,488,139</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7,676,102</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7,587,202</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7,689,277</w:t>
            </w:r>
          </w:p>
        </w:tc>
      </w:tr>
      <w:tr>
        <w:trPr/>
        <w:tc>
          <w:tcPr>
            <w:tcW w:w="48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Dilutive shares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135,104</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178,287</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110,759</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188,569</w:t>
            </w:r>
          </w:p>
        </w:tc>
      </w:tr>
      <w:tr>
        <w:trPr/>
        <w:tc>
          <w:tcPr>
            <w:tcW w:w="48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7,623,243</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7,854,389</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7,697,961</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7,877,846</w:t>
            </w:r>
          </w:p>
        </w:tc>
      </w:tr>
      <w:tr>
        <w:trPr/>
        <w:tc>
          <w:tcPr>
            <w:tcW w:w="4837" w:type="dxa"/>
            <w:tcBorders/>
            <w:shd w:fill="FFFFFF" w:val="clear"/>
            <w:vAlign w:val="center"/>
          </w:tcPr>
          <w:p>
            <w:pPr>
              <w:pStyle w:val="TableContents"/>
              <w:bidi w:val="0"/>
              <w:spacing w:before="0" w:after="283"/>
              <w:jc w:val="left"/>
              <w:rPr/>
            </w:pPr>
            <w:r>
              <w:rPr/>
              <w:t>Basic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FFFFFF" w:val="clear"/>
            <w:tcMar>
              <w:bottom w:w="28" w:type="dxa"/>
            </w:tcMar>
            <w:vAlign w:val="center"/>
          </w:tcPr>
          <w:p>
            <w:pPr>
              <w:pStyle w:val="TableContents"/>
              <w:bidi w:val="0"/>
              <w:spacing w:before="0" w:after="0"/>
              <w:jc w:val="right"/>
              <w:rPr/>
            </w:pPr>
            <w:r>
              <w:rPr/>
              <w:t>1.20</w:t>
            </w:r>
          </w:p>
        </w:tc>
        <w:tc>
          <w:tcPr>
            <w:tcW w:w="77"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FFFFFF" w:val="clear"/>
            <w:tcMar>
              <w:bottom w:w="28" w:type="dxa"/>
            </w:tcMar>
            <w:vAlign w:val="center"/>
          </w:tcPr>
          <w:p>
            <w:pPr>
              <w:pStyle w:val="TableContents"/>
              <w:bidi w:val="0"/>
              <w:spacing w:before="0" w:after="0"/>
              <w:jc w:val="right"/>
              <w:rPr/>
            </w:pPr>
            <w:r>
              <w:rPr/>
              <w:t>1.32</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87" w:type="dxa"/>
            <w:tcBorders>
              <w:bottom w:val="double" w:sz="6" w:space="0" w:color="000000"/>
            </w:tcBorders>
            <w:shd w:fill="FFFFFF" w:val="clear"/>
            <w:tcMar>
              <w:bottom w:w="28" w:type="dxa"/>
            </w:tcMar>
            <w:vAlign w:val="center"/>
          </w:tcPr>
          <w:p>
            <w:pPr>
              <w:pStyle w:val="TableContents"/>
              <w:bidi w:val="0"/>
              <w:spacing w:before="0" w:after="0"/>
              <w:jc w:val="right"/>
              <w:rPr/>
            </w:pPr>
            <w:r>
              <w:rPr/>
              <w:t>3.23</w:t>
            </w:r>
          </w:p>
        </w:tc>
        <w:tc>
          <w:tcPr>
            <w:tcW w:w="77"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0"/>
              <w:jc w:val="right"/>
              <w:rPr/>
            </w:pPr>
            <w:r>
              <w:rPr/>
              <w:t>3.54</w:t>
            </w:r>
          </w:p>
        </w:tc>
      </w:tr>
      <w:tr>
        <w:trPr/>
        <w:tc>
          <w:tcPr>
            <w:tcW w:w="4837" w:type="dxa"/>
            <w:tcBorders/>
            <w:shd w:fill="CCEEFF" w:val="clear"/>
            <w:vAlign w:val="center"/>
          </w:tcPr>
          <w:p>
            <w:pPr>
              <w:pStyle w:val="TableContents"/>
              <w:bidi w:val="0"/>
              <w:spacing w:before="0" w:after="283"/>
              <w:jc w:val="left"/>
              <w:rPr/>
            </w:pPr>
            <w:r>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jc w:val="right"/>
              <w:rPr/>
            </w:pPr>
            <w:r>
              <w:rPr/>
              <w:t>1.18</w:t>
            </w:r>
          </w:p>
        </w:tc>
        <w:tc>
          <w:tcPr>
            <w:tcW w:w="7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jc w:val="right"/>
              <w:rPr/>
            </w:pPr>
            <w:r>
              <w:rPr/>
              <w:t>1.29</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jc w:val="right"/>
              <w:rPr/>
            </w:pPr>
            <w:r>
              <w:rPr/>
              <w:t>3.18</w:t>
            </w:r>
          </w:p>
        </w:tc>
        <w:tc>
          <w:tcPr>
            <w:tcW w:w="77"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jc w:val="right"/>
              <w:rPr/>
            </w:pPr>
            <w:r>
              <w:rPr/>
              <w:t>3.45</w:t>
            </w:r>
          </w:p>
        </w:tc>
      </w:tr>
      <w:tr>
        <w:trPr/>
        <w:tc>
          <w:tcPr>
            <w:tcW w:w="48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Potentially dilutive weighted average share options that were not included in the computation of diluted earnings per share because to do so would be anti-dilutive.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19,771</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12,382</w:t>
            </w:r>
          </w:p>
        </w:tc>
        <w:tc>
          <w:tcPr>
            <w:tcW w:w="77"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14,151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 </w:t>
      </w: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Options and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17, 2018, </w:t>
      </w:r>
      <w:r>
        <w:rPr>
          <w:rFonts w:ascii="Times New Roman" w:hAnsi="Times New Roman"/>
          <w:caps w:val="false"/>
          <w:smallCaps w:val="false"/>
          <w:sz w:val="20"/>
        </w:rPr>
        <w:t xml:space="preserve">the shareholders of FS Bancorp approved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that authorized 1.3 million shares of the Company’s common stock to be awarded.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provides for the grant of incentive stock options, nonqualified stock options, and up to 326,000 shares as restricted stock awards (“RSAs”) to directors, emeritus directors, officers, employees or advisory directors of the Company.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there were 52,060 stock option awards and 500 RSAs available for future grants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Total share-based compensation expense was $583,000 and $1.6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$464,000 and $1.2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provides for the grant of stock option awards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designated as either incentive stock options or nonqualified stock options. Stock option awards generally vest over a one-year period for non-employee directors, and over a four-or five-year period for employees and officers with annual vesting in equal installments on the anniversary date of each grant date provided the award recipient remains in continuous service with the Company.  Options become exercisable after vesting and remain exercisable for the remaining term of the original grant, subject to a maximum term of 10 years. Any unexercised stock options expire 10 years after the grant date, or earlier upon the termination of the recipient's service with the Company or the Bank. The fair value of each stock option award is estimated on the grant date using a Black-Scholes Option pricing model which incorporates the following assumptions.</w:t>
      </w:r>
    </w:p>
    <w:p>
      <w:pPr>
        <w:pStyle w:val="TextBody"/>
        <w:bidi w:val="0"/>
        <w:spacing w:before="0" w:after="0"/>
        <w:ind w:left="0" w:right="0" w:hanging="0"/>
        <w:jc w:val="both"/>
        <w:rPr>
          <w:caps w:val="false"/>
          <w:smallCaps w:val="false"/>
        </w:rPr>
      </w:pPr>
      <w:r>
        <w:rPr>
          <w:caps w:val="false"/>
          <w:smallCaps w:val="false"/>
        </w:rPr>
        <w:t> </w:t>
      </w:r>
    </w:p>
    <w:tbl>
      <w:tblPr>
        <w:tblW w:w="7167" w:type="dxa"/>
        <w:jc w:val="left"/>
        <w:tblInd w:w="0" w:type="dxa"/>
        <w:tblLayout w:type="fixed"/>
        <w:tblCellMar>
          <w:top w:w="0" w:type="dxa"/>
          <w:left w:w="0" w:type="dxa"/>
          <w:bottom w:w="0" w:type="dxa"/>
          <w:right w:w="0" w:type="dxa"/>
        </w:tblCellMar>
      </w:tblPr>
      <w:tblGrid>
        <w:gridCol w:w="4730"/>
        <w:gridCol w:w="60"/>
        <w:gridCol w:w="165"/>
        <w:gridCol w:w="643"/>
        <w:gridCol w:w="365"/>
        <w:gridCol w:w="60"/>
        <w:gridCol w:w="159"/>
        <w:gridCol w:w="617"/>
        <w:gridCol w:w="368"/>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36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2.79</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2.57</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38.45</w:t>
            </w:r>
          </w:p>
        </w:tc>
        <w:tc>
          <w:tcPr>
            <w:tcW w:w="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29.55</w:t>
            </w:r>
          </w:p>
        </w:tc>
        <w:tc>
          <w:tcPr>
            <w:tcW w:w="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3.98</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3.82</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368"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grant date fair value per option granted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13.21</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11.36</w:t>
            </w:r>
          </w:p>
        </w:tc>
        <w:tc>
          <w:tcPr>
            <w:tcW w:w="3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dividend yield is based on the current quarterly dividend in effect at the time of the grant.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w:t>
      </w:r>
      <w:r>
        <w:rPr>
          <w:rStyle w:val="Emphasis"/>
          <w:rFonts w:ascii="Times New Roman" w:hAnsi="Times New Roman"/>
          <w:caps w:val="false"/>
          <w:smallCaps w:val="false"/>
          <w:sz w:val="20"/>
        </w:rPr>
        <w:t>107,</w:t>
      </w:r>
      <w:r>
        <w:rPr>
          <w:rFonts w:ascii="Times New Roman" w:hAnsi="Times New Roman"/>
          <w:caps w:val="false"/>
          <w:smallCaps w:val="false"/>
          <w:sz w:val="20"/>
        </w:rPr>
        <w:t xml:space="preserve"> simplified expected term calculation for the “Share-Based Payments” method permitted by the SEC to calculate the expected term. This method uses the vesting term of an option along with the contractual term, setting the expected life at 5.5 years for one-year vesting, 6.25 years for four-year vesting, and 6.5 years for five-year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stock option awards during the dates indicated (shown as actual):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8"/>
        <w:gridCol w:w="60"/>
        <w:gridCol w:w="60"/>
        <w:gridCol w:w="695"/>
        <w:gridCol w:w="80"/>
        <w:gridCol w:w="60"/>
        <w:gridCol w:w="404"/>
        <w:gridCol w:w="1575"/>
        <w:gridCol w:w="60"/>
        <w:gridCol w:w="60"/>
        <w:gridCol w:w="365"/>
        <w:gridCol w:w="2318"/>
        <w:gridCol w:w="60"/>
        <w:gridCol w:w="60"/>
        <w:gridCol w:w="145"/>
        <w:gridCol w:w="982"/>
        <w:gridCol w:w="63"/>
      </w:tblGrid>
      <w:tr>
        <w:trPr/>
        <w:tc>
          <w:tcPr>
            <w:tcW w:w="3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Weighted-Average Remaining Contractual Term In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Aggregate Value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537,901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23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5,187,207</w:t>
            </w:r>
          </w:p>
        </w:tc>
        <w:tc>
          <w:tcPr>
            <w:tcW w:w="63" w:type="dxa"/>
            <w:tcBorders/>
            <w:shd w:fill="CCEEFF" w:val="clear"/>
            <w:vAlign w:val="center"/>
          </w:tcPr>
          <w:p>
            <w:pPr>
              <w:pStyle w:val="TableContents"/>
              <w:bidi w:val="0"/>
              <w:spacing w:before="0" w:after="283"/>
              <w:jc w:val="left"/>
              <w:rPr/>
            </w:pPr>
            <w:r>
              <w:rPr/>
              <w:t> </w:t>
            </w:r>
          </w:p>
        </w:tc>
      </w:tr>
      <w:tr>
        <w:trPr/>
        <w:tc>
          <w:tcPr>
            <w:tcW w:w="3158"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318" w:type="dxa"/>
            <w:tcBorders/>
            <w:shd w:fill="FFFFFF" w:val="clear"/>
            <w:vAlign w:val="center"/>
          </w:tcPr>
          <w:p>
            <w:pPr>
              <w:pStyle w:val="TableContents"/>
              <w:bidi w:val="0"/>
              <w:spacing w:before="0" w:after="283"/>
              <w:jc w:val="right"/>
              <w:rPr/>
            </w:pPr>
            <w:r>
              <w:rPr>
                <w:rStyle w:val="Emphasis"/>
                <w:rFonts w:ascii="Times New Roman" w:hAnsi="Times New Roman"/>
                <w:sz w:val="20"/>
              </w:rPr>
              <w:t>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r>
        <w:trPr/>
        <w:tc>
          <w:tcPr>
            <w:tcW w:w="3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exercised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2318"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80,460</w:t>
            </w:r>
          </w:p>
        </w:tc>
        <w:tc>
          <w:tcPr>
            <w:tcW w:w="63" w:type="dxa"/>
            <w:tcBorders/>
            <w:shd w:fill="CCEEFF" w:val="clear"/>
            <w:vAlign w:val="center"/>
          </w:tcPr>
          <w:p>
            <w:pPr>
              <w:pStyle w:val="TableContents"/>
              <w:bidi w:val="0"/>
              <w:spacing w:before="0" w:after="283"/>
              <w:jc w:val="left"/>
              <w:rPr/>
            </w:pPr>
            <w:r>
              <w:rPr/>
              <w:t> </w:t>
            </w:r>
          </w:p>
        </w:tc>
      </w:tr>
      <w:tr>
        <w:trPr/>
        <w:tc>
          <w:tcPr>
            <w:tcW w:w="31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670,273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23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4,595,894</w:t>
            </w:r>
          </w:p>
        </w:tc>
        <w:tc>
          <w:tcPr>
            <w:tcW w:w="63" w:type="dxa"/>
            <w:tcBorders/>
            <w:shd w:fill="FFFFFF" w:val="clear"/>
            <w:vAlign w:val="center"/>
          </w:tcPr>
          <w:p>
            <w:pPr>
              <w:pStyle w:val="TableContents"/>
              <w:bidi w:val="0"/>
              <w:spacing w:before="0" w:after="283"/>
              <w:jc w:val="left"/>
              <w:rPr/>
            </w:pPr>
            <w:r>
              <w:rPr/>
              <w:t> </w:t>
            </w:r>
          </w:p>
        </w:tc>
      </w:tr>
      <w:tr>
        <w:trPr/>
        <w:tc>
          <w:tcPr>
            <w:tcW w:w="31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2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158"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to vest, assuming a 0.31% annual forfeiture rate at, September 30, 2025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23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4,555,924</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315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pPr>
            <w:r>
              <w:rPr/>
              <w:t> </w:t>
            </w:r>
          </w:p>
        </w:tc>
        <w:tc>
          <w:tcPr>
            <w:tcW w:w="157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c>
          <w:tcPr>
            <w:tcW w:w="231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jc w:val="left"/>
              <w:rPr/>
            </w:pPr>
            <w:r>
              <w:rPr/>
              <w:t> </w:t>
            </w:r>
          </w:p>
        </w:tc>
      </w:tr>
      <w:tr>
        <w:trPr/>
        <w:tc>
          <w:tcPr>
            <w:tcW w:w="31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23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3,789,646</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2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Forfeiture rate has been calculated and estimated, based on historical employment data, to assume a forfeiture of 3.1% of the options over 10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there was $3.1 million of total unrecognized compensation cost related to nonvested stock options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cost is expected to be recognized over the remaining weighted-average vesting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RSAs’ fair value is equal to the market price of FS Bancorp’s common stock on the grant date. Compensation expense is recognized over the vesting period of the awards based on the fair value of the restricted stock. Shares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over a four- or five-year period for employees and officers, beginning on the grant date, and over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for non-employee directors, with vesting occurring at the end of the </w:t>
      </w:r>
      <w:r>
        <w:rPr>
          <w:rStyle w:val="Emphasis"/>
          <w:rFonts w:ascii="Times New Roman" w:hAnsi="Times New Roman"/>
          <w:caps w:val="false"/>
          <w:smallCaps w:val="false"/>
          <w:sz w:val="20"/>
        </w:rPr>
        <w:t>one</w:t>
      </w:r>
      <w:r>
        <w:rPr>
          <w:rFonts w:ascii="Times New Roman" w:hAnsi="Times New Roman"/>
          <w:caps w:val="false"/>
          <w:smallCaps w:val="false"/>
          <w:sz w:val="20"/>
        </w:rPr>
        <w:t>-year period.  Any nonvested RSAs are forfeited upon the award recipient’s termination of service with the Company or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nonvested awards during the dates indicated (shown as actual):</w:t>
      </w:r>
    </w:p>
    <w:p>
      <w:pPr>
        <w:pStyle w:val="TextBody"/>
        <w:bidi w:val="0"/>
        <w:spacing w:before="0" w:after="0"/>
        <w:ind w:left="0" w:right="0" w:hanging="0"/>
        <w:jc w:val="left"/>
        <w:rPr>
          <w:caps w:val="false"/>
          <w:smallCaps w:val="false"/>
        </w:rPr>
      </w:pPr>
      <w:r>
        <w:rPr>
          <w:caps w:val="false"/>
          <w:smallCaps w:val="false"/>
        </w:rPr>
        <w:t> </w:t>
      </w:r>
    </w:p>
    <w:tbl>
      <w:tblPr>
        <w:tblW w:w="8059" w:type="dxa"/>
        <w:jc w:val="left"/>
        <w:tblInd w:w="0" w:type="dxa"/>
        <w:tblLayout w:type="fixed"/>
        <w:tblCellMar>
          <w:top w:w="0" w:type="dxa"/>
          <w:left w:w="0" w:type="dxa"/>
          <w:bottom w:w="28" w:type="dxa"/>
          <w:right w:w="0" w:type="dxa"/>
        </w:tblCellMar>
      </w:tblPr>
      <w:tblGrid>
        <w:gridCol w:w="2750"/>
        <w:gridCol w:w="60"/>
        <w:gridCol w:w="60"/>
        <w:gridCol w:w="695"/>
        <w:gridCol w:w="80"/>
        <w:gridCol w:w="60"/>
        <w:gridCol w:w="878"/>
        <w:gridCol w:w="3416"/>
        <w:gridCol w:w="60"/>
      </w:tblGrid>
      <w:tr>
        <w:trPr/>
        <w:tc>
          <w:tcPr>
            <w:tcW w:w="27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Nonvested Shares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29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Weighted-Average Grant-Date Fair Value Per Share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103,063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416"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35.05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37,872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ind w:left="0" w:right="0" w:hanging="0"/>
              <w:jc w:val="left"/>
              <w:rPr/>
            </w:pPr>
            <w:r>
              <w:rPr/>
              <w:t> </w:t>
            </w:r>
          </w:p>
        </w:tc>
        <w:tc>
          <w:tcPr>
            <w:tcW w:w="341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(37,964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ind w:left="0" w:right="0" w:hanging="0"/>
              <w:jc w:val="left"/>
              <w:rPr/>
            </w:pPr>
            <w:r>
              <w:rPr/>
              <w:t> </w:t>
            </w:r>
          </w:p>
        </w:tc>
        <w:tc>
          <w:tcPr>
            <w:tcW w:w="341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September 30, 2025</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102,971</w:t>
            </w:r>
          </w:p>
        </w:tc>
        <w:tc>
          <w:tcPr>
            <w:tcW w:w="80" w:type="dxa"/>
            <w:tcBorders>
              <w:bottom w:val="double" w:sz="6" w:space="0" w:color="000000"/>
            </w:tcBorders>
            <w:shd w:fill="FFFFFF" w:val="cle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416"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37.73</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there was $3.7 million of total unrecognized compensation cost related to nonvested shares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as RSAs. The cost is expected to be recognized over the remaining weighted-average vesting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 </w:t>
      </w:r>
      <w:r>
        <w:rPr>
          <w:rFonts w:ascii="Times New Roman" w:hAnsi="Times New Roman"/>
          <w:b/>
          <w:caps w:val="false"/>
          <w:smallCaps w:val="false"/>
          <w:sz w:val="20"/>
        </w:rPr>
        <w:t>REGULATORY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capital adequacy guidelines of the regulatory framework for prompt corrective action, quantitative measures established by regulation to ensure capital adequacy require the Bank to maintain minimum amounts and ratios (set forth in the table below)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(as defined in the regulations) to total average assets (as defined), and minimum ratios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total capital (as defined) and common equity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(“CET </w:t>
      </w:r>
      <w:r>
        <w:rPr>
          <w:rStyle w:val="Emphasis"/>
          <w:rFonts w:ascii="Times New Roman" w:hAnsi="Times New Roman"/>
          <w:caps w:val="false"/>
          <w:smallCaps w:val="false"/>
          <w:sz w:val="20"/>
        </w:rPr>
        <w:t>1”</w:t>
      </w:r>
      <w:r>
        <w:rPr>
          <w:rFonts w:ascii="Times New Roman" w:hAnsi="Times New Roman"/>
          <w:caps w:val="false"/>
          <w:smallCaps w:val="false"/>
          <w:sz w:val="20"/>
        </w:rPr>
        <w:t>) capital to risk-weighted assets (as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Bank must maintain minimum total risk-based,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risk-based,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leverage, and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ratios as set forth in the table below to be categorized as “well capitalized”.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Bank was categorized as “well capitalized” under applicable regulatory requirements.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conditions or events since that notification that management believes have changed the Bank’s category. Management believes,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that the Bank met all capital adequacy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compare the Bank’s actual capital amounts and ratios to their minimum regulatory capital requirements and well capitalized regulatory capital at the dates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8"/>
        <w:gridCol w:w="60"/>
        <w:gridCol w:w="125"/>
        <w:gridCol w:w="695"/>
        <w:gridCol w:w="60"/>
        <w:gridCol w:w="60"/>
        <w:gridCol w:w="60"/>
        <w:gridCol w:w="485"/>
        <w:gridCol w:w="185"/>
        <w:gridCol w:w="60"/>
        <w:gridCol w:w="136"/>
        <w:gridCol w:w="761"/>
        <w:gridCol w:w="65"/>
        <w:gridCol w:w="65"/>
        <w:gridCol w:w="70"/>
        <w:gridCol w:w="425"/>
        <w:gridCol w:w="185"/>
        <w:gridCol w:w="60"/>
        <w:gridCol w:w="125"/>
        <w:gridCol w:w="695"/>
        <w:gridCol w:w="60"/>
        <w:gridCol w:w="60"/>
        <w:gridCol w:w="60"/>
        <w:gridCol w:w="485"/>
        <w:gridCol w:w="185"/>
        <w:gridCol w:w="60"/>
        <w:gridCol w:w="143"/>
        <w:gridCol w:w="801"/>
        <w:gridCol w:w="69"/>
        <w:gridCol w:w="69"/>
        <w:gridCol w:w="69"/>
        <w:gridCol w:w="559"/>
        <w:gridCol w:w="190"/>
      </w:tblGrid>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To be Well Capitalized</w:t>
            </w:r>
          </w:p>
        </w:tc>
        <w:tc>
          <w:tcPr>
            <w:tcW w:w="190" w:type="dxa"/>
            <w:tcBorders/>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rStyle w:val="Emphasis"/>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center"/>
              <w:rPr/>
            </w:pPr>
            <w:r>
              <w:rPr>
                <w:rStyle w:val="Emphasis"/>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rStyle w:val="Emphasis"/>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For Capital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Under Prompt</w:t>
            </w:r>
          </w:p>
        </w:tc>
        <w:tc>
          <w:tcPr>
            <w:tcW w:w="190" w:type="dxa"/>
            <w:tcBorders/>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rStyle w:val="Emphasis"/>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2"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For Capital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Adequacy With</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Corrective</w:t>
            </w:r>
          </w:p>
        </w:tc>
        <w:tc>
          <w:tcPr>
            <w:tcW w:w="190" w:type="dxa"/>
            <w:tcBorders/>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Actual</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Adequacy Purposes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Capital Buffer</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Action Provisions</w:t>
            </w:r>
          </w:p>
        </w:tc>
        <w:tc>
          <w:tcPr>
            <w:tcW w:w="1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Bank Only</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Ratio</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Amount</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Ratio</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Ratio</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Amount</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62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Ratio</w:t>
            </w:r>
          </w:p>
        </w:tc>
        <w:tc>
          <w:tcPr>
            <w:tcW w:w="1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1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At September 30,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risk-based capital (to risk-weighted assets)</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sz w:val="20"/>
              </w:rPr>
            </w:pPr>
            <w:r>
              <w:rPr>
                <w:sz w:val="20"/>
              </w:rPr>
              <w:t>382,049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sz w:val="20"/>
              </w:rPr>
            </w:pPr>
            <w:r>
              <w:rPr>
                <w:sz w:val="20"/>
              </w:rPr>
              <w:t>13.81</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36" w:type="dxa"/>
            <w:tcBorders/>
            <w:vAlign w:val="center"/>
          </w:tcPr>
          <w:p>
            <w:pPr>
              <w:pStyle w:val="TableContents"/>
              <w:bidi w:val="0"/>
              <w:spacing w:before="0" w:after="283"/>
              <w:ind w:left="0" w:right="0" w:hanging="0"/>
              <w:jc w:val="left"/>
              <w:rPr>
                <w:sz w:val="20"/>
              </w:rPr>
            </w:pPr>
            <w:r>
              <w:rPr>
                <w:sz w:val="20"/>
              </w:rPr>
              <w:t>$</w:t>
            </w:r>
          </w:p>
        </w:tc>
        <w:tc>
          <w:tcPr>
            <w:tcW w:w="761" w:type="dxa"/>
            <w:tcBorders/>
            <w:vAlign w:val="center"/>
          </w:tcPr>
          <w:p>
            <w:pPr>
              <w:pStyle w:val="TableContents"/>
              <w:bidi w:val="0"/>
              <w:spacing w:before="0" w:after="283"/>
              <w:ind w:left="0" w:right="0" w:hanging="0"/>
              <w:jc w:val="right"/>
              <w:rPr>
                <w:sz w:val="20"/>
              </w:rPr>
            </w:pPr>
            <w:r>
              <w:rPr>
                <w:sz w:val="20"/>
              </w:rPr>
              <w:t>221,372</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425" w:type="dxa"/>
            <w:tcBorders/>
            <w:vAlign w:val="center"/>
          </w:tcPr>
          <w:p>
            <w:pPr>
              <w:pStyle w:val="TableContents"/>
              <w:bidi w:val="0"/>
              <w:spacing w:before="0" w:after="283"/>
              <w:ind w:left="0" w:right="0" w:hanging="0"/>
              <w:jc w:val="right"/>
              <w:rPr>
                <w:sz w:val="20"/>
              </w:rPr>
            </w:pPr>
            <w:r>
              <w:rPr>
                <w:sz w:val="20"/>
              </w:rPr>
              <w:t>8.00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sz w:val="20"/>
              </w:rPr>
            </w:pPr>
            <w:r>
              <w:rPr>
                <w:sz w:val="20"/>
              </w:rPr>
              <w:t>290,551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sz w:val="20"/>
              </w:rPr>
            </w:pPr>
            <w:r>
              <w:rPr>
                <w:sz w:val="20"/>
              </w:rPr>
              <w:t>10.50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43" w:type="dxa"/>
            <w:tcBorders/>
            <w:vAlign w:val="center"/>
          </w:tcPr>
          <w:p>
            <w:pPr>
              <w:pStyle w:val="TableContents"/>
              <w:bidi w:val="0"/>
              <w:spacing w:before="0" w:after="283"/>
              <w:ind w:left="0" w:right="0" w:hanging="0"/>
              <w:jc w:val="left"/>
              <w:rPr>
                <w:sz w:val="20"/>
              </w:rPr>
            </w:pPr>
            <w:r>
              <w:rPr>
                <w:sz w:val="20"/>
              </w:rPr>
              <w:t>$</w:t>
            </w:r>
          </w:p>
        </w:tc>
        <w:tc>
          <w:tcPr>
            <w:tcW w:w="801" w:type="dxa"/>
            <w:tcBorders/>
            <w:vAlign w:val="center"/>
          </w:tcPr>
          <w:p>
            <w:pPr>
              <w:pStyle w:val="TableContents"/>
              <w:bidi w:val="0"/>
              <w:spacing w:before="0" w:after="283"/>
              <w:ind w:left="0" w:right="0" w:hanging="0"/>
              <w:jc w:val="right"/>
              <w:rPr>
                <w:sz w:val="20"/>
              </w:rPr>
            </w:pPr>
            <w:r>
              <w:rPr>
                <w:sz w:val="20"/>
              </w:rPr>
              <w:t>276,715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59" w:type="dxa"/>
            <w:tcBorders/>
            <w:vAlign w:val="center"/>
          </w:tcPr>
          <w:p>
            <w:pPr>
              <w:pStyle w:val="TableContents"/>
              <w:bidi w:val="0"/>
              <w:spacing w:before="0" w:after="283"/>
              <w:ind w:left="0" w:right="0" w:hanging="0"/>
              <w:jc w:val="right"/>
              <w:rPr>
                <w:sz w:val="20"/>
              </w:rPr>
            </w:pPr>
            <w:r>
              <w:rPr>
                <w:sz w:val="20"/>
              </w:rPr>
              <w:t>10.00</w:t>
            </w:r>
          </w:p>
        </w:tc>
        <w:tc>
          <w:tcPr>
            <w:tcW w:w="190" w:type="dxa"/>
            <w:tcBorders/>
            <w:vAlign w:val="center"/>
          </w:tcPr>
          <w:p>
            <w:pPr>
              <w:pStyle w:val="TableContents"/>
              <w:bidi w:val="0"/>
              <w:spacing w:before="0" w:after="283"/>
              <w:jc w:val="left"/>
              <w:rPr>
                <w:sz w:val="20"/>
              </w:rPr>
            </w:pPr>
            <w:r>
              <w:rPr>
                <w:sz w:val="20"/>
              </w:rPr>
              <w:t>%</w:t>
            </w:r>
          </w:p>
        </w:tc>
      </w:tr>
      <w:tr>
        <w:trPr/>
        <w:tc>
          <w:tcPr>
            <w:tcW w:w="3018"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Tier 1 risk-based capital (to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349,690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12.64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sz w:val="20"/>
              </w:rPr>
            </w:pPr>
            <w:r>
              <w:rPr>
                <w:sz w:val="20"/>
              </w:rPr>
              <w:t>$</w:t>
            </w:r>
          </w:p>
        </w:tc>
        <w:tc>
          <w:tcPr>
            <w:tcW w:w="761" w:type="dxa"/>
            <w:tcBorders/>
            <w:shd w:fill="CCEEFF" w:val="clear"/>
            <w:vAlign w:val="center"/>
          </w:tcPr>
          <w:p>
            <w:pPr>
              <w:pStyle w:val="TableContents"/>
              <w:bidi w:val="0"/>
              <w:spacing w:before="0" w:after="283"/>
              <w:ind w:left="0" w:right="0" w:hanging="0"/>
              <w:jc w:val="right"/>
              <w:rPr>
                <w:sz w:val="20"/>
              </w:rPr>
            </w:pPr>
            <w:r>
              <w:rPr>
                <w:sz w:val="20"/>
              </w:rPr>
              <w:t>166,029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sz w:val="20"/>
              </w:rPr>
            </w:pPr>
            <w:r>
              <w:rPr>
                <w:sz w:val="20"/>
              </w:rPr>
              <w:t>6.00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235,208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8.50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sz w:val="20"/>
              </w:rPr>
            </w:pPr>
            <w:r>
              <w:rPr>
                <w:sz w:val="20"/>
              </w:rPr>
              <w:t>$</w:t>
            </w:r>
          </w:p>
        </w:tc>
        <w:tc>
          <w:tcPr>
            <w:tcW w:w="801" w:type="dxa"/>
            <w:tcBorders/>
            <w:shd w:fill="CCEEFF" w:val="clear"/>
            <w:vAlign w:val="center"/>
          </w:tcPr>
          <w:p>
            <w:pPr>
              <w:pStyle w:val="TableContents"/>
              <w:bidi w:val="0"/>
              <w:spacing w:before="0" w:after="283"/>
              <w:ind w:left="0" w:right="0" w:hanging="0"/>
              <w:jc w:val="right"/>
              <w:rPr>
                <w:sz w:val="20"/>
              </w:rPr>
            </w:pPr>
            <w:r>
              <w:rPr>
                <w:sz w:val="20"/>
              </w:rPr>
              <w:t>221,372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sz w:val="20"/>
              </w:rPr>
            </w:pPr>
            <w:r>
              <w:rPr>
                <w:sz w:val="20"/>
              </w:rPr>
              <w:t>8.00</w:t>
            </w:r>
          </w:p>
        </w:tc>
        <w:tc>
          <w:tcPr>
            <w:tcW w:w="190" w:type="dxa"/>
            <w:tcBorders/>
            <w:shd w:fill="CCEEFF" w:val="clear"/>
            <w:vAlign w:val="center"/>
          </w:tcPr>
          <w:p>
            <w:pPr>
              <w:pStyle w:val="TableContents"/>
              <w:bidi w:val="0"/>
              <w:spacing w:before="0" w:after="283"/>
              <w:jc w:val="left"/>
              <w:rPr>
                <w:sz w:val="20"/>
              </w:rPr>
            </w:pPr>
            <w:r>
              <w:rPr>
                <w:sz w:val="20"/>
              </w:rPr>
              <w:t>%</w:t>
            </w:r>
          </w:p>
        </w:tc>
      </w:tr>
      <w:tr>
        <w:trPr/>
        <w:tc>
          <w:tcPr>
            <w:tcW w:w="3018" w:type="dxa"/>
            <w:tcBorders/>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Tier 1 leverage capital (to average assets)</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sz w:val="20"/>
              </w:rPr>
            </w:pPr>
            <w:r>
              <w:rPr>
                <w:sz w:val="20"/>
              </w:rPr>
              <w:t>349,690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sz w:val="20"/>
              </w:rPr>
            </w:pPr>
            <w:r>
              <w:rPr>
                <w:sz w:val="20"/>
              </w:rPr>
              <w:t>10.96</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36" w:type="dxa"/>
            <w:tcBorders/>
            <w:vAlign w:val="center"/>
          </w:tcPr>
          <w:p>
            <w:pPr>
              <w:pStyle w:val="TableContents"/>
              <w:bidi w:val="0"/>
              <w:spacing w:before="0" w:after="283"/>
              <w:ind w:left="0" w:right="0" w:hanging="0"/>
              <w:jc w:val="left"/>
              <w:rPr>
                <w:sz w:val="20"/>
              </w:rPr>
            </w:pPr>
            <w:r>
              <w:rPr>
                <w:sz w:val="20"/>
              </w:rPr>
              <w:t>$</w:t>
            </w:r>
          </w:p>
        </w:tc>
        <w:tc>
          <w:tcPr>
            <w:tcW w:w="761" w:type="dxa"/>
            <w:tcBorders/>
            <w:vAlign w:val="center"/>
          </w:tcPr>
          <w:p>
            <w:pPr>
              <w:pStyle w:val="TableContents"/>
              <w:bidi w:val="0"/>
              <w:spacing w:before="0" w:after="283"/>
              <w:ind w:left="0" w:right="0" w:hanging="0"/>
              <w:jc w:val="right"/>
              <w:rPr>
                <w:sz w:val="20"/>
              </w:rPr>
            </w:pPr>
            <w:r>
              <w:rPr>
                <w:sz w:val="20"/>
              </w:rPr>
              <w:t>127,647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425" w:type="dxa"/>
            <w:tcBorders/>
            <w:vAlign w:val="center"/>
          </w:tcPr>
          <w:p>
            <w:pPr>
              <w:pStyle w:val="TableContents"/>
              <w:bidi w:val="0"/>
              <w:spacing w:before="0" w:after="283"/>
              <w:ind w:left="0" w:right="0" w:hanging="0"/>
              <w:jc w:val="right"/>
              <w:rPr>
                <w:sz w:val="20"/>
              </w:rPr>
            </w:pPr>
            <w:r>
              <w:rPr>
                <w:sz w:val="20"/>
              </w:rPr>
              <w:t>4.00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pPr>
            <w:r>
              <w:rPr>
                <w:rStyle w:val="Emphasis"/>
                <w:sz w:val="20"/>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pPr>
            <w:r>
              <w:rPr>
                <w:rStyle w:val="Emphasis"/>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 w:type="dxa"/>
            <w:tcBorders/>
            <w:vAlign w:val="center"/>
          </w:tcPr>
          <w:p>
            <w:pPr>
              <w:pStyle w:val="TableContents"/>
              <w:bidi w:val="0"/>
              <w:spacing w:before="0" w:after="283"/>
              <w:ind w:left="0" w:right="0" w:hanging="0"/>
              <w:jc w:val="left"/>
              <w:rPr>
                <w:sz w:val="20"/>
              </w:rPr>
            </w:pPr>
            <w:r>
              <w:rPr>
                <w:sz w:val="20"/>
              </w:rPr>
              <w:t>$</w:t>
            </w:r>
          </w:p>
        </w:tc>
        <w:tc>
          <w:tcPr>
            <w:tcW w:w="801" w:type="dxa"/>
            <w:tcBorders/>
            <w:vAlign w:val="center"/>
          </w:tcPr>
          <w:p>
            <w:pPr>
              <w:pStyle w:val="TableContents"/>
              <w:bidi w:val="0"/>
              <w:spacing w:before="0" w:after="283"/>
              <w:ind w:left="0" w:right="0" w:hanging="0"/>
              <w:jc w:val="right"/>
              <w:rPr>
                <w:sz w:val="20"/>
              </w:rPr>
            </w:pPr>
            <w:r>
              <w:rPr>
                <w:sz w:val="20"/>
              </w:rPr>
              <w:t>159,558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59" w:type="dxa"/>
            <w:tcBorders/>
            <w:vAlign w:val="center"/>
          </w:tcPr>
          <w:p>
            <w:pPr>
              <w:pStyle w:val="TableContents"/>
              <w:bidi w:val="0"/>
              <w:spacing w:before="0" w:after="283"/>
              <w:ind w:left="0" w:right="0" w:hanging="0"/>
              <w:jc w:val="right"/>
              <w:rPr>
                <w:sz w:val="20"/>
              </w:rPr>
            </w:pPr>
            <w:r>
              <w:rPr>
                <w:sz w:val="20"/>
              </w:rPr>
              <w:t>5.00</w:t>
            </w:r>
          </w:p>
        </w:tc>
        <w:tc>
          <w:tcPr>
            <w:tcW w:w="190" w:type="dxa"/>
            <w:tcBorders/>
            <w:vAlign w:val="center"/>
          </w:tcPr>
          <w:p>
            <w:pPr>
              <w:pStyle w:val="TableContents"/>
              <w:bidi w:val="0"/>
              <w:spacing w:before="0" w:after="283"/>
              <w:jc w:val="left"/>
              <w:rPr>
                <w:sz w:val="20"/>
              </w:rPr>
            </w:pPr>
            <w:r>
              <w:rPr>
                <w:sz w:val="20"/>
              </w:rPr>
              <w:t>%</w:t>
            </w:r>
          </w:p>
        </w:tc>
      </w:tr>
      <w:tr>
        <w:trPr/>
        <w:tc>
          <w:tcPr>
            <w:tcW w:w="3018"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CET 1 capital (to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349,690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12.64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sz w:val="20"/>
              </w:rPr>
            </w:pPr>
            <w:r>
              <w:rPr>
                <w:sz w:val="20"/>
              </w:rPr>
              <w:t>$</w:t>
            </w:r>
          </w:p>
        </w:tc>
        <w:tc>
          <w:tcPr>
            <w:tcW w:w="761" w:type="dxa"/>
            <w:tcBorders/>
            <w:shd w:fill="CCEEFF" w:val="clear"/>
            <w:vAlign w:val="center"/>
          </w:tcPr>
          <w:p>
            <w:pPr>
              <w:pStyle w:val="TableContents"/>
              <w:bidi w:val="0"/>
              <w:spacing w:before="0" w:after="283"/>
              <w:ind w:left="0" w:right="0" w:hanging="0"/>
              <w:jc w:val="right"/>
              <w:rPr>
                <w:sz w:val="20"/>
              </w:rPr>
            </w:pPr>
            <w:r>
              <w:rPr>
                <w:sz w:val="20"/>
              </w:rPr>
              <w:t>124,522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sz w:val="20"/>
              </w:rPr>
            </w:pPr>
            <w:r>
              <w:rPr>
                <w:sz w:val="20"/>
              </w:rPr>
              <w:t>4.50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193,701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7.00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sz w:val="20"/>
              </w:rPr>
            </w:pPr>
            <w:r>
              <w:rPr>
                <w:sz w:val="20"/>
              </w:rPr>
              <w:t>$</w:t>
            </w:r>
          </w:p>
        </w:tc>
        <w:tc>
          <w:tcPr>
            <w:tcW w:w="801" w:type="dxa"/>
            <w:tcBorders/>
            <w:shd w:fill="CCEEFF" w:val="clear"/>
            <w:vAlign w:val="center"/>
          </w:tcPr>
          <w:p>
            <w:pPr>
              <w:pStyle w:val="TableContents"/>
              <w:bidi w:val="0"/>
              <w:spacing w:before="0" w:after="283"/>
              <w:ind w:left="0" w:right="0" w:hanging="0"/>
              <w:jc w:val="right"/>
              <w:rPr>
                <w:sz w:val="20"/>
              </w:rPr>
            </w:pPr>
            <w:r>
              <w:rPr>
                <w:sz w:val="20"/>
              </w:rPr>
              <w:t>179,865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sz w:val="20"/>
              </w:rPr>
            </w:pPr>
            <w:r>
              <w:rPr>
                <w:sz w:val="20"/>
              </w:rPr>
              <w:t>6.50</w:t>
            </w:r>
          </w:p>
        </w:tc>
        <w:tc>
          <w:tcPr>
            <w:tcW w:w="190" w:type="dxa"/>
            <w:tcBorders/>
            <w:shd w:fill="CCEEFF" w:val="clear"/>
            <w:vAlign w:val="center"/>
          </w:tcPr>
          <w:p>
            <w:pPr>
              <w:pStyle w:val="TableContents"/>
              <w:bidi w:val="0"/>
              <w:spacing w:before="0" w:after="283"/>
              <w:jc w:val="left"/>
              <w:rPr>
                <w:sz w:val="20"/>
              </w:rPr>
            </w:pPr>
            <w:r>
              <w:rPr>
                <w:sz w:val="20"/>
              </w:rPr>
              <w:t>%</w:t>
            </w:r>
          </w:p>
        </w:tc>
      </w:tr>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r>
      <w:tr>
        <w:trPr/>
        <w:tc>
          <w:tcPr>
            <w:tcW w:w="301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At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risk-based capital (to risk-weighted assets)</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sz w:val="20"/>
              </w:rPr>
            </w:pPr>
            <w:r>
              <w:rPr>
                <w:sz w:val="20"/>
              </w:rPr>
              <w:t>368,953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sz w:val="20"/>
              </w:rPr>
            </w:pPr>
            <w:r>
              <w:rPr>
                <w:sz w:val="20"/>
              </w:rPr>
              <w:t>14.18</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36" w:type="dxa"/>
            <w:tcBorders/>
            <w:vAlign w:val="center"/>
          </w:tcPr>
          <w:p>
            <w:pPr>
              <w:pStyle w:val="TableContents"/>
              <w:bidi w:val="0"/>
              <w:spacing w:before="0" w:after="283"/>
              <w:ind w:left="0" w:right="0" w:hanging="0"/>
              <w:jc w:val="left"/>
              <w:rPr>
                <w:sz w:val="20"/>
              </w:rPr>
            </w:pPr>
            <w:r>
              <w:rPr>
                <w:sz w:val="20"/>
              </w:rPr>
              <w:t>$</w:t>
            </w:r>
          </w:p>
        </w:tc>
        <w:tc>
          <w:tcPr>
            <w:tcW w:w="761" w:type="dxa"/>
            <w:tcBorders/>
            <w:vAlign w:val="center"/>
          </w:tcPr>
          <w:p>
            <w:pPr>
              <w:pStyle w:val="TableContents"/>
              <w:bidi w:val="0"/>
              <w:spacing w:before="0" w:after="283"/>
              <w:ind w:left="0" w:right="0" w:hanging="0"/>
              <w:jc w:val="right"/>
              <w:rPr>
                <w:sz w:val="20"/>
              </w:rPr>
            </w:pPr>
            <w:r>
              <w:rPr>
                <w:sz w:val="20"/>
              </w:rPr>
              <w:t>208,174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425" w:type="dxa"/>
            <w:tcBorders/>
            <w:vAlign w:val="center"/>
          </w:tcPr>
          <w:p>
            <w:pPr>
              <w:pStyle w:val="TableContents"/>
              <w:bidi w:val="0"/>
              <w:spacing w:before="0" w:after="283"/>
              <w:ind w:left="0" w:right="0" w:hanging="0"/>
              <w:jc w:val="right"/>
              <w:rPr>
                <w:sz w:val="20"/>
              </w:rPr>
            </w:pPr>
            <w:r>
              <w:rPr>
                <w:sz w:val="20"/>
              </w:rPr>
              <w:t>8.00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sz w:val="20"/>
              </w:rPr>
            </w:pPr>
            <w:r>
              <w:rPr>
                <w:sz w:val="20"/>
              </w:rPr>
              <w:t>273,228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sz w:val="20"/>
              </w:rPr>
            </w:pPr>
            <w:r>
              <w:rPr>
                <w:sz w:val="20"/>
              </w:rPr>
              <w:t>10.50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43" w:type="dxa"/>
            <w:tcBorders/>
            <w:vAlign w:val="center"/>
          </w:tcPr>
          <w:p>
            <w:pPr>
              <w:pStyle w:val="TableContents"/>
              <w:bidi w:val="0"/>
              <w:spacing w:before="0" w:after="283"/>
              <w:ind w:left="0" w:right="0" w:hanging="0"/>
              <w:jc w:val="left"/>
              <w:rPr>
                <w:sz w:val="20"/>
              </w:rPr>
            </w:pPr>
            <w:r>
              <w:rPr>
                <w:sz w:val="20"/>
              </w:rPr>
              <w:t>$</w:t>
            </w:r>
          </w:p>
        </w:tc>
        <w:tc>
          <w:tcPr>
            <w:tcW w:w="801" w:type="dxa"/>
            <w:tcBorders/>
            <w:vAlign w:val="center"/>
          </w:tcPr>
          <w:p>
            <w:pPr>
              <w:pStyle w:val="TableContents"/>
              <w:bidi w:val="0"/>
              <w:spacing w:before="0" w:after="283"/>
              <w:ind w:left="0" w:right="0" w:hanging="0"/>
              <w:jc w:val="right"/>
              <w:rPr>
                <w:sz w:val="20"/>
              </w:rPr>
            </w:pPr>
            <w:r>
              <w:rPr>
                <w:sz w:val="20"/>
              </w:rPr>
              <w:t>260,218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59" w:type="dxa"/>
            <w:tcBorders/>
            <w:vAlign w:val="center"/>
          </w:tcPr>
          <w:p>
            <w:pPr>
              <w:pStyle w:val="TableContents"/>
              <w:bidi w:val="0"/>
              <w:spacing w:before="0" w:after="283"/>
              <w:ind w:left="0" w:right="0" w:hanging="0"/>
              <w:jc w:val="right"/>
              <w:rPr>
                <w:sz w:val="20"/>
              </w:rPr>
            </w:pPr>
            <w:r>
              <w:rPr>
                <w:sz w:val="20"/>
              </w:rPr>
              <w:t>10.00</w:t>
            </w:r>
          </w:p>
        </w:tc>
        <w:tc>
          <w:tcPr>
            <w:tcW w:w="190" w:type="dxa"/>
            <w:tcBorders/>
            <w:vAlign w:val="center"/>
          </w:tcPr>
          <w:p>
            <w:pPr>
              <w:pStyle w:val="TableContents"/>
              <w:bidi w:val="0"/>
              <w:spacing w:before="0" w:after="283"/>
              <w:jc w:val="left"/>
              <w:rPr>
                <w:sz w:val="20"/>
              </w:rPr>
            </w:pPr>
            <w:r>
              <w:rPr>
                <w:sz w:val="20"/>
              </w:rPr>
              <w:t>%</w:t>
            </w:r>
          </w:p>
        </w:tc>
      </w:tr>
      <w:tr>
        <w:trPr/>
        <w:tc>
          <w:tcPr>
            <w:tcW w:w="3018"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Tier 1 risk-based capital (to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336,416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12.93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sz w:val="20"/>
              </w:rPr>
            </w:pPr>
            <w:r>
              <w:rPr>
                <w:sz w:val="20"/>
              </w:rPr>
              <w:t>$</w:t>
            </w:r>
          </w:p>
        </w:tc>
        <w:tc>
          <w:tcPr>
            <w:tcW w:w="761" w:type="dxa"/>
            <w:tcBorders/>
            <w:shd w:fill="CCEEFF" w:val="clear"/>
            <w:vAlign w:val="center"/>
          </w:tcPr>
          <w:p>
            <w:pPr>
              <w:pStyle w:val="TableContents"/>
              <w:bidi w:val="0"/>
              <w:spacing w:before="0" w:after="283"/>
              <w:ind w:left="0" w:right="0" w:hanging="0"/>
              <w:jc w:val="right"/>
              <w:rPr>
                <w:sz w:val="20"/>
              </w:rPr>
            </w:pPr>
            <w:r>
              <w:rPr>
                <w:sz w:val="20"/>
              </w:rPr>
              <w:t>156,131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sz w:val="20"/>
              </w:rPr>
            </w:pPr>
            <w:r>
              <w:rPr>
                <w:sz w:val="20"/>
              </w:rPr>
              <w:t>6.00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221,185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8.50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sz w:val="20"/>
              </w:rPr>
            </w:pPr>
            <w:r>
              <w:rPr>
                <w:sz w:val="20"/>
              </w:rPr>
              <w:t>$</w:t>
            </w:r>
          </w:p>
        </w:tc>
        <w:tc>
          <w:tcPr>
            <w:tcW w:w="801" w:type="dxa"/>
            <w:tcBorders/>
            <w:shd w:fill="CCEEFF" w:val="clear"/>
            <w:vAlign w:val="center"/>
          </w:tcPr>
          <w:p>
            <w:pPr>
              <w:pStyle w:val="TableContents"/>
              <w:bidi w:val="0"/>
              <w:spacing w:before="0" w:after="283"/>
              <w:ind w:left="0" w:right="0" w:hanging="0"/>
              <w:jc w:val="right"/>
              <w:rPr>
                <w:sz w:val="20"/>
              </w:rPr>
            </w:pPr>
            <w:r>
              <w:rPr>
                <w:sz w:val="20"/>
              </w:rPr>
              <w:t>208,174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sz w:val="20"/>
              </w:rPr>
            </w:pPr>
            <w:r>
              <w:rPr>
                <w:sz w:val="20"/>
              </w:rPr>
              <w:t>8.00</w:t>
            </w:r>
          </w:p>
        </w:tc>
        <w:tc>
          <w:tcPr>
            <w:tcW w:w="190" w:type="dxa"/>
            <w:tcBorders/>
            <w:shd w:fill="CCEEFF" w:val="clear"/>
            <w:vAlign w:val="center"/>
          </w:tcPr>
          <w:p>
            <w:pPr>
              <w:pStyle w:val="TableContents"/>
              <w:bidi w:val="0"/>
              <w:spacing w:before="0" w:after="283"/>
              <w:jc w:val="left"/>
              <w:rPr>
                <w:sz w:val="20"/>
              </w:rPr>
            </w:pPr>
            <w:r>
              <w:rPr>
                <w:sz w:val="20"/>
              </w:rPr>
              <w:t>%</w:t>
            </w:r>
          </w:p>
        </w:tc>
      </w:tr>
      <w:tr>
        <w:trPr/>
        <w:tc>
          <w:tcPr>
            <w:tcW w:w="3018" w:type="dxa"/>
            <w:tcBorders/>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Tier 1 leverage capital (to average assets)</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sz w:val="20"/>
              </w:rPr>
            </w:pPr>
            <w:r>
              <w:rPr>
                <w:sz w:val="20"/>
              </w:rPr>
              <w:t>336,416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sz w:val="20"/>
              </w:rPr>
            </w:pPr>
            <w:r>
              <w:rPr>
                <w:sz w:val="20"/>
              </w:rPr>
              <w:t>11.24</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36" w:type="dxa"/>
            <w:tcBorders/>
            <w:vAlign w:val="center"/>
          </w:tcPr>
          <w:p>
            <w:pPr>
              <w:pStyle w:val="TableContents"/>
              <w:bidi w:val="0"/>
              <w:spacing w:before="0" w:after="283"/>
              <w:ind w:left="0" w:right="0" w:hanging="0"/>
              <w:jc w:val="left"/>
              <w:rPr>
                <w:sz w:val="20"/>
              </w:rPr>
            </w:pPr>
            <w:r>
              <w:rPr>
                <w:sz w:val="20"/>
              </w:rPr>
              <w:t>$</w:t>
            </w:r>
          </w:p>
        </w:tc>
        <w:tc>
          <w:tcPr>
            <w:tcW w:w="761" w:type="dxa"/>
            <w:tcBorders/>
            <w:vAlign w:val="center"/>
          </w:tcPr>
          <w:p>
            <w:pPr>
              <w:pStyle w:val="TableContents"/>
              <w:bidi w:val="0"/>
              <w:spacing w:before="0" w:after="283"/>
              <w:ind w:left="0" w:right="0" w:hanging="0"/>
              <w:jc w:val="right"/>
              <w:rPr>
                <w:sz w:val="20"/>
              </w:rPr>
            </w:pPr>
            <w:r>
              <w:rPr>
                <w:sz w:val="20"/>
              </w:rPr>
              <w:t>119,741</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425" w:type="dxa"/>
            <w:tcBorders/>
            <w:vAlign w:val="center"/>
          </w:tcPr>
          <w:p>
            <w:pPr>
              <w:pStyle w:val="TableContents"/>
              <w:bidi w:val="0"/>
              <w:spacing w:before="0" w:after="283"/>
              <w:ind w:left="0" w:right="0" w:hanging="0"/>
              <w:jc w:val="right"/>
              <w:rPr>
                <w:sz w:val="20"/>
              </w:rPr>
            </w:pPr>
            <w:r>
              <w:rPr>
                <w:sz w:val="20"/>
              </w:rPr>
              <w:t>4.00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sz w:val="20"/>
              </w:rPr>
            </w:pPr>
            <w:r>
              <w:rPr>
                <w:sz w:val="20"/>
              </w:rPr>
              <w:t>$</w:t>
            </w:r>
          </w:p>
        </w:tc>
        <w:tc>
          <w:tcPr>
            <w:tcW w:w="695" w:type="dxa"/>
            <w:tcBorders/>
            <w:vAlign w:val="center"/>
          </w:tcPr>
          <w:p>
            <w:pPr>
              <w:pStyle w:val="TableContents"/>
              <w:bidi w:val="0"/>
              <w:spacing w:before="0" w:after="283"/>
              <w:ind w:left="0" w:right="0" w:hanging="0"/>
              <w:jc w:val="right"/>
              <w:rPr/>
            </w:pPr>
            <w:r>
              <w:rPr>
                <w:rStyle w:val="Emphasis"/>
                <w:sz w:val="20"/>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pPr>
            <w:r>
              <w:rPr>
                <w:rStyle w:val="Emphasis"/>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 w:type="dxa"/>
            <w:tcBorders/>
            <w:vAlign w:val="center"/>
          </w:tcPr>
          <w:p>
            <w:pPr>
              <w:pStyle w:val="TableContents"/>
              <w:bidi w:val="0"/>
              <w:spacing w:before="0" w:after="283"/>
              <w:ind w:left="0" w:right="0" w:hanging="0"/>
              <w:jc w:val="left"/>
              <w:rPr>
                <w:sz w:val="20"/>
              </w:rPr>
            </w:pPr>
            <w:r>
              <w:rPr>
                <w:sz w:val="20"/>
              </w:rPr>
              <w:t>$</w:t>
            </w:r>
          </w:p>
        </w:tc>
        <w:tc>
          <w:tcPr>
            <w:tcW w:w="801" w:type="dxa"/>
            <w:tcBorders/>
            <w:vAlign w:val="center"/>
          </w:tcPr>
          <w:p>
            <w:pPr>
              <w:pStyle w:val="TableContents"/>
              <w:bidi w:val="0"/>
              <w:spacing w:before="0" w:after="283"/>
              <w:ind w:left="0" w:right="0" w:hanging="0"/>
              <w:jc w:val="right"/>
              <w:rPr>
                <w:sz w:val="20"/>
              </w:rPr>
            </w:pPr>
            <w:r>
              <w:rPr>
                <w:sz w:val="20"/>
              </w:rPr>
              <w:t>149,676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59" w:type="dxa"/>
            <w:tcBorders/>
            <w:vAlign w:val="center"/>
          </w:tcPr>
          <w:p>
            <w:pPr>
              <w:pStyle w:val="TableContents"/>
              <w:bidi w:val="0"/>
              <w:spacing w:before="0" w:after="283"/>
              <w:ind w:left="0" w:right="0" w:hanging="0"/>
              <w:jc w:val="right"/>
              <w:rPr>
                <w:sz w:val="20"/>
              </w:rPr>
            </w:pPr>
            <w:r>
              <w:rPr>
                <w:sz w:val="20"/>
              </w:rPr>
              <w:t>5.00</w:t>
            </w:r>
          </w:p>
        </w:tc>
        <w:tc>
          <w:tcPr>
            <w:tcW w:w="190" w:type="dxa"/>
            <w:tcBorders/>
            <w:vAlign w:val="center"/>
          </w:tcPr>
          <w:p>
            <w:pPr>
              <w:pStyle w:val="TableContents"/>
              <w:bidi w:val="0"/>
              <w:spacing w:before="0" w:after="283"/>
              <w:jc w:val="left"/>
              <w:rPr>
                <w:sz w:val="20"/>
              </w:rPr>
            </w:pPr>
            <w:r>
              <w:rPr>
                <w:sz w:val="20"/>
              </w:rPr>
              <w:t>%</w:t>
            </w:r>
          </w:p>
        </w:tc>
      </w:tr>
      <w:tr>
        <w:trPr/>
        <w:tc>
          <w:tcPr>
            <w:tcW w:w="3018"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CET 1 capital (to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336,416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12.93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sz w:val="20"/>
              </w:rPr>
            </w:pPr>
            <w:r>
              <w:rPr>
                <w:sz w:val="20"/>
              </w:rPr>
              <w:t>$</w:t>
            </w:r>
          </w:p>
        </w:tc>
        <w:tc>
          <w:tcPr>
            <w:tcW w:w="761" w:type="dxa"/>
            <w:tcBorders/>
            <w:shd w:fill="CCEEFF" w:val="clear"/>
            <w:vAlign w:val="center"/>
          </w:tcPr>
          <w:p>
            <w:pPr>
              <w:pStyle w:val="TableContents"/>
              <w:bidi w:val="0"/>
              <w:spacing w:before="0" w:after="283"/>
              <w:ind w:left="0" w:right="0" w:hanging="0"/>
              <w:jc w:val="right"/>
              <w:rPr>
                <w:sz w:val="20"/>
              </w:rPr>
            </w:pPr>
            <w:r>
              <w:rPr>
                <w:sz w:val="20"/>
              </w:rPr>
              <w:t>117,098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sz w:val="20"/>
              </w:rPr>
            </w:pPr>
            <w:r>
              <w:rPr>
                <w:sz w:val="20"/>
              </w:rPr>
              <w:t>4.50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182,152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7.00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sz w:val="20"/>
              </w:rPr>
            </w:pPr>
            <w:r>
              <w:rPr>
                <w:sz w:val="20"/>
              </w:rPr>
              <w:t>$</w:t>
            </w:r>
          </w:p>
        </w:tc>
        <w:tc>
          <w:tcPr>
            <w:tcW w:w="801" w:type="dxa"/>
            <w:tcBorders/>
            <w:shd w:fill="CCEEFF" w:val="clear"/>
            <w:vAlign w:val="center"/>
          </w:tcPr>
          <w:p>
            <w:pPr>
              <w:pStyle w:val="TableContents"/>
              <w:bidi w:val="0"/>
              <w:spacing w:before="0" w:after="283"/>
              <w:ind w:left="0" w:right="0" w:hanging="0"/>
              <w:jc w:val="right"/>
              <w:rPr>
                <w:sz w:val="20"/>
              </w:rPr>
            </w:pPr>
            <w:r>
              <w:rPr>
                <w:sz w:val="20"/>
              </w:rPr>
              <w:t>169,141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sz w:val="20"/>
              </w:rPr>
            </w:pPr>
            <w:r>
              <w:rPr>
                <w:sz w:val="20"/>
              </w:rPr>
              <w:t>6.50</w:t>
            </w:r>
          </w:p>
        </w:tc>
        <w:tc>
          <w:tcPr>
            <w:tcW w:w="19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addition to the minimum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total capital and leverage ratios, the Bank is required to maintain a capital conservation buffer consisting of additional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greater than 2.5% of risk-weighted assets above the required minimum capital levels.  Failure to maintain the required buffer could result in limitations on the Bank's ability to pay dividends, repurchase shares, and pay discretionary bonuses, based on specified percentages of eligible retained income.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Bank’s capital exceeded the conservation buffer.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bank holding company registered with the Federal Reserve, the Company is subject to the capital adequacy requirements of the Federal Reserve. Bank holding companies with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or more in assets are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Federal Reserve regulations, a bank holding company is considered a small bank holding company if its total consolidated assets are below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as of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 xml:space="preserve">of a given year.  The Company's total consolidated assets were below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as of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therefore, the Company qualified as a small bank holding company for regulatory purposes for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calendar year.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Company's total consolidated assets exceeded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and accordingly, the Company ceased to qualify as a small bank holding company as of that reporting period.  As a result, the Company is subject to all regulatory requirements applicable to larger bank holding companies, including enhanced reporting, capital, and governance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regulatory capital ratios at the dates indicated:</w:t>
      </w:r>
    </w:p>
    <w:p>
      <w:pPr>
        <w:pStyle w:val="TextBody"/>
        <w:bidi w:val="0"/>
        <w:spacing w:before="0" w:after="0"/>
        <w:ind w:left="0" w:right="0" w:hanging="0"/>
        <w:jc w:val="both"/>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3980"/>
        <w:gridCol w:w="60"/>
        <w:gridCol w:w="1400"/>
        <w:gridCol w:w="60"/>
        <w:gridCol w:w="1370"/>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0"/>
              <w:jc w:val="center"/>
              <w:rPr/>
            </w:pPr>
            <w:r>
              <w:rPr>
                <w:rStyle w:val="Emphasis"/>
                <w:rFonts w:ascii="Times New Roman;Times;serif" w:hAnsi="Times New Roman;Times;serif"/>
                <w:sz w:val="20"/>
              </w:rPr>
              <w:t>At September 30,</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shd w:fill="FFFFFF" w:val="clear"/>
            <w:vAlign w:val="center"/>
          </w:tcPr>
          <w:p>
            <w:pPr>
              <w:pStyle w:val="TableContents"/>
              <w:bidi w:val="0"/>
              <w:spacing w:before="0" w:after="0"/>
              <w:jc w:val="center"/>
              <w:rPr/>
            </w:pPr>
            <w:r>
              <w:rPr>
                <w:rStyle w:val="Emphasis"/>
                <w:rFonts w:ascii="Times New Roman;Times;serif" w:hAnsi="Times New Roman;Times;serif"/>
                <w:sz w:val="20"/>
              </w:rPr>
              <w:t>At December 31,</w:t>
            </w:r>
          </w:p>
        </w:tc>
      </w:tr>
      <w:tr>
        <w:trPr/>
        <w:tc>
          <w:tcPr>
            <w:tcW w:w="39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Only</w:t>
            </w:r>
          </w:p>
        </w:tc>
        <w:tc>
          <w:tcPr>
            <w:tcW w:w="60" w:type="dxa"/>
            <w:tcBorders/>
            <w:shd w:fill="FFFFFF" w:val="clear"/>
            <w:vAlign w:val="center"/>
          </w:tcPr>
          <w:p>
            <w:pPr>
              <w:pStyle w:val="TableContents"/>
              <w:bidi w:val="0"/>
              <w:spacing w:before="0" w:after="283"/>
              <w:jc w:val="left"/>
              <w:rPr/>
            </w:pPr>
            <w:r>
              <w:rPr/>
              <w:t> </w:t>
            </w:r>
          </w:p>
        </w:tc>
        <w:tc>
          <w:tcPr>
            <w:tcW w:w="14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3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risk-based capital (to risk-weighted assets)</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13.93%</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14.53%</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risk-based capital (to risk-weighted assets)</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10.95%</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11.36%</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leverage capital (to average assets)</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9.49%</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9.87%</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CET 1 capital (to risk-weighted assets)</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10.95%</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13</w:t>
      </w:r>
      <w:r>
        <w:rPr>
          <w:rFonts w:ascii="Times New Roman" w:hAnsi="Times New Roman"/>
          <w:caps w:val="false"/>
          <w:smallCaps w:val="false"/>
          <w:sz w:val="20"/>
        </w:rPr>
        <w:t xml:space="preserve"> – </w:t>
      </w:r>
      <w:r>
        <w:rPr>
          <w:rFonts w:ascii="Times New Roman" w:hAnsi="Times New Roman"/>
          <w:b/>
          <w:caps w:val="false"/>
          <w:smallCaps w:val="false"/>
          <w:sz w:val="20"/>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reportable segments are determined by the Chief Financial Officer (“CFO”), who is the designated chief operating decision maker, or CODM, based upon information provided about the Company's products and services offered, primarily distinguished between commercial and consumer banking and home lending.  They are also distinguished by the level of information provided to the CFO, who uses such information to review performance of various components of business for each branch and home lending office, which are aggregated if operating performance, products/services, and customers are similar.  The CFO evaluates the financial performance of the Company's business components such as by evaluating revenue streams, significant expenses, and budget to actual results in assessing the performance of the Company's segments and in the determination of allocating resources.  The CFO uses revenue streams to evaluate product pricing and significant expenses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home lending segment by monitoring the premium received on loans sales.  Loans, investments, and deposits provide the revenues in the commercial and consumer banking operations, and servicing fees and loan sales provide the revenues in home lending.  Interest expense, provisions for credit losses, and payroll provide the significant expenses in commercial and consumer banking, and cost of loan sales and payroll provide the significant expenses in home lending.  All operations are domestic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major customers providing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total segment revenue.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material intra-entity sales or transfers, aside from certain allocations of interest expense and loan servicing cost from the commercial and consumer banking segment to the home lending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various management accounting methodologies to assign certain income statement items to the responsible operating segment,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funds transfer pricing (“FTP”) system, which allocates interest income credits and funding charges between the segments, assigning to each segment a funding credit for its liabilities, such as deposits, and a charge to fund its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a cost per loan serviced allocation based on the number of loans being serviced on the balance sheet and the number of loans serviced for </w:t>
            </w:r>
            <w:r>
              <w:rPr>
                <w:rStyle w:val="Emphasis"/>
                <w:rFonts w:ascii="Times New Roman;Times;serif" w:hAnsi="Times New Roman;Times;serif"/>
                <w:sz w:val="20"/>
              </w:rPr>
              <w:t>third</w:t>
            </w:r>
            <w:r>
              <w:rPr>
                <w:rFonts w:ascii="Times New Roman;Times;serif" w:hAnsi="Times New Roman;Times;serif"/>
                <w:sz w:val="20"/>
              </w:rPr>
              <w:t xml:space="preserve">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based upon the approximate square footage utilized by the home lending segment in Company owned locations;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of charges for services rendered to the segments by centralized functions, such as corporate overhead, which are generally based on the number of full-time employees (“FTEs”) in each segment;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of the Company’s consolidated income taxes which are based on the effective tax rate applied to the segment’s pretax income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Segment assets are primarily allocated by a loan origination channel.  The home lending segment is limited to residential mortgage and home equity loans originated through the home lending platform.  The home lending segment additionally includes related accrued interest receivable and the Company's MSR assets.  The commercial and consumer banking segment includes the remainder of the loan portfolio, the assets of the retail branch network and administrative buildings, as well as the investment portfolio and other assets of the Bank.  A description of the Company’s business segments and the products and services that they provide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and Consumer Banking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Company’s retail deposit branch network consisted of 27 branches in the Pacific Northwest. This segment is also responsible for the management of the investment portfolio and other assets of the Bank.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Home Lending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home lending segment originates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(“FHA”), US Department of Veterans Affairs (“VA”), and United States Department of Agriculture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a portion of its MSRs portfolio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small pools of loans initially originated to be held in the loan portfolio. The Company manages the loan funding and the interest rate risk associated with the secondary market loan sales and the retained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MSRs within this business segment. One-to-</w:t>
      </w:r>
      <w:r>
        <w:rPr>
          <w:rStyle w:val="Emphasis"/>
          <w:rFonts w:ascii="Times New Roman" w:hAnsi="Times New Roman"/>
          <w:caps w:val="false"/>
          <w:smallCaps w:val="false"/>
          <w:sz w:val="20"/>
        </w:rPr>
        <w:t>four</w:t>
      </w:r>
      <w:r>
        <w:rPr>
          <w:rFonts w:ascii="Times New Roman" w:hAnsi="Times New Roman"/>
          <w:caps w:val="false"/>
          <w:smallCaps w:val="false"/>
          <w:sz w:val="20"/>
        </w:rPr>
        <w:t>-family loans originated for investment and held in this segment are allocated to the home lending segment with a corresponding provision expense and FTP for cost of funds. Noninterest expense includes allocated overhead expense from general corporate activities. Allocation is determined based on a combination of segment assets and FTEs.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Home Lending segment included allocated overhead expenses of $1.8 million and $5.5 million, compared to $1.8 million and $4.8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Accounting policies for segments are consistent with those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Basis of Presentation and Summary of Significant Accounting Policies.”  Segment performance is evaluated using net income.  Indirect expenses are allocated based on segment assets and full-time equivalent employees (“FTEs”).  Transactions among segments are made at fair value.  Information reported internally for performance assessment by the CFO follows, inclusive of reconciliations of significant segment totals to the financial statements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5"/>
        <w:gridCol w:w="60"/>
        <w:gridCol w:w="371"/>
        <w:gridCol w:w="2502"/>
        <w:gridCol w:w="115"/>
        <w:gridCol w:w="86"/>
        <w:gridCol w:w="181"/>
        <w:gridCol w:w="1006"/>
        <w:gridCol w:w="115"/>
        <w:gridCol w:w="86"/>
        <w:gridCol w:w="181"/>
        <w:gridCol w:w="1222"/>
        <w:gridCol w:w="85"/>
      </w:tblGrid>
      <w:tr>
        <w:trPr/>
        <w:tc>
          <w:tcPr>
            <w:tcW w:w="4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Three Months Ended September 30, 2025</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8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 and Consumer Banking</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Home Lending</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loans receivable, including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37,419</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46,664</w:t>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4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other interest earnings assets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41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 by segment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41,728</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50,973</w:t>
            </w:r>
          </w:p>
        </w:tc>
        <w:tc>
          <w:tcPr>
            <w:tcW w:w="8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0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4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3,155</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income</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41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5,594</w:t>
            </w:r>
          </w:p>
        </w:tc>
        <w:tc>
          <w:tcPr>
            <w:tcW w:w="85" w:type="dxa"/>
            <w:tcBorders/>
            <w:shd w:fill="FFFFFF" w:val="cle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41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43,806</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12,761</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56,567</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0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4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0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deposits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14,857</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14,863</w:t>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4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borrowings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subordinated note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4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intersegment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(6,259</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6,259</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41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6,366</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17,283</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0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 by segment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w:t>
            </w:r>
          </w:p>
        </w:tc>
        <w:tc>
          <w:tcPr>
            <w:tcW w:w="8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0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9,835</w:t>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4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Overhead allocation</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5,761</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7,982</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41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20,135</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5,253</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0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540" w:right="0" w:hanging="0"/>
              <w:jc w:val="left"/>
              <w:rPr/>
            </w:pPr>
            <w:r>
              <w:rPr/>
              <w:t> </w:t>
            </w:r>
          </w:p>
        </w:tc>
      </w:tr>
      <w:tr>
        <w:trPr/>
        <w:tc>
          <w:tcPr>
            <w:tcW w:w="4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 by segment</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85" w:type="dxa"/>
            <w:tcBorders/>
            <w:shd w:fill="FFFFFF" w:val="clear"/>
            <w:vAlign w:val="center"/>
          </w:tcPr>
          <w:p>
            <w:pPr>
              <w:pStyle w:val="TableContents"/>
              <w:bidi w:val="0"/>
              <w:spacing w:before="0" w:after="283"/>
              <w:ind w:left="540" w:right="0" w:hanging="0"/>
              <w:jc w:val="left"/>
              <w:rPr/>
            </w:pPr>
            <w:r>
              <w:rPr/>
              <w:t> </w:t>
            </w:r>
          </w:p>
        </w:tc>
      </w:tr>
      <w:tr>
        <w:trPr/>
        <w:tc>
          <w:tcPr>
            <w:tcW w:w="41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41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by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8,401</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0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4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disclosures: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0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180" w:right="0" w:hanging="0"/>
              <w:jc w:val="left"/>
              <w:rPr/>
            </w:pPr>
            <w:r>
              <w:rPr/>
              <w:t> </w:t>
            </w:r>
          </w:p>
        </w:tc>
      </w:tr>
      <w:tr>
        <w:trPr/>
        <w:tc>
          <w:tcPr>
            <w:tcW w:w="4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2,546,789</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662,036</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3,208,825</w:t>
            </w:r>
          </w:p>
        </w:tc>
        <w:tc>
          <w:tcPr>
            <w:tcW w:w="85" w:type="dxa"/>
            <w:tcBorders>
              <w:bottom w:val="double" w:sz="6"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4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205"/>
        <w:gridCol w:w="60"/>
        <w:gridCol w:w="372"/>
        <w:gridCol w:w="2508"/>
        <w:gridCol w:w="115"/>
        <w:gridCol w:w="86"/>
        <w:gridCol w:w="181"/>
        <w:gridCol w:w="1007"/>
        <w:gridCol w:w="115"/>
        <w:gridCol w:w="86"/>
        <w:gridCol w:w="181"/>
        <w:gridCol w:w="1224"/>
        <w:gridCol w:w="65"/>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Three Months Ended September 30, 2024</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 and Consumer Banking</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Home Lending</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loans receivable, including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35,591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8,209</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43,800</w:t>
            </w:r>
          </w:p>
        </w:tc>
        <w:tc>
          <w:tcPr>
            <w:tcW w:w="65" w:type="dxa"/>
            <w:tcBorders/>
            <w:shd w:fill="CCEEFF" w:val="cle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other interest earnings assets</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3,243</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3,243</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 by segment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8,209</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47,043</w:t>
            </w:r>
          </w:p>
        </w:tc>
        <w:tc>
          <w:tcPr>
            <w:tcW w:w="6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6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Gain on sale of MSRs</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investment securities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5" w:type="dxa"/>
            <w:tcBorders/>
            <w:shd w:fill="CCEEFF" w:val="cle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25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3,292</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income</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420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 by segment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25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5,967</w:t>
            </w:r>
          </w:p>
        </w:tc>
        <w:tc>
          <w:tcPr>
            <w:tcW w:w="6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420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by segment</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41,091</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11,919</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53,010</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deposits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13,486</w:t>
            </w:r>
          </w:p>
        </w:tc>
        <w:tc>
          <w:tcPr>
            <w:tcW w:w="65" w:type="dxa"/>
            <w:tcBorders/>
            <w:shd w:fill="CCEEFF" w:val="cle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borrowings</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25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subordinated note</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p>
        </w:tc>
        <w:tc>
          <w:tcPr>
            <w:tcW w:w="65" w:type="dxa"/>
            <w:tcBorders/>
            <w:shd w:fill="CCEEFF" w:val="cle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intersegment</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(5,475</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5,475</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by segment</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10,222</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15,799</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 by segment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6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2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9,558</w:t>
            </w:r>
          </w:p>
        </w:tc>
        <w:tc>
          <w:tcPr>
            <w:tcW w:w="65" w:type="dxa"/>
            <w:tcBorders/>
            <w:shd w:fill="CCEEFF" w:val="cle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Overhead allocation</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25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6,695</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8,472</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420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 by segment</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20,199</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25,832</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36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 by segment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25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9,866</w:t>
            </w:r>
          </w:p>
        </w:tc>
        <w:tc>
          <w:tcPr>
            <w:tcW w:w="65" w:type="dxa"/>
            <w:tcBorders/>
            <w:shd w:fill="FFFFFF" w:val="clear"/>
            <w:vAlign w:val="center"/>
          </w:tcPr>
          <w:p>
            <w:pPr>
              <w:pStyle w:val="TableContents"/>
              <w:bidi w:val="0"/>
              <w:spacing w:before="0" w:after="283"/>
              <w:ind w:left="360" w:right="0" w:hanging="0"/>
              <w:jc w:val="left"/>
              <w:rPr/>
            </w:pPr>
            <w:r>
              <w:rPr/>
              <w:t> </w:t>
            </w:r>
          </w:p>
        </w:tc>
      </w:tr>
      <w:tr>
        <w:trPr/>
        <w:tc>
          <w:tcPr>
            <w:tcW w:w="4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 by segment</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420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by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9,268</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508"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disclosures:</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250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180" w:right="0" w:hanging="0"/>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2,358,004</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614,665</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2,972,669</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FFFFFF" w:val="cle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2"/>
        <w:gridCol w:w="60"/>
        <w:gridCol w:w="371"/>
        <w:gridCol w:w="2514"/>
        <w:gridCol w:w="113"/>
        <w:gridCol w:w="84"/>
        <w:gridCol w:w="180"/>
        <w:gridCol w:w="1006"/>
        <w:gridCol w:w="113"/>
        <w:gridCol w:w="84"/>
        <w:gridCol w:w="177"/>
        <w:gridCol w:w="1205"/>
        <w:gridCol w:w="86"/>
      </w:tblGrid>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Nine Months Ended September 30, 2025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8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 and Consumer Banking</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Home Lending</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Interest income - loans receivable, including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108,430</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26,574</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135,004</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other interest earnings assets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11,459</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11,459</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119,889</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26,574</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9,779</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income</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6,621</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9,269</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15,890</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126,510</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35,843</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162,353</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1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deposits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42,430</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42,440</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borrowings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pPr>
            <w:r>
              <w:rPr/>
              <w:t>—</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5,783</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subordinated note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intersegment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31,492</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18,187</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49,679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 by segment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23,571</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29,632</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Overhead allocation</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22,786</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19,731</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60,625</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15,320</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75,945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1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 by segment</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(5,881</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by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23,556</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1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disclosures: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2,546,789</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662,036</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3,208,825</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212"/>
        <w:gridCol w:w="60"/>
        <w:gridCol w:w="371"/>
        <w:gridCol w:w="2514"/>
        <w:gridCol w:w="113"/>
        <w:gridCol w:w="84"/>
        <w:gridCol w:w="180"/>
        <w:gridCol w:w="1006"/>
        <w:gridCol w:w="113"/>
        <w:gridCol w:w="84"/>
        <w:gridCol w:w="177"/>
        <w:gridCol w:w="1205"/>
        <w:gridCol w:w="86"/>
      </w:tblGrid>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Nine Months Ended September 30, 2024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8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 and Consumer Banking</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Home Lending</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loans receivable, including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104,438</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22,765</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127,203</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 other interest earnings assets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115,098</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22,765</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137,863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MSRs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6,987</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8,356</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of investment securities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(7,836</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7,056</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9,602</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income</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6,919</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122,017</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32,792</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154,809</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1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deposits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39,615</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39,620</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borrowings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pPr>
            <w:r>
              <w:rPr/>
              <w:t>—</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subordinated note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 intersegment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(15,229</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15,229</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30,349</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15,523</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 by segment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3,989</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2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22,557</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6,182</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28,739</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Overhead allocation</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16,278</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4,797</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21,075</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19,415</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3,989</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 by segment</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58,250</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14,968</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73,218</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1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 by segment</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2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29,622</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31,730</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 by segment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(4,253</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by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25,369</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2,273</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51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disclosures: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514"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2,358,004</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614,665</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2,972,669</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operations, occupancy, data processing, loan costs, professional and board fees, marketing and advertising, and (recovery) impairment of MSRs.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1" w:name="Notes_end"/>
      <w:bookmarkEnd w:id="11"/>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Goodwill and certain other intangibles generally arise from business combinations accounted for under the acquisition method of accounting. Goodwill totaled $3.6 million at both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and represents the excess of the total acquisition price paid over the fair value of the assets acquired, net of the fair values of liabilities assumed in the branch purchase on </w:t>
      </w:r>
      <w:r>
        <w:rPr>
          <w:rStyle w:val="Emphasis"/>
          <w:rFonts w:ascii="Times New Roman" w:hAnsi="Times New Roman"/>
          <w:caps w:val="false"/>
          <w:smallCaps w:val="false"/>
          <w:sz w:val="20"/>
        </w:rPr>
        <w:t>February 24, 2023 (</w:t>
      </w:r>
      <w:r>
        <w:rPr>
          <w:rFonts w:ascii="Times New Roman" w:hAnsi="Times New Roman"/>
          <w:caps w:val="false"/>
          <w:smallCaps w:val="false"/>
          <w:sz w:val="20"/>
        </w:rPr>
        <w:t xml:space="preserve">“Branch Acquisition”), and the purchase of four retail bank branches from Bank of America on </w:t>
      </w:r>
      <w:r>
        <w:rPr>
          <w:rStyle w:val="Emphasis"/>
          <w:rFonts w:ascii="Times New Roman" w:hAnsi="Times New Roman"/>
          <w:caps w:val="false"/>
          <w:smallCaps w:val="false"/>
          <w:sz w:val="20"/>
        </w:rPr>
        <w:t xml:space="preserve">January 22, 2016. </w:t>
      </w:r>
      <w:r>
        <w:rPr>
          <w:rFonts w:ascii="Times New Roman" w:hAnsi="Times New Roman"/>
          <w:caps w:val="false"/>
          <w:smallCaps w:val="false"/>
          <w:sz w:val="20"/>
        </w:rPr>
        <w:t xml:space="preserve">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evaluated for impairment on an annual basis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each year or whenever events or changes in circumstances indicate the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Company performed an impairment analysis at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and determined that no impairment of goodwill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Core deposit intangible (“CDI”) is evaluated for impairment whenever events or changes in circumstances indicate that its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with any changes in estimated useful life accounted for prospectively over the revised remaining life.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management believes that there have been no events or changes in the circumstances that would indicate a potential impairment of CDI.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summarizes the changes in the Company’s other intangible assets comprised solely of CDI for the year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49" w:type="dxa"/>
        <w:jc w:val="left"/>
        <w:tblInd w:w="0" w:type="dxa"/>
        <w:tblLayout w:type="fixed"/>
        <w:tblCellMar>
          <w:top w:w="0" w:type="dxa"/>
          <w:left w:w="0" w:type="dxa"/>
          <w:bottom w:w="0" w:type="dxa"/>
          <w:right w:w="0" w:type="dxa"/>
        </w:tblCellMar>
      </w:tblPr>
      <w:tblGrid>
        <w:gridCol w:w="2390"/>
        <w:gridCol w:w="60"/>
        <w:gridCol w:w="150"/>
        <w:gridCol w:w="709"/>
        <w:gridCol w:w="60"/>
        <w:gridCol w:w="60"/>
        <w:gridCol w:w="175"/>
        <w:gridCol w:w="910"/>
        <w:gridCol w:w="80"/>
        <w:gridCol w:w="60"/>
        <w:gridCol w:w="125"/>
        <w:gridCol w:w="590"/>
        <w:gridCol w:w="80"/>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Other Intangible Assets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Gross CDI</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CDI</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17,343</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13,710</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CDI represents the fair value assigned to the intangible core deposit base acquired in business combinations. The CDI from the Branch Acquisition is being amortized on an accelerated basis over 10 years, while the CDI from the Anchor Bank acquisition (completed in </w:t>
      </w:r>
      <w:r>
        <w:rPr>
          <w:rStyle w:val="Emphasis"/>
          <w:rFonts w:ascii="Times New Roman" w:hAnsi="Times New Roman"/>
          <w:caps w:val="false"/>
          <w:smallCaps w:val="false"/>
          <w:sz w:val="20"/>
        </w:rPr>
        <w:t xml:space="preserve"> November 2018) </w:t>
      </w:r>
      <w:r>
        <w:rPr>
          <w:rFonts w:ascii="Times New Roman" w:hAnsi="Times New Roman"/>
          <w:caps w:val="false"/>
          <w:smallCaps w:val="false"/>
          <w:sz w:val="20"/>
        </w:rPr>
        <w:t xml:space="preserve">is being amortized on a straight-line basis over 10 years.  Amortization expense was $787,000 and $2.4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compared to $897,000 and $2.8 million for the same periods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Amortization expense for CDI is expected to be as follows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1580"/>
        <w:gridCol w:w="60"/>
        <w:gridCol w:w="125"/>
        <w:gridCol w:w="590"/>
        <w:gridCol w:w="60"/>
      </w:tblGrid>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w:t>
      </w:r>
      <w:r>
        <w:rPr>
          <w:rFonts w:ascii="Times New Roman" w:hAnsi="Times New Roman"/>
          <w:caps w:val="false"/>
          <w:smallCaps w:val="false"/>
          <w:sz w:val="20"/>
        </w:rPr>
        <w:t>–</w:t>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contains forward-looking statements, which can be identified by the use of words such as “believes,” “expects,” “anticipates,” “estimates,” or similar expressions.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70"/>
        <w:gridCol w:w="68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of our goals, intentions, and expectations;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our business plans, prospects, growth, and operating strategies;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the quality of our loan and investment portfolios;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estimates of our risks and future costs and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subject to significant risks and uncertainties. Actual results may differ materially from those contemplated by the forward-looking statements due to, among others, the following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adverse impacts to economic conditions in our local markets or other markets where we have lending relationships, or other aspects of the Company's business operations;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employment levels, labor shortages, persistent inflation, recessionary pressures or slowing economic growth;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interest rate levels and the duration of such changes, including action by the Board of Governors of the Federal Reserve System (“Federal Reserve”), which could adversely affect our revenues and expenses, the values of our assets and obligations, and the availability and cost of capital and liquidity;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inflation and monetary and fiscal policy response thereto, and their impact on consumer behavior;</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developments and international conflicts, including but not limited to tensions or instability in Eastern Europe, the Middle East, and Asia, or the imposition of new or increased tariffs and trade restrictions, which may disrupt financial markets, global supply chains, energy prices, or economic activity in specific industry sectors;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effects of a federal government shutdown, debt ceiling standoff, or other fiscal policy uncertainty;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credit risks of lending activities, including loan delinquencies, write-offs, changes in our allowance for credit losses (“ACL”), and provision for credit losses;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secondary market conditions and our ability to originate loans for sale and sell loans in the secondary market;</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loan demand, unsold homes, and land and in property values;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staffing fluctuations in response to product demand or corporate implementation strategies;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use of estimates in determining the fair value of assets, which may prove incorrect;</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competitive pressures among financial services companies;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execute our plans to grow our residential construction lending, our home lending operations, our warehouse lending, and the geographic expansion of our indirect home improvement lending;</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deposits;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control operating costs and expenses;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expectations regarding key growth initiatives and strategic priorities;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retention of key members of our senior management team;</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consumer spending, borrowing, and savings habits;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manage our growth;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bank failures or adverse developments at other banks and related negative press about the banking industry in general on investor and depositor sentiment;</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ability to adapt to rapid technological changes, including advancements in artificial intelligence, digital banking, and cybersecurity;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legislation or regulatory changes including, but not limited to shifts in capital requirements, banking regulation, tax laws, or consumer protection laws;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pay dividends on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quality and composition of our securities portfolio and the impact of adverse changes in the securities markets;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policies and practices, as may be adopted by the bank regulatory agencies, the Public Company Accounting Oversight Board or the Financial Accounting Standards Board (“FASB”);</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effects of litigation, including settlements and judgments;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vulnerabilities in information systems or third-party service providers, including disruptions, breaches, or attacks;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of key third-party service providers to perform their obligations to us;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climate change, severe weather events, natural disasters, pandemics, epidemics and other public health crises, acts of war or terrorism, domestic political unrest, and other external events;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for new or increased tariffs, trade restrictions or geopolitical tensions that could affect economic activity or specific industry sectors;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social and governance goals and targets;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economic, competitive, governmental, bank regulatory, consumer and technical factors affecting our operations, pricing, products and services,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described elsewhere in this Form 10</w:t>
              <w:noBreakHyphen/>
              <w:t>Q and our other reports filed with or furnished to SEC, including our Annual Report on Form 10-K for the year ended December 31, 2024 (the “2024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 forward-looking statements made in this Form 10</w:t>
        <w:noBreakHyphen/>
        <w:t>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1st Security Bank has been serving the Puget Sound area since 1907, which includes when the predecessor to Anchor Bank, one of its banking acquisitions, was formed. On July 9, 2012, the Bank converted from mutual to stock ownership and became the wholly owned subsidiary of FS Bancorp.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maintains its long-standing indirect consumer lending platform which operates primarily throughout the Western United States.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strategic focus involves diversifying revenues, expanding lending channels, and enhancing the banking franchise. Management is committed to establishing varied revenue streams considering credit, interest rate, and concentration risks. The business plan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Growing and diversifying our loan portfolio;</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strong asset quality;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Emphasizing lower cost core deposits to reduce the costs of funding our loan growth;</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Capturing customers’ complete relationships through a broad array of products and services, leveraging community involvement, and selectively emphasizing offerings aligned with customers’ banking needs;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Expanding into new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diversified lender, the Company specializes in originating one-to-four-family loans, commercial real estate (“CRE”) mortgages, second mortgages, consumer loans, marine lending, and commercial business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September 30, 2025, the Company's loan portfolio included commercial real estate loans, residential real estate loans, consumer loans, and commercial business loans representing 35.4%, 29.1%, 22.9%, and 12.4% of the portfolio,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Indirect home improvement loans to finance window, gutter, siding replacement, solar panels, spas, and other improvement renovations are a large segment of the consumer loan portfolio. These indirect home improvement loans are dependent on the Company’s contractor/dealer network of 33 currently active fixture dealerships located throughout Washington, Oregon, California, Idaho, Colorado, Nevada, Arizona, Minnesota, Texas, Utah, Massachusetts, Montana, and New Hampshire. During the three months ended September 30, 2025, the Company originated 1,691 indirect home improvement loans with an aggregate total of $38.4 million. Five contractor/dealers accounted for 75.7% of the dollar volume funded in this category.  In addition, four states represented nearly three-quarters of the loan originations: Washington, Oregon, California, and Idaho with 35.9%, 20.0%, 15.6%, and 4.9% of total loan volume,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$166.9 million of one-to-four-family loans (which included loans held for sale, loans held for investment and fixed seconds) in addition to $8.7 million of loans brokered to other institutions through the home lending segment during the three months ended September 30, 2025, of which $156.4 million were sold to investors. Of the loans sold to investors, $53.8 million were sold to the FNMA, FHLMC, FHLB, and/or GNMA with servicing rights retained for the purpose of further developing these customer relationships.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one-to-four-family loan originations and refinancing activity decreased compared to the prior quarter as a result of economic volatility in the markets. Residential construction and development lending, while not as common as other loan origination options like one-to-four-family loans, continues to be an important element in our total loan portfolio, and we continue to take a disciplined approach by concentrating our efforts on loans to builders and developers in our market areas known to us. These short-term loans typically have a maturity period of six to 18 months, with disbursements not fully realized at origination, leading to a short-term reduction in net loans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earnings are also affected by fee income from mortgage banking activities, the provision for (reversal of) credit losses, service charges and fees, gains from sales of assets, operating expenses and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the Company’s critical accounting estimates as disclosed in the Company’s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Comparison of Financial Condition at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Assets. </w:t>
      </w:r>
      <w:r>
        <w:rPr>
          <w:rFonts w:ascii="Times New Roman" w:hAnsi="Times New Roman"/>
          <w:caps w:val="false"/>
          <w:smallCaps w:val="false"/>
          <w:sz w:val="20"/>
        </w:rPr>
        <w:t>Total assets increased $179.6 million to $3.21 billion at September 30, 2025, from $3.03 billion at December 31, 2024, primarily due to increases of $97.7 million in loans receivable, net,  $30.5 million in securities available-for-sale, $29.6 million in total cash and cash equivalents, $22.9 million in securities held-to-maturity, and $10.7 million in loans held for sale, partially offset by decreases of $7.6 million in FHLB stock, $4.4 million in other assets, $2.4 million in core deposits intangible, net, and $1.7 million in certificates of deposit at other financial institutions. Asset growth was primarily funded by brokered deposits.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receivable, net, increased $97.7 million to $2.60 billion at September 30, 2025, compared to $2.50 billion at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left"/>
        <w:rPr/>
      </w:pPr>
      <w:r>
        <w:rPr/>
        <w:t xml:space="preserve">● </w:t>
      </w:r>
      <w:r>
        <w:rPr>
          <w:rFonts w:ascii="Times New Roman" w:hAnsi="Times New Roman"/>
          <w:sz w:val="20"/>
        </w:rPr>
        <w:t>Commercial real estate (“CRE”) loans increased $61.4 million, primarily reflecting:</w:t>
      </w:r>
    </w:p>
    <w:p>
      <w:pPr>
        <w:pStyle w:val="TextBody"/>
        <w:bidi w:val="0"/>
        <w:spacing w:before="0" w:after="0"/>
        <w:ind w:left="0" w:right="0" w:firstLine="360"/>
        <w:jc w:val="left"/>
        <w:rPr/>
      </w:pPr>
      <w:r>
        <w:rPr/>
        <w:t xml:space="preserve">○ </w:t>
      </w:r>
      <w:r>
        <w:rPr>
          <w:rFonts w:ascii="Times New Roman" w:hAnsi="Times New Roman"/>
          <w:sz w:val="20"/>
        </w:rPr>
        <w:t>$45.9 million in commercial and speculative construction and development loans,</w:t>
      </w:r>
    </w:p>
    <w:p>
      <w:pPr>
        <w:pStyle w:val="TextBody"/>
        <w:bidi w:val="0"/>
        <w:spacing w:before="0" w:after="0"/>
        <w:ind w:left="0" w:right="0" w:firstLine="360"/>
        <w:jc w:val="left"/>
        <w:rPr/>
      </w:pPr>
      <w:r>
        <w:rPr/>
        <w:t xml:space="preserve">○ </w:t>
      </w:r>
      <w:r>
        <w:rPr>
          <w:rFonts w:ascii="Times New Roman" w:hAnsi="Times New Roman"/>
          <w:sz w:val="20"/>
        </w:rPr>
        <w:t>$17.4 million in multi-family loans, and </w:t>
      </w:r>
    </w:p>
    <w:p>
      <w:pPr>
        <w:pStyle w:val="TextBody"/>
        <w:bidi w:val="0"/>
        <w:spacing w:before="0" w:after="0"/>
        <w:ind w:left="0" w:right="0" w:firstLine="360"/>
        <w:jc w:val="left"/>
        <w:rPr/>
      </w:pPr>
      <w:r>
        <w:rPr/>
        <w:t xml:space="preserve">○ </w:t>
      </w:r>
      <w:r>
        <w:rPr>
          <w:rFonts w:ascii="Times New Roman" w:hAnsi="Times New Roman"/>
          <w:sz w:val="20"/>
        </w:rPr>
        <w:t>$318,000 in CRE owner occupied loans,</w:t>
      </w:r>
    </w:p>
    <w:p>
      <w:pPr>
        <w:pStyle w:val="TextBody"/>
        <w:bidi w:val="0"/>
        <w:spacing w:before="0" w:after="0"/>
        <w:ind w:left="0" w:right="0" w:firstLine="360"/>
        <w:jc w:val="left"/>
        <w:rPr/>
      </w:pPr>
      <w:r>
        <w:rPr/>
        <w:t xml:space="preserve">○ </w:t>
      </w:r>
      <w:r>
        <w:rPr>
          <w:rFonts w:ascii="Times New Roman" w:hAnsi="Times New Roman"/>
          <w:sz w:val="20"/>
        </w:rPr>
        <w:t>partially offset by a $2.2 million decrease in CRE non–owner occupied loans.</w:t>
      </w:r>
    </w:p>
    <w:p>
      <w:pPr>
        <w:pStyle w:val="TextBody"/>
        <w:bidi w:val="0"/>
        <w:spacing w:before="0" w:after="0"/>
        <w:ind w:left="0" w:right="0" w:firstLine="360"/>
        <w:jc w:val="left"/>
        <w:rPr/>
      </w:pPr>
      <w:r>
        <w:rPr/>
        <w:t> </w:t>
      </w:r>
    </w:p>
    <w:p>
      <w:pPr>
        <w:pStyle w:val="TextBody"/>
        <w:bidi w:val="0"/>
        <w:spacing w:before="0" w:after="0"/>
        <w:ind w:left="0" w:right="0" w:firstLine="180"/>
        <w:jc w:val="left"/>
        <w:rPr/>
      </w:pPr>
      <w:r>
        <w:rPr/>
        <w:t xml:space="preserve">● </w:t>
      </w:r>
      <w:r>
        <w:rPr>
          <w:rFonts w:ascii="Times New Roman" w:hAnsi="Times New Roman"/>
          <w:sz w:val="20"/>
        </w:rPr>
        <w:t>Residential real estate loans increased $27.5 million, driven by:</w:t>
      </w:r>
    </w:p>
    <w:p>
      <w:pPr>
        <w:pStyle w:val="TextBody"/>
        <w:bidi w:val="0"/>
        <w:spacing w:before="0" w:after="0"/>
        <w:ind w:left="0" w:right="0" w:firstLine="360"/>
        <w:jc w:val="left"/>
        <w:rPr/>
      </w:pPr>
      <w:r>
        <w:rPr/>
        <w:t xml:space="preserve">○ </w:t>
      </w:r>
      <w:r>
        <w:rPr>
          <w:rFonts w:ascii="Times New Roman" w:hAnsi="Times New Roman"/>
          <w:sz w:val="20"/>
        </w:rPr>
        <w:t>$12.4 million in one-to-four-family loans (excluding loans held for sale),</w:t>
      </w:r>
    </w:p>
    <w:p>
      <w:pPr>
        <w:pStyle w:val="TextBody"/>
        <w:bidi w:val="0"/>
        <w:spacing w:before="0" w:after="0"/>
        <w:ind w:left="0" w:right="0" w:firstLine="360"/>
        <w:jc w:val="left"/>
        <w:rPr/>
      </w:pPr>
      <w:r>
        <w:rPr/>
        <w:t xml:space="preserve">○ </w:t>
      </w:r>
      <w:r>
        <w:rPr>
          <w:rFonts w:ascii="Times New Roman" w:hAnsi="Times New Roman"/>
          <w:sz w:val="20"/>
        </w:rPr>
        <w:t>$11.7 million in home equity loans, and</w:t>
      </w:r>
    </w:p>
    <w:p>
      <w:pPr>
        <w:pStyle w:val="TextBody"/>
        <w:bidi w:val="0"/>
        <w:spacing w:before="0" w:after="0"/>
        <w:ind w:left="0" w:right="0" w:firstLine="360"/>
        <w:jc w:val="left"/>
        <w:rPr/>
      </w:pPr>
      <w:r>
        <w:rPr/>
        <w:t xml:space="preserve">○ </w:t>
      </w:r>
      <w:r>
        <w:rPr>
          <w:rFonts w:ascii="Times New Roman" w:hAnsi="Times New Roman"/>
          <w:sz w:val="20"/>
        </w:rPr>
        <w:t>$3.4 million in residential custom construction loans.</w:t>
      </w:r>
    </w:p>
    <w:p>
      <w:pPr>
        <w:pStyle w:val="TextBody"/>
        <w:bidi w:val="0"/>
        <w:spacing w:before="0" w:after="0"/>
        <w:ind w:left="0" w:right="0" w:firstLine="360"/>
        <w:jc w:val="left"/>
        <w:rPr/>
      </w:pPr>
      <w:r>
        <w:rPr/>
        <w:t> </w:t>
      </w:r>
    </w:p>
    <w:p>
      <w:pPr>
        <w:pStyle w:val="TextBody"/>
        <w:bidi w:val="0"/>
        <w:spacing w:before="0" w:after="0"/>
        <w:ind w:left="0" w:right="0" w:firstLine="180"/>
        <w:jc w:val="left"/>
        <w:rPr/>
      </w:pPr>
      <w:r>
        <w:rPr/>
        <w:t xml:space="preserve">● </w:t>
      </w:r>
      <w:r>
        <w:rPr>
          <w:rFonts w:ascii="Times New Roman" w:hAnsi="Times New Roman"/>
          <w:sz w:val="20"/>
        </w:rPr>
        <w:t>Total undisbursed construction and development loan commitments increased $86.0 million to $260.1 million at September 30, 2025, from $174.1 million at December 31, 2024.</w:t>
      </w:r>
    </w:p>
    <w:p>
      <w:pPr>
        <w:pStyle w:val="TextBody"/>
        <w:bidi w:val="0"/>
        <w:spacing w:before="0" w:after="0"/>
        <w:ind w:left="0" w:right="0" w:hanging="0"/>
        <w:jc w:val="left"/>
        <w:rPr/>
      </w:pPr>
      <w:r>
        <w:rPr/>
        <w:t> </w:t>
      </w:r>
    </w:p>
    <w:p>
      <w:pPr>
        <w:pStyle w:val="TextBody"/>
        <w:bidi w:val="0"/>
        <w:spacing w:before="0" w:after="0"/>
        <w:ind w:left="0" w:right="0" w:firstLine="180"/>
        <w:jc w:val="left"/>
        <w:rPr/>
      </w:pPr>
      <w:r>
        <w:rPr/>
        <w:t>● </w:t>
      </w:r>
      <w:r>
        <w:rPr>
          <w:rFonts w:ascii="Times New Roman" w:hAnsi="Times New Roman"/>
          <w:sz w:val="20"/>
        </w:rPr>
        <w:t>Commercial business loans increased $26.4 million, reflecting increases of $24.2 million in commercial and industrial (“C&amp;I”) loans and $2.2 million in warehouse lending.</w:t>
      </w:r>
    </w:p>
    <w:p>
      <w:pPr>
        <w:pStyle w:val="TextBody"/>
        <w:bidi w:val="0"/>
        <w:spacing w:before="0" w:after="0"/>
        <w:ind w:left="0" w:right="0" w:hanging="0"/>
        <w:jc w:val="left"/>
        <w:rPr/>
      </w:pPr>
      <w:r>
        <w:rPr/>
        <w:t> </w:t>
      </w:r>
    </w:p>
    <w:p>
      <w:pPr>
        <w:pStyle w:val="TextBody"/>
        <w:bidi w:val="0"/>
        <w:spacing w:before="0" w:after="0"/>
        <w:ind w:left="0" w:right="0" w:firstLine="180"/>
        <w:jc w:val="left"/>
        <w:rPr/>
      </w:pPr>
      <w:r>
        <w:rPr/>
        <w:t xml:space="preserve">● </w:t>
      </w:r>
      <w:r>
        <w:rPr>
          <w:rFonts w:ascii="Times New Roman" w:hAnsi="Times New Roman"/>
          <w:sz w:val="20"/>
        </w:rPr>
        <w:t>Consumer loans decreased $19.4 million, primarily due to declines of $14.3 million in indirect home improvement loans and $4.7 million in marine loans.</w:t>
      </w:r>
    </w:p>
    <w:p>
      <w:pPr>
        <w:pStyle w:val="TextBody"/>
        <w:bidi w:val="0"/>
        <w:spacing w:before="0" w:after="0"/>
        <w:ind w:left="0" w:right="0" w:firstLine="18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Overall, loan growth was concentrated in commercial construction and development, multi-family, and residential real estate segments, reflecting continued demand in those markets. Consumer balances, primarily indirect home improvement loans, declined presumably due to volatile economic conditions, as the Company continued to manage indirect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held for sale, consisting of one-to-four-family loans, increased $10.7 million to $38.6 million at September 30, 2025, from $27.8 million at December 31, 2024. The Company continues to invest in its home lending operations and strategically manage production capacity in the markets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One-to-four-family loan originations for the nine months ended September 30, 2025, included $354.2 million of loans originated for sale, $147.4 million of portfolio loans including first and second liens, and $18.7 million of loans brokered to other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Originations of one-to-four-family loans for the periods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1805"/>
        <w:gridCol w:w="60"/>
        <w:gridCol w:w="133"/>
        <w:gridCol w:w="743"/>
        <w:gridCol w:w="64"/>
        <w:gridCol w:w="662"/>
        <w:gridCol w:w="197"/>
        <w:gridCol w:w="64"/>
        <w:gridCol w:w="133"/>
        <w:gridCol w:w="743"/>
        <w:gridCol w:w="64"/>
        <w:gridCol w:w="662"/>
        <w:gridCol w:w="185"/>
        <w:gridCol w:w="60"/>
        <w:gridCol w:w="125"/>
        <w:gridCol w:w="710"/>
        <w:gridCol w:w="60"/>
        <w:gridCol w:w="860"/>
        <w:gridCol w:w="185"/>
      </w:tblGrid>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c>
          <w:tcPr>
            <w:tcW w:w="34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0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4" w:type="dxa"/>
            <w:tcBorders/>
            <w:shd w:fill="FFFFFF" w:val="clear"/>
            <w:vAlign w:val="center"/>
          </w:tcPr>
          <w:p>
            <w:pPr>
              <w:pStyle w:val="TableContents"/>
              <w:bidi w:val="0"/>
              <w:spacing w:before="0" w:after="283"/>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4" w:type="dxa"/>
            <w:tcBorders/>
            <w:shd w:fill="FFFFFF" w:val="clear"/>
            <w:vAlign w:val="center"/>
          </w:tcPr>
          <w:p>
            <w:pPr>
              <w:pStyle w:val="TableContents"/>
              <w:bidi w:val="0"/>
              <w:spacing w:before="0" w:after="283"/>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446,631</w:t>
            </w:r>
          </w:p>
        </w:tc>
        <w:tc>
          <w:tcPr>
            <w:tcW w:w="64"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85.8</w:t>
            </w:r>
          </w:p>
        </w:tc>
        <w:tc>
          <w:tcPr>
            <w:tcW w:w="1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497,705</w:t>
            </w:r>
          </w:p>
        </w:tc>
        <w:tc>
          <w:tcPr>
            <w:tcW w:w="64"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(51,074)</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73,697</w:t>
            </w:r>
          </w:p>
        </w:tc>
        <w:tc>
          <w:tcPr>
            <w:tcW w:w="64" w:type="dxa"/>
            <w:tcBorders/>
            <w:shd w:fill="FFFFFF" w:val="clear"/>
            <w:vAlign w:val="center"/>
          </w:tcPr>
          <w:p>
            <w:pPr>
              <w:pStyle w:val="TableContents"/>
              <w:bidi w:val="0"/>
              <w:spacing w:before="0" w:after="283"/>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14.2</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62,546</w:t>
            </w:r>
          </w:p>
        </w:tc>
        <w:tc>
          <w:tcPr>
            <w:tcW w:w="64" w:type="dxa"/>
            <w:tcBorders/>
            <w:shd w:fill="FFFFFF" w:val="clear"/>
            <w:vAlign w:val="center"/>
          </w:tcPr>
          <w:p>
            <w:pPr>
              <w:pStyle w:val="TableContents"/>
              <w:bidi w:val="0"/>
              <w:spacing w:before="0" w:after="283"/>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11,151</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520,328</w:t>
            </w:r>
          </w:p>
        </w:tc>
        <w:tc>
          <w:tcPr>
            <w:tcW w:w="64" w:type="dxa"/>
            <w:tcBorders/>
            <w:shd w:fill="CCEEFF" w:val="clear"/>
            <w:vAlign w:val="center"/>
          </w:tcPr>
          <w:p>
            <w:pPr>
              <w:pStyle w:val="TableContents"/>
              <w:bidi w:val="0"/>
              <w:spacing w:before="0" w:after="283"/>
              <w:jc w:val="left"/>
              <w:rPr/>
            </w:pPr>
            <w:r>
              <w:rPr/>
              <w:t> </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w:t>
            </w:r>
          </w:p>
        </w:tc>
        <w:tc>
          <w:tcPr>
            <w:tcW w:w="1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560,251</w:t>
            </w:r>
          </w:p>
        </w:tc>
        <w:tc>
          <w:tcPr>
            <w:tcW w:w="64" w:type="dxa"/>
            <w:tcBorders/>
            <w:shd w:fill="CCEEFF" w:val="clear"/>
            <w:vAlign w:val="center"/>
          </w:tcPr>
          <w:p>
            <w:pPr>
              <w:pStyle w:val="TableContents"/>
              <w:bidi w:val="0"/>
              <w:spacing w:before="0" w:after="283"/>
              <w:jc w:val="left"/>
              <w:rPr/>
            </w:pPr>
            <w:r>
              <w:rPr/>
              <w:t> </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(39,923)</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the Company sold $375.4 million of one-to-four-family loans, compared to $426.0 million for the same period one year ago. The decrease in loan sales reflects a more competitive market environment and lower purchase volume, partially offset by higher refinance activity.  The Company remains focused on managing loan production capacity and maintaining a pipeline consistent with market demand.  Gross margin on home loan sales was 3.14% for the nine months ended September 30, 2025, compared to 3.06% for the nine months ended September 30, 2024. Gross margin is defined as the margin on loans sold without the impact of deferred loan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both"/>
        <w:rPr>
          <w:sz w:val="20"/>
        </w:rPr>
      </w:pPr>
      <w:r>
        <w:rPr>
          <w:sz w:val="20"/>
        </w:rPr>
        <w:t xml:space="preserve">The ACL on loans totaled $30.1 million, or 1.14%, of gross loans receivable (excluding loans held for sale), at  September 30, 2025, compared to $31.9 million, or 1.26%, at  December 31, 2024. The ACL on unfunded loan commitments increased $675,000 to $2.1 million at  September 30, 2025, from $1.4 million at  December 31, 2024, primarily reflecting growth in commercial and speculative construction and development loan commitments.  Total loans 30 days or more past due decreased to $18.5 million, or 0.70% of total loans, from $22.2 million, or 0.88%, over the same period, reflecting continued repayment performance in the broader loan portfolio.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Nonperforming loans, consisting solely of nonaccrual loans, increased $4.8 million to $18.4 million at  September 30, 2025, from $13.6 million at December 31, 2024.  The increase was primarily due to construction and development CRE loans, which increased $4.2 million to $9.2 million, indirect home improvement loans, which increased $2.1 million to $3.8 million, and one-to-four-family residential loans, which increased $1.6 million to $1.8 million. These increases were partially offset by a decrease of $2.8 million in nonaccrual commercial business loans, to $599,000, and a decrease of $724,000 in nonaccrual CRE owner-occupied loans, to $2.0 million.  The increase in nonperforming loans reflects continued elevated losses in certain consumer loans due to strained economic conditions and in construction and development loans due to a collateral deficiency on a commercial construction project.  The deficiency had been fully reserved in previous periods, accordingly, no offsetting provisions were recorded.  Consequently, the ratio of nonperforming loans to total gross loans rose to 0.70% at September 30, 2025, from 0.54% at December 31, 2024.              </w:t>
      </w:r>
    </w:p>
    <w:p>
      <w:pPr>
        <w:pStyle w:val="TextBody"/>
        <w:bidi w:val="0"/>
        <w:spacing w:before="0" w:after="0"/>
        <w:jc w:val="left"/>
        <w:rPr/>
      </w:pPr>
      <w:r>
        <w:rPr/>
        <w:t xml:space="preserve">  </w:t>
      </w:r>
    </w:p>
    <w:p>
      <w:pPr>
        <w:pStyle w:val="TextBody"/>
        <w:bidi w:val="0"/>
        <w:spacing w:before="0" w:after="0"/>
        <w:jc w:val="both"/>
        <w:rPr>
          <w:sz w:val="20"/>
        </w:rPr>
      </w:pPr>
      <w:r>
        <w:rPr>
          <w:sz w:val="20"/>
        </w:rPr>
        <w:t xml:space="preserve">Classified loans, all of which were classified as substandard, totaled $27.1 million at  September 30, 2025, compared to $22.9 million at December 31, 2024. The coverage ratio of the ACL on loans to nonperforming loans was 163.8% at  September 30, 2025, compared to 234.3% at December 31, 2024. The decline in the coverage ratio primarily reflects the $2.3 million partial charge-off on a CRE loan that was previously reserved combined with the increase in nonperforming loans.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Asset quality trends reflect growth in construction, multi-family, and residential loan segments, ongoing elevated losses in certain consumer loan portfolios, and the Company’s continued risk management and monitoring of nonperforming and substandard exposures.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Liabilities.</w:t>
      </w:r>
      <w:r>
        <w:rPr>
          <w:rFonts w:ascii="Times New Roman" w:hAnsi="Times New Roman"/>
          <w:caps w:val="false"/>
          <w:smallCaps w:val="false"/>
          <w:sz w:val="20"/>
        </w:rPr>
        <w:t xml:space="preserve"> Total liabilities increased $174.9 million to $2.91 billion at September 30, 2025, from $2.73 billion at December 31, 2024, primarily due to an increase of $347.1 million in deposits, offset by a decrease of $178.5 million in borrowings. The loan-to-deposit ratio was approximately 99.3% at September 30, 2025, compared to approximately 109.5% at December 31, 2024, reflecting the mix shift toward deposits, particularly brokered CDs, to fund asset growth and reduce wholesale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deposits increased $347.1 million to $2.69 billion at September 30, 2025, from $2.34 billion at December 31, 2024, reflecting increases in all deposit categories. Transactional accounts (noninterest-bearing checking, interest-bearing checking and escrow accounts) increased $50.7 million to $865.4 million at September 30, 2025, from $814.7 million at December 31, 2024 This increase was due to increases of $23.0 million in interest-bearing checking, $21.0 million in noninterest-bearing checking and $6.7 million in escrow accounts related to mortgages serviced, reflecting higher customer balances and increased activity in mortgage servicing.  Money market and savings accounts increased $25.5 million to $521.3 million at September 30, 2025, from $495.8 million at December 31, 2024, due to customer preference for liquidity and slightly higher balances in retail and business savings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CDs, which include both retail and non-retail CDs, increased $270.9 million to $1.3 billion at September 30, 2025, from $1.03 billion at December 31, 2024.  Retail CDs increased $50.8 million to $924.9 million at September 30, 2025, from $874.1 million at December 31, 2024. Non-retail CDs, which include brokered CDs, online CDs and public funds CDs increased $220.0 million to $374.8 million, compared to $154.8 million at December 31, 2024, was primarily due to an increase of $226.4 million in brokered CDs. Non-retail CDs represented 28.8% and 15.0% of total CDs at September 30, 2025 and December 31, 2024, respectively. The increase in non-retail CDs aligns with the Company's strategy to manage interest rate risk and liquidity by accessing larger and more diversified funding sources at competitive rates that were only slightly higher than local market rates, and to reduce reliance on higher cost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Deposits are summarized as follows at the dates indicated:</w:t>
      </w:r>
    </w:p>
    <w:p>
      <w:pPr>
        <w:pStyle w:val="TextBody"/>
        <w:bidi w:val="0"/>
        <w:spacing w:before="0" w:after="0"/>
        <w:ind w:left="0" w:right="0" w:hanging="0"/>
        <w:jc w:val="both"/>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4055"/>
        <w:gridCol w:w="60"/>
        <w:gridCol w:w="151"/>
        <w:gridCol w:w="1023"/>
        <w:gridCol w:w="60"/>
        <w:gridCol w:w="60"/>
        <w:gridCol w:w="145"/>
        <w:gridCol w:w="984"/>
        <w:gridCol w:w="60"/>
      </w:tblGrid>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checking</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627,679</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176,561</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154,188</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341,615</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CDs less than $100,000 (2)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440,257</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CDs of $100,000 through $250,000</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455,594</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CDs greater than $250,000 (3)</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133,045</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Escrow accounts related to mortgages serviced (4)</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2,686,492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2,339,418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$251,000 and $279,000 of brokered deposits at September 30, 2025 and December 31, 2024,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$369.4 million and $143.1 million of brokered CDs at September 30, 2025 and December 31, 2024,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CDs that meet or exceed the FDIC insurance limit.</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checking.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had uninsured deposits of approximately $694.4 million or 25.8% of total deposits, at September 30, 2025, compared to approximately $652.7 million or 27.9% of total deposits at December 31, 2024. The uninsured amounts are estimates based on the methodologies and assumptions used for the Bank’s regulatory reporting requirements.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Borrowings decreased $178.5 million to $129.3 million at September 30, 2025, from $307.8 million at December 31, 2024.  The decrease reflects the repayment of higher-cost borrowings using lower-cost brokered deposits, consistent with the Company’s funding and liquidity strategy. At September 30, 2025, borrowings were solely comprised of FHLB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Stockholders</w:t>
      </w:r>
      <w:r>
        <w:rPr>
          <w:rFonts w:ascii="Times New Roman;Times;serif" w:hAnsi="Times New Roman;Times;serif"/>
          <w:caps w:val="false"/>
          <w:smallCaps w:val="false"/>
          <w:sz w:val="20"/>
        </w:rPr>
        <w:t xml:space="preserve">’ </w:t>
      </w:r>
      <w:r>
        <w:rPr>
          <w:rFonts w:ascii="Times New Roman;Times;serif" w:hAnsi="Times New Roman;Times;serif"/>
          <w:b/>
          <w:i/>
          <w:caps w:val="false"/>
          <w:smallCaps w:val="false"/>
          <w:sz w:val="20"/>
        </w:rPr>
        <w:t>Equity.</w:t>
      </w:r>
      <w:r>
        <w:rPr>
          <w:rFonts w:ascii="Times New Roman;Times;serif" w:hAnsi="Times New Roman;Times;serif"/>
          <w:caps w:val="false"/>
          <w:smallCaps w:val="false"/>
          <w:sz w:val="20"/>
        </w:rPr>
        <w:t xml:space="preserve"> Total stockholders’ equity increased $4.7 million to $300.5 million at September 30, 2025, from $295.8 million at December 31, 2024.  The increase primarily reflects net income of $24.9 million, partially offset by share repurchases of $13.9 million, cash dividends paid totaling $8.2 million, and $1.6 million in equity award compensation. Additionally, the issuance of common stock under the employee stock purchase plan contributed $937,000, reflecting the issuance of 23,456 shares of Company common stock.  Stockholders' equity was also impacted by the increase in accumulated other comprehensive loss, net of tax of $213,000, primarily due to decreases in unrealized net gains on fair value and cash flow hedges of $4.6 million, net of tax, reflecting changes in market interest rates during the quarter, partially offset by an improvement in unrealized net losses on securities available-for-sale of $4.4 million, net of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Book value per common share was $40.43 at September 30, 2025, compared to $38.26 at December 31, 2024.  The calculation of book value per share at September 30, 2025, was based on 7,432,359 common shares, derived by subtracting the 102,971 unvested restricted stock shares from the 7,535,330 reported common shares outstanding as of that date. Similarly, the book value per share at December 31, 2024, was calculated based on 7,729,951 common shares, after deducting 103,063 unvested restricted stock shares from the 7,833,014 reported common shares outstanding as of that date.</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Comparison of Results of Operations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General. </w:t>
      </w:r>
      <w:r>
        <w:rPr>
          <w:rFonts w:ascii="Times New Roman" w:hAnsi="Times New Roman"/>
          <w:caps w:val="false"/>
          <w:smallCaps w:val="false"/>
          <w:sz w:val="20"/>
        </w:rPr>
        <w:t>Net income was $9.2 million for the three months ended September 30, 2025, compared to $10.3 million for the three months ended September 30, 2024. The decrease was primarily due to a $2.8 million, or 673.8%, increase in  provision for income tax expense, a $796,000, or 52.6%, increase in provision for loan losses, and a $373,000 decrease in total noninterest income, partially offset by a $2.4 million, or 7.8%, increase in net interest income and a $444,000, or 1.7%, reduction in total noninterest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Average Balances, Interest and Average Yields/Cost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7"/>
        <w:gridCol w:w="60"/>
        <w:gridCol w:w="185"/>
        <w:gridCol w:w="1256"/>
        <w:gridCol w:w="185"/>
        <w:gridCol w:w="60"/>
        <w:gridCol w:w="175"/>
        <w:gridCol w:w="828"/>
        <w:gridCol w:w="60"/>
        <w:gridCol w:w="60"/>
        <w:gridCol w:w="88"/>
        <w:gridCol w:w="564"/>
        <w:gridCol w:w="185"/>
        <w:gridCol w:w="60"/>
        <w:gridCol w:w="185"/>
        <w:gridCol w:w="1256"/>
        <w:gridCol w:w="185"/>
        <w:gridCol w:w="60"/>
        <w:gridCol w:w="175"/>
        <w:gridCol w:w="828"/>
        <w:gridCol w:w="60"/>
        <w:gridCol w:w="60"/>
        <w:gridCol w:w="88"/>
        <w:gridCol w:w="564"/>
        <w:gridCol w:w="191"/>
      </w:tblGrid>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67" w:type="dxa"/>
            <w:gridSpan w:val="2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For the Three Months Ended</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2024</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Average Balances</w:t>
            </w:r>
          </w:p>
        </w:tc>
        <w:tc>
          <w:tcPr>
            <w:tcW w:w="60" w:type="dxa"/>
            <w:tcBorders/>
            <w:shd w:fill="FFFFFF" w:val="clear"/>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Balance Outstanding</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Earned/ Paid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Balance Outstanding</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Earned/ Paid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 Rate</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 and loans held for sale (1) (2)</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2,651,111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2,536,106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investment securities (3)(4)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285,111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181,249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exempt securities (3)</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FHLB stock</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34,857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48,546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interest-earning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3,060,502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2,854,848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Noninterest-earning assets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124,955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105,941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3,185,457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2,960,789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498,396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211,031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1,221,748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1,070,760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176,234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191,279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49,567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interest-bearing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2,173,697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1,978,639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668,908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650,852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noninterest-bearing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38,746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2,881,351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2,670,097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income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31,244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rate spread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886,805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876,209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margin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Average interest-earning assets to average interest-bearing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140.80</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564"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144.28</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564" w:type="dxa"/>
            <w:tcBorders/>
            <w:shd w:fill="FFFFFF" w:val="clear"/>
            <w:vAlign w:val="center"/>
          </w:tcPr>
          <w:p>
            <w:pPr>
              <w:pStyle w:val="TableContents"/>
              <w:bidi w:val="0"/>
              <w:spacing w:before="0" w:after="0"/>
              <w:ind w:left="0" w:right="0" w:hanging="0"/>
              <w:jc w:val="right"/>
              <w:rPr/>
            </w:pPr>
            <w:r>
              <w:rPr/>
              <w:t> </w:t>
            </w:r>
          </w:p>
        </w:tc>
        <w:tc>
          <w:tcPr>
            <w:tcW w:w="191"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average loans receivable, net balances include nonaccrual loans carrying a zero yield.</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$1.6 million and $1.3 million for the three months ended September 30, 2025 and 2024, respectively.</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Shown at amortized cost.</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$280,000 and $433,000 for the three months ended September 30, 2025 and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Interest Income. </w:t>
      </w:r>
      <w:r>
        <w:rPr>
          <w:rFonts w:ascii="Times New Roman" w:hAnsi="Times New Roman"/>
          <w:caps w:val="false"/>
          <w:smallCaps w:val="false"/>
          <w:sz w:val="20"/>
        </w:rPr>
        <w:t>Net interest income increased $2.4 million to $33.7 million for the three months ended September 30, 2025, from $31.2 million for the three months ended September 30, 2024, primarily due to an increase in total interest income of $3.9 million, partially offset by an increase in total interest expense of $1.5 million. The $3.9 million increase in total interest income was primarily due to an increase of $2.9 million in interest income on loans receivable, including fees, driven primarily by an 11-basis point increase in the average yield earned on loans receivable as new loans were originated at higher rates and variable-rate loans repriced higher, and a higher average balance of loans outstanding. The $1.5 million increase in total interest expense was primarily the result of a shift in the funding mix toward brokered CDs, which were used to repay higher-cost borrowings in accordance with the Company's funding and liquidity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interest margin (“NIM”) (annualized) increased two basis point to 4.37% for the three months ended September 30, 2025, from 4.35% for the same period the prior year. The change in NIM reflects the increase in yields earned on interest-earning assets, along with a slight improvement in funding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Total interest income for the three months ended September 30, 2025, increased $3.9 million to $51.0 million, from $47.0 million for the three months ended September 30, 2024. The $3.9 million increase in total interest income was primarily due to an increase of $2.9 million in interest income on loans receivable, including fees, primarily as a result of net loan growth and variable rate loans repricing 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compares average interest-earning asset balances, associated yields, and resulting changes in interest income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9104" w:type="dxa"/>
        <w:jc w:val="left"/>
        <w:tblInd w:w="0" w:type="dxa"/>
        <w:tblLayout w:type="fixed"/>
        <w:tblCellMar>
          <w:top w:w="0" w:type="dxa"/>
          <w:left w:w="0" w:type="dxa"/>
          <w:bottom w:w="0" w:type="dxa"/>
          <w:right w:w="0" w:type="dxa"/>
        </w:tblCellMar>
      </w:tblPr>
      <w:tblGrid>
        <w:gridCol w:w="4415"/>
        <w:gridCol w:w="60"/>
        <w:gridCol w:w="132"/>
        <w:gridCol w:w="893"/>
        <w:gridCol w:w="60"/>
        <w:gridCol w:w="60"/>
        <w:gridCol w:w="64"/>
        <w:gridCol w:w="406"/>
        <w:gridCol w:w="185"/>
        <w:gridCol w:w="60"/>
        <w:gridCol w:w="132"/>
        <w:gridCol w:w="893"/>
        <w:gridCol w:w="60"/>
        <w:gridCol w:w="60"/>
        <w:gridCol w:w="64"/>
        <w:gridCol w:w="406"/>
        <w:gridCol w:w="185"/>
        <w:gridCol w:w="60"/>
        <w:gridCol w:w="169"/>
        <w:gridCol w:w="660"/>
        <w:gridCol w:w="80"/>
      </w:tblGrid>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54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Interest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Yield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Yield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net and loans held for sale (1)(2)</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Taxable investment securities (3)(4)</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exempt securities (3)</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at other financial institutions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3,060,502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2,854,848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average loans receivable, net balances include nonaccrual loans carrying a zero yield.</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$1.6 million and $1.3 million for the three months ended September 30, 2025 and 2024, respectively.</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Shown at amortized cost.</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$280,000 and $433,000 for the three months ended September 30, 2025 and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Total interest expense increased $1.5 million to $17.3 million for the three months ended September 30, 2025, from $15.8 million for the comparable quarter in 2024, primarily due to an increase of interest expense on deposits of $1.4 million. The higher deposit costs were a result of an increase in the average balance of deposits, partially offset by a decrease in the average interest paid. The increase in interest expense also reflects a strategic shift in deposit mix towards a higher proportion of CDs and interest-bearing checking accounts, which generally carry higher interest rates in the current market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deposits decreased six basis points to 3.03%, for the three months ended September 30, 2025, compared to 3.09%, for the three months ended September 30, 2024. The average balance of total interest-bearing deposits increased $210.0 million to $1.95 billion for the three months ended September 30, 2025 and 2024, compared to $1.74 billion for the three months ended September 30, 2024. The decrease in the average cost of deposits primarily reflected lower rates paid on CDs, partially offset by higher rates paid on interest-bearing checking, savings, and money market accounts in the current rate environment.  The shift in the deposit mix toward a higher proportion of CDs, which generally bear higher rates than transaction accounts but lower rates than borrowings, also contributed to the change in funding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liabilities decreased three basis points to 3.15% for the three months ended September 30, 2025, from 3.18% for the three months ended September 30, 2024. The average cost of funds, which includes noninterest-bearing checking, increased two basis points to 2.41% for the three months ended September 30, 2025, from 2.39% for the three months ended September 30, 2024, primarily reflecting a lower proportion of noninterest-bearing deposits in the overall funding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details average balances of interest-bearing liabilities, associated rates, and resulting change in interest expense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2600"/>
        <w:gridCol w:w="60"/>
        <w:gridCol w:w="132"/>
        <w:gridCol w:w="893"/>
        <w:gridCol w:w="60"/>
        <w:gridCol w:w="60"/>
        <w:gridCol w:w="60"/>
        <w:gridCol w:w="380"/>
        <w:gridCol w:w="185"/>
        <w:gridCol w:w="60"/>
        <w:gridCol w:w="132"/>
        <w:gridCol w:w="893"/>
        <w:gridCol w:w="60"/>
        <w:gridCol w:w="60"/>
        <w:gridCol w:w="60"/>
        <w:gridCol w:w="380"/>
        <w:gridCol w:w="185"/>
        <w:gridCol w:w="60"/>
        <w:gridCol w:w="169"/>
        <w:gridCol w:w="660"/>
        <w:gridCol w:w="60"/>
      </w:tblGrid>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48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Interest</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and money market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2,173,697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1,978,639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Credit Losses.</w:t>
      </w:r>
      <w:r>
        <w:rPr>
          <w:rFonts w:ascii="Times New Roman" w:hAnsi="Times New Roman"/>
          <w:caps w:val="false"/>
          <w:smallCaps w:val="false"/>
          <w:sz w:val="20"/>
        </w:rPr>
        <w:t xml:space="preserve"> For the three months ended September 30, 2025, the provision for credit losses was $2.3 million, consisting of a $1.9 million provision for credit losses on loans and a $457,000 provision for credit losses on unfunded loan commitments, compared to $1.5 million provision for the three months ended September 30, 2024, consisting of a $1.6 million provision for credit losses on loans, partially offset by a $79,000 reversal of the ACL on unfunded loan commitments. The increase in the provision for credit losses on loans primarily reflects growth in the loan portfolio, an increase in nonperforming loans, and higher net charge-offs.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loan charge-offs totaled $4.0 million for the three months ended September 30, 2025, compared to $1.6 million during the three months ended September 30, 2024. The increase was primarily due to a partial charge-off of $2.3 million on a commercial construction loan. A decline in national and local economic conditions, as a result of the effects of tariffs, inflation, or slowed economic growth, among other factors, could result in a material increase in the ACL on loans and may adversely affect the Company’s financial condition and result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Income. </w:t>
      </w:r>
      <w:r>
        <w:rPr>
          <w:rFonts w:ascii="Times New Roman" w:hAnsi="Times New Roman"/>
          <w:caps w:val="false"/>
          <w:smallCaps w:val="false"/>
          <w:sz w:val="20"/>
        </w:rPr>
        <w:t>Noninterest income decreased $373,000 to $5.6 million for the three months ended September 30, 2025, from $6.0 million for the three months ended September 30, 2024.  The decrease primarily reflects a $156,000 decrease in service charges and fee income and a $141,000 decrease in gain on sale of MSRs as there were no MSR sales in the current quarter compared to sales of $8.4 million during the same period last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Expense. </w:t>
      </w:r>
      <w:r>
        <w:rPr>
          <w:rFonts w:ascii="Times New Roman" w:hAnsi="Times New Roman"/>
          <w:caps w:val="false"/>
          <w:smallCaps w:val="false"/>
          <w:sz w:val="20"/>
        </w:rPr>
        <w:t>Noninterest expense was $25.4 million for the three months ended September 30, 2025, compared to $25.8 million for the three months ended September 30, 2024. The $444,000 decrease was primarily due to a $6,000 recovery in MSRs, compared to the prior year's $506,000 impairment, driven primarily by higher market interest rates, which reduced prepayment risk and increased the estimated value of mortgage servicing rights, a $372,000 decrease in data processing, a $130,000 decrease in professional and board fees, a $118,000 decrease in marketing and advertising, and a $110,000 decrease in amortization of core deposit intangibles. These decreases were partially offset by a $430,000 increase in salaries and benefits, primarily due to competitive wage adjustments and a $147,000 increase in operations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efficiency ratio, which is calculated by dividing noninterest expense by total net interest income and noninterest income, improved to 64.63% for the three months ended September 30, 2025, compared to 69.42% for the three months ended September 30, 2024, due to an increase in net interest income and a slight decrease in noninterest expense.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Income Taxes.</w:t>
      </w:r>
      <w:r>
        <w:rPr>
          <w:rFonts w:ascii="Times New Roman" w:hAnsi="Times New Roman"/>
          <w:caps w:val="false"/>
          <w:smallCaps w:val="false"/>
          <w:sz w:val="20"/>
        </w:rPr>
        <w:t xml:space="preserve"> For the three months ended September 30, 2025, the Company recorded a provision for income taxes of $2.4 million, compared to a $420,000 benefit for income taxes for the three months ended September 30, 2024. The increase in the provision for income taxes was primarily due to the absence of alternative energy tax credits under the Inflation Reduction Act of 2022 for the three months ended September 30, 2025, which were available in the comparable quarter last year.  The effective corporate income tax rates for the three months ended September 30, 2025 and 2024, were 20.8% and (4.3)%,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Comparison of Results of Operations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General. </w:t>
      </w:r>
      <w:r>
        <w:rPr>
          <w:rFonts w:ascii="Times New Roman" w:hAnsi="Times New Roman"/>
          <w:caps w:val="false"/>
          <w:smallCaps w:val="false"/>
          <w:sz w:val="20"/>
        </w:rPr>
        <w:t>Net income was $24.9 million for the nine months ended September 30, 2025, compared to $27.6 million for the nine months ended September 30, 2024. The decrease was primarily due to a $2.7 million, or 3.7%, increase in noninterest expense, a $1.9 million, or 48.5%, increase in provision for credit losses, a $1.8 million increase in the provision for income taxes, and a $1.1 million, or 6.2%, decrease in noninterest income, partially offset by a $4.8 million, or 5.2%, increase in net interest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Average Balances, Interest and Average Yields/Cost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5"/>
        <w:gridCol w:w="60"/>
        <w:gridCol w:w="182"/>
        <w:gridCol w:w="1237"/>
        <w:gridCol w:w="185"/>
        <w:gridCol w:w="60"/>
        <w:gridCol w:w="162"/>
        <w:gridCol w:w="901"/>
        <w:gridCol w:w="60"/>
        <w:gridCol w:w="60"/>
        <w:gridCol w:w="87"/>
        <w:gridCol w:w="558"/>
        <w:gridCol w:w="185"/>
        <w:gridCol w:w="60"/>
        <w:gridCol w:w="182"/>
        <w:gridCol w:w="1237"/>
        <w:gridCol w:w="185"/>
        <w:gridCol w:w="60"/>
        <w:gridCol w:w="162"/>
        <w:gridCol w:w="901"/>
        <w:gridCol w:w="60"/>
        <w:gridCol w:w="60"/>
        <w:gridCol w:w="87"/>
        <w:gridCol w:w="558"/>
        <w:gridCol w:w="191"/>
      </w:tblGrid>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229"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Nine Months Ended</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2024</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Balances</w:t>
            </w:r>
          </w:p>
        </w:tc>
        <w:tc>
          <w:tcPr>
            <w:tcW w:w="60" w:type="dxa"/>
            <w:tcBorders/>
            <w:shd w:fill="FFFFFF" w:val="clear"/>
            <w:vAlign w:val="center"/>
          </w:tcPr>
          <w:p>
            <w:pPr>
              <w:pStyle w:val="TableContents"/>
              <w:bidi w:val="0"/>
              <w:spacing w:before="0" w:after="283"/>
              <w:ind w:left="0" w:right="0" w:hanging="0"/>
              <w:jc w:val="left"/>
              <w:rPr/>
            </w:pPr>
            <w:r>
              <w:rPr/>
              <w:t> </w:t>
            </w:r>
          </w:p>
        </w:tc>
        <w:tc>
          <w:tcPr>
            <w:tcW w:w="14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Balance Outstanding</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Earned/ Paid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Yield/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Balance Outstanding</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Earned/ Paid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Yield/ Rate</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net and loans held for sale (1) (2)</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2,608,338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2,504,129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Taxable investment securities (3)(4)</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exempt securities (3)</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at other financial institutions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49,887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2,988,218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2,857,642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Noninterest-earning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98,099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3,112,003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2,955,741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and money market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505,103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504,453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1,177,136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1,107,878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49,550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interest-bearing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2,111,257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1,982,509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accounts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663,536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648,345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2,809,874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2,672,819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96,784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rate spread</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876,961</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875,133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margin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interest-earning assets to average interest-bearing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average loans receivable, net balances include nonaccrual loans carrying a zero yield.</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$4.2 million and $3.6 million for the nine months ended September 30, 2025 and 2024, respectively.</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Shown at amortized cost.</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$822,000 and $1.3 million for the nine months ended September 30, 2025 and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Interest Income. </w:t>
      </w:r>
      <w:r>
        <w:rPr>
          <w:rFonts w:ascii="Times New Roman" w:hAnsi="Times New Roman"/>
          <w:caps w:val="false"/>
          <w:smallCaps w:val="false"/>
          <w:sz w:val="20"/>
        </w:rPr>
        <w:t>Net interest income increased $4.8 million to $96.8 million for the nine months ended September 30, 2025, from $92.0 million for the nine months ended September 30, 2024, primarily due to an increase in total interest income of $8.6 million, partially offset by an increase in total interest expense of $3.8 million. The increase in total interest income was primarily due to an increase of $7.8 million in interest income on loans receivable, including fees, driven primarily by a 13-basis point increase in the average yield earned on loans receivable as new loans were originated at higher rates and variable-rate loans repriced higher, and a higher average balance of loans outstanding. The $3.8 million increase in total interest expense was primarily the result of a shift in the funding mix toward brokered CDs, which were used to repay higher-cost borrowings in accordance with the Company's funding and liquidity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interest margin (“NIM”) (annualized) increased three basis point to 4.33% for the nine months ended September 30, 2025, from 4.30% for the same period the prior year. The increase in NIM reflects higher yields on interest-earning assets, partially offset by the higher cost of funding and increased average capital relative to the prior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Total interest income for the nine months ended September 30, 2025, increased $8.6 million to $146.5 million, from $137.9 million for the nine months ended September 30, 2024. This increase was primarily due to an increase of $7.8 million in interest income on loans receivable, including fees, resulting from both a higher average balance of loans outstanding and a 13-basis point increase in the average yield on loans as new loans were originated at higher rates and variable-rate loans repriced higher.  Interest income also increased due to higher balances and yields on taxable investments securities and FHLB stock, partially offset by decreases in interest on tax-exempt securities and interest-bearing deposits at other financial institutions, which resulted from lower average balances and yields in those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compares average interest-earning asset balances, associated yields, and resulting changes in interest income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9104" w:type="dxa"/>
        <w:jc w:val="left"/>
        <w:tblInd w:w="0" w:type="dxa"/>
        <w:tblLayout w:type="fixed"/>
        <w:tblCellMar>
          <w:top w:w="0" w:type="dxa"/>
          <w:left w:w="0" w:type="dxa"/>
          <w:bottom w:w="0" w:type="dxa"/>
          <w:right w:w="0" w:type="dxa"/>
        </w:tblCellMar>
      </w:tblPr>
      <w:tblGrid>
        <w:gridCol w:w="4415"/>
        <w:gridCol w:w="60"/>
        <w:gridCol w:w="132"/>
        <w:gridCol w:w="893"/>
        <w:gridCol w:w="60"/>
        <w:gridCol w:w="60"/>
        <w:gridCol w:w="64"/>
        <w:gridCol w:w="406"/>
        <w:gridCol w:w="185"/>
        <w:gridCol w:w="60"/>
        <w:gridCol w:w="132"/>
        <w:gridCol w:w="893"/>
        <w:gridCol w:w="60"/>
        <w:gridCol w:w="60"/>
        <w:gridCol w:w="64"/>
        <w:gridCol w:w="406"/>
        <w:gridCol w:w="185"/>
        <w:gridCol w:w="60"/>
        <w:gridCol w:w="169"/>
        <w:gridCol w:w="660"/>
        <w:gridCol w:w="80"/>
      </w:tblGrid>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54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Interest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Yield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Yield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net and loans held for sale (1)(2)</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7,801</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Taxable investment securities (3)(4)</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exempt securities (3)</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at other financial institutions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2,988,218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2,857,642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average loans receivable, net balances include nonaccrual loans carrying a zero yield.</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net deferred fee recognition of $4.2 million and $3.6 million for the nine months ended September 30, 2025 and 2024, respectively.</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Shown at amortized cost.</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$822,000 and $1.3 million for the nine months ended September 30, 2025 and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Total interest expense increased $3.8 million to $49.7 million for the nine months ended September 30, 2025, from $45.9 million for the same period in 2024. Interest expense on deposits increased $2.8 million, primarily reflecting higher average balances across deposit categories and higher rates on deposit accounts.  The average balance of total interest-bearing deposits increased $91.7 million to $1.88 billion for the nine months ended September 30, 2025, compared to $1.79 billion for the nine months ended September 30, 2024. The average cost of total interest-bearing deposits increased six basis points to 3.02% from 2.96%.  Interest expense on borrowings increased by $987,000, primarily due to higher average balances of borrowings.  The average cost of borrowings declined slightly, reflecting changes in the mix of FHLB advances and other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liabilities increased six basis points to 3.15% for the nine months ended September 30, 2025, compared to 3.09% for the nine months ended September 30, 2024. The average cost of funds, which includes noninterest-bearing checking accounts, increased six basis points to 2.39% for the nine months ended September 30, 2025, from 2.33% for the nine months ended September 30,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details average balances of interest-bearing liabilities, associated rates, and resulting change in interest expense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2600"/>
        <w:gridCol w:w="60"/>
        <w:gridCol w:w="132"/>
        <w:gridCol w:w="893"/>
        <w:gridCol w:w="60"/>
        <w:gridCol w:w="60"/>
        <w:gridCol w:w="60"/>
        <w:gridCol w:w="380"/>
        <w:gridCol w:w="185"/>
        <w:gridCol w:w="60"/>
        <w:gridCol w:w="132"/>
        <w:gridCol w:w="893"/>
        <w:gridCol w:w="60"/>
        <w:gridCol w:w="60"/>
        <w:gridCol w:w="60"/>
        <w:gridCol w:w="380"/>
        <w:gridCol w:w="185"/>
        <w:gridCol w:w="60"/>
        <w:gridCol w:w="169"/>
        <w:gridCol w:w="660"/>
        <w:gridCol w:w="60"/>
      </w:tblGrid>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48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Interest</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and money market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2,111,257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1,982,509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Credit Losses.</w:t>
      </w:r>
      <w:r>
        <w:rPr>
          <w:rFonts w:ascii="Times New Roman" w:hAnsi="Times New Roman"/>
          <w:caps w:val="false"/>
          <w:smallCaps w:val="false"/>
          <w:sz w:val="20"/>
        </w:rPr>
        <w:t xml:space="preserve"> For the nine months ended September 30, 2025, the provision for credit losses was $5.9 million, consisting of a $5.1 million provision for credit losses on loans, a $675,000 provision for credit losses on unfunded loan commitments, and a $175,000 provision for losses on held to maturity investment securities, compared to $4.0 million provision for the nine months ended September 30, 2024, which was entirely attributable to loans. The increase in the provision for credit losses on loans was primarily due to growth in the loan portfolio, an increase in nonperforming loans, and higher net charge-offs.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loan charge-offs totaled $6.9 million, for the nine months ended September 30, 2025, compared to $4.3 million during the nine months ended September 30, 2024.  The increase was primarily due to a partial charge-off of $2.3 million on a commercial construction loan as discussed above, and a $1.3 million increase in net charge-offs on indirect home improvement loans, partially offset by decreases of $695,000 and $312,000 in net charge-offs on commercial business loans and marine loans, respectively. A decline in national and local economic conditions, as a result of the effects of tariffs, inflation or slowed economic growth, among other factors, could result in a material increase in the ACL on loans and may adversely affect the Company’s financial condition and result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Income. </w:t>
      </w:r>
      <w:r>
        <w:rPr>
          <w:rFonts w:ascii="Times New Roman" w:hAnsi="Times New Roman"/>
          <w:caps w:val="false"/>
          <w:smallCaps w:val="false"/>
          <w:sz w:val="20"/>
        </w:rPr>
        <w:t>Noninterest income decreased $1.1 million to $15.9 million for the nine months ended September 30, 2025, compared to $16.9 million for the same period in 2024. This decrease was primarily the result of a $713,000 decrease in gain on sale of loans, reflecting lower sales activity, a $619,000 decrease in service charges and fee income, primarily due to reduced transaction volumes, and a net decrease of $520,000 from no activity in gain on sale of MSRs and loss on sale of investment securities in 2025, compared to an $8.4 million net gain on sale of MSRs partially offset by a $7.8 million loss on sale of investment securities in the first half of 2024.  These decreases were partially offset by a $757,000 increase in other noninterest income, primarily due to a $358,000 gain from sales of nonmarketable equity securities, $219,000 in bank owned life insurance proceeds, and a $152,000 increase in brokered loan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Expense. </w:t>
      </w:r>
      <w:r>
        <w:rPr>
          <w:rFonts w:ascii="Times New Roman" w:hAnsi="Times New Roman"/>
          <w:caps w:val="false"/>
          <w:smallCaps w:val="false"/>
          <w:sz w:val="20"/>
        </w:rPr>
        <w:t>Noninterest expense increased $2.7 million to $75.9 million for the nine months ended September 30, 2025, from $73.2 million for the nine months ended September 30, 2024. The increase was primarily due to increases of $2.1 million in salaries and benefits due to competitive wage adjustments, $889,000 in operations, primarily due to system upgrades, and $401,000 in professional and board fees, partially offset by a $522,000 decrease in the impairment of MSRs, driven primarily by higher market interest rates, which reduced prepayment risk and increased the estimated value of mortgage servicing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efficiency ratio, which is calculated by dividing noninterest expense by total net interest income and noninterest income, weakened to 67.40% for the nine months ended September 30, 2025, compared to 67.21% for the nine months ended September 30, 2024, due to an increase in noninterest expense that outpaced total revenue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Income Taxes.</w:t>
      </w:r>
      <w:r>
        <w:rPr>
          <w:rFonts w:ascii="Times New Roman" w:hAnsi="Times New Roman"/>
          <w:caps w:val="false"/>
          <w:smallCaps w:val="false"/>
          <w:sz w:val="20"/>
        </w:rPr>
        <w:t xml:space="preserve"> For the nine months ended September 30, 2025, the Company recorded a provision for income taxes of $5.9 million, compared to $4.1 million for the nine months ended September 30, 2024. The increase in the income taxes provision was primarily due to the absence of alternative energy tax credits in the current period, as compared to the same period last year.  The effective corporate income tax rates for the nine months ended September 30, 2025 and 2024, were 19.1% and 12.9%,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maintains a liquidity position that it believes will adequately provide funding for loan demand and deposit runoff that may occur in the normal course of business. The Company relies on several different sources to meet potential liquidity demands. The primary sources are increases in deposit accounts, FHLB borrowings,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must maintain an adequate level of liquidity to ensure the availability of sufficient funds to fund its operations. The Bank generally maintains sufficient cash and short-term investments to meet short-term liquidity needs. At September 30, 2025, the Bank’s total borrowing capacity was $636.7 million with the FHLB of Des Moines, with unused borrowing capacity of $504.0 million. The FHLB borrowing limit is based on certain categories of loans, primarily real estate loans that qualify as collateral for FHLB borrowings.  At September 30, 2025, the Bank held approximately $1.07 billion in loans that qualify as collateral for FHLB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availability of liquidity from the FHLB of Des Moines, the Bank maintains a short-term borrowing line with the FRB with a limit of $265.5 million and a combined credit limit of $101.0 million in written federal funds lines of credit through correspondent banking relationships at September 30, 2025. The FRB borrowing limit is based on certain categories of loans, primarily consumer loans that qualify as collateral for FRB line of credit.  At September 30, 2025, the Bank held approximately $585.2 million in loans that qualify as collateral for the FRB line of credit. There were no outstanding borrowings with the FRB or correspondent banks as of September 30, 2025, and $8.0 million at December 31, 2024.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Bank’s Asset and Liability Management Policy permits management to utilize brokered deposits up to 20% of deposits or $538.0 million at September 30, 2025. Total brokered deposits at September 30, 2025 were $369.7 million. Management utilizes brokered deposits to mitigate interest rate risk and to enhance liquidity when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September 30, 2025, outstanding loan commitments, including unused lines of credit totaled $652.3 million. The Company purchased $87.7 million in securities during the nine months ended September 30, 2025. The Company purchased $47.7 million in securities during the nine months ended September 30, 2024. Proceeds from securities repayments, maturities and sales were $38.6 million and $115.3 million during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Bank’s liquidity is also affected by the volume of loans sold and loan principal payments. During the nine months ended September 30, 2025 and 2024, the Bank sold $375.9 million and $426.0 million in loans, respectively.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deposits increased $347.1 million during the nine months ended September 30, 2025, partially driven by a net increase in brokered deposits of $143.0 million. CDs scheduled to mature in three months or less at September 30, 2025, totaled $582.0 million. It is management’s policy to offer deposit rates that are competitive with other local financial institutions. Based on this strategy, management believes that a majority of maturing relationship deposits will remain with the Bank.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remainder of 2025, we project that fixed commitments will include $491,000 of operating lease payments. For information regarding our operating leases, see “Note 6 – Leases” of the Notes to Consolidated Financial Statements included in this report. FHLB borrowings of $68.8 million are scheduled to mature within the next twelve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on the ability of the Bank to make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and other capital distributions from the Bank are subject to regulatory notice and certain restrictions. The unrestricted cash of FS Bancorp held at the Bank on an unconsolidated basis totaled $3.3 million at September 30, 2025.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$0.28 per share, which we believe is a dividend rate per share which enables us to balance our multiple objectives of managing and investing in the Bank and returning a substantial portion of our cash to our shareholders. Assuming continued payment during 2025 at this rate of $0.28 per share, our total dividends paid each quarter would be approximately $2.1 million based on the number of the current outstanding shares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FS Bancorp’s existing stock repurchase program, approximately $826,000 remained available for future repurchases as of September 30, 2025. On October 27 2025, subsequent to quarter-end, the Company publicly announced that its Board of Directors approved an additional stock repurchase program, authorizing the repurchase of up to $5.0 million of Company common stock, in addition to the amount remaining under the existing stock repurchase program.  See “Unregistered Sales of Equity Securities and Use of Proceeds” in Item 2, Part II of this Form 10-Q for additional information relating to stock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is subject to minimum capital requirements imposed by the FDIC. Based on its capital levels at September 30, 2025, the Bank exceeded these requirements as of that date. Consistent with our goals to operate a sound and profitable organization, our policy is for the Bank to maintain a well-capitalized status under the capital categories of the FDIC. Based on capital levels at September 30, 2025, the Bank was considered to be “well capitalized”. At September 30, 2025, the Bank exceeded all regulatory capital requirements with Tier 1 leverage-based capital, Tier 1 risk-based capital, total risk-based capital, and common equity Tier 1 capital ratios of 11.0%, 12.6%, 13.8%, and 12.6%,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mdaend"/>
      <w:bookmarkEnd w:id="13"/>
      <w:r>
        <w:rPr>
          <w:rFonts w:ascii="Times New Roman" w:hAnsi="Times New Roman"/>
          <w:caps w:val="false"/>
          <w:smallCaps w:val="false"/>
          <w:sz w:val="20"/>
        </w:rPr>
        <w:t>As a bank holding company registered with the Federal Reserve, the Company is subject to the capital adequacy requirements of the Federal Reserve. Bank holding companies with $3.0 billion or more in assets are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FS Bancorp is subject to regulatory capital guidelines for bank holding companies with $3.0 billion or more in assets at September 30, 2025, and has exceeded all applicable regulatory capital requirements. The regulatory capital ratios calculated for FS Bancorp at September 30, 2025 were 9.5% for Tier 1 leverage-based capital, 11.0% for Tier 1 risk-based capital, 13.9% for total risk-based capital, and 11.0% for CET 1 capital ratio. For additional information regarding regulatory capital compliance, see the discussion included in “Note 12 – Regulatory Capital” to the Notes to Consolidated Financial Statements included in Part I. Item 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qqd"/>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the market risk disclosures contained in FS Bancorp’s 2024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control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evaluation of the disclosure controls and procedures as defined in Rule 13a</w:t>
        <w:noBreakHyphen/>
        <w:t>15(e) of the Exchange Act was carried out as of September 30, 2025,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the foregoing evaluation, the Company’s CEO and CFO concluded that as of September 30, 2025,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three months ended September 30, 2025,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6" w:name="part2other"/>
      <w:bookmarkEnd w:id="16"/>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legal"/>
      <w:bookmarkEnd w:id="17"/>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risk"/>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the Risk Factors previously disclosed in FS Bancorp’s 2024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9" w:name="unregistered"/>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30"/>
        <w:gridCol w:w="122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common stock repurchases during the three months ended September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33"/>
        <w:gridCol w:w="60"/>
        <w:gridCol w:w="110"/>
        <w:gridCol w:w="1282"/>
        <w:gridCol w:w="60"/>
        <w:gridCol w:w="60"/>
        <w:gridCol w:w="236"/>
        <w:gridCol w:w="921"/>
        <w:gridCol w:w="60"/>
        <w:gridCol w:w="60"/>
        <w:gridCol w:w="214"/>
        <w:gridCol w:w="2483"/>
        <w:gridCol w:w="60"/>
        <w:gridCol w:w="60"/>
        <w:gridCol w:w="363"/>
        <w:gridCol w:w="2477"/>
        <w:gridCol w:w="66"/>
      </w:tblGrid>
      <w:tr>
        <w:trPr/>
        <w:tc>
          <w:tcPr>
            <w:tcW w:w="1633"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Number of Shares Purchased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Paid per Share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9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Number of Shares Repurchased as Part of Publicly Announced Plan or Program</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Maximum Dollar Value of Shares that May Yet Be Repurchased Under the Plan or Program</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2025 - 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2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2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5,025,074</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1633"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2025 - August 31, 2025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2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ind w:left="0" w:right="0" w:hanging="0"/>
              <w:jc w:val="left"/>
              <w:rPr/>
            </w:pPr>
            <w:r>
              <w:rPr/>
              <w:t> </w:t>
            </w:r>
          </w:p>
        </w:tc>
        <w:tc>
          <w:tcPr>
            <w:tcW w:w="9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ind w:left="0" w:right="0" w:hanging="0"/>
              <w:jc w:val="left"/>
              <w:rPr/>
            </w:pPr>
            <w:r>
              <w:rPr/>
              <w:t> </w:t>
            </w:r>
          </w:p>
        </w:tc>
        <w:tc>
          <w:tcPr>
            <w:tcW w:w="2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ind w:left="0" w:right="0" w:hanging="0"/>
              <w:jc w:val="left"/>
              <w:rPr/>
            </w:pPr>
            <w:r>
              <w:rPr/>
              <w:t> </w:t>
            </w:r>
          </w:p>
        </w:tc>
        <w:tc>
          <w:tcPr>
            <w:tcW w:w="24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3,044,422</w:t>
            </w:r>
          </w:p>
        </w:tc>
        <w:tc>
          <w:tcPr>
            <w:tcW w:w="66" w:type="dxa"/>
            <w:tcBorders/>
            <w:shd w:fill="FFFFFF" w:val="clear"/>
            <w:tcMar>
              <w:bottom w:w="0" w:type="dxa"/>
            </w:tcMar>
            <w:vAlign w:val="center"/>
          </w:tcPr>
          <w:p>
            <w:pPr>
              <w:pStyle w:val="TableContents"/>
              <w:bidi w:val="0"/>
              <w:spacing w:before="0" w:after="283"/>
              <w:jc w:val="left"/>
              <w:rPr/>
            </w:pPr>
            <w:r>
              <w:rPr/>
              <w:t> </w:t>
            </w:r>
          </w:p>
        </w:tc>
      </w:tr>
      <w:tr>
        <w:trPr/>
        <w:tc>
          <w:tcPr>
            <w:tcW w:w="16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2025 -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ind w:left="0" w:right="0" w:hanging="0"/>
              <w:jc w:val="left"/>
              <w:rPr/>
            </w:pPr>
            <w:r>
              <w:rPr/>
              <w:t> </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48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ind w:left="0" w:right="0" w:hanging="0"/>
              <w:jc w:val="left"/>
              <w:rPr/>
            </w:pPr>
            <w:r>
              <w:rPr/>
              <w:t> </w:t>
            </w:r>
          </w:p>
        </w:tc>
        <w:tc>
          <w:tcPr>
            <w:tcW w:w="24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825,938</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163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 the quarter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24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825,938</w:t>
            </w:r>
          </w:p>
        </w:tc>
        <w:tc>
          <w:tcPr>
            <w:tcW w:w="6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6,000 shares internally repurchased by the Company acting as the cash counterparty for participants exercising options.  In addition, 10,881 shares that were surrendered by participants in the 2018 Equity Incentive Plan in satisfaction of payment for withholding taxes upon the vesting of restricted stock shares and repurchased by the Company.</w:t>
            </w:r>
          </w:p>
        </w:tc>
      </w:tr>
      <w:tr>
        <w:trPr/>
        <w:tc>
          <w:tcPr>
            <w:tcW w:w="225" w:type="dxa"/>
            <w:tcBorders/>
            <w:vAlign w:val="center"/>
          </w:tcPr>
          <w:p>
            <w:pPr>
              <w:pStyle w:val="TableContents"/>
              <w:bidi w:val="0"/>
              <w:spacing w:before="0" w:after="283"/>
              <w:jc w:val="left"/>
              <w:rPr/>
            </w:pPr>
            <w:r>
              <w:rPr/>
              <w:t>(2)</w:t>
            </w:r>
          </w:p>
        </w:tc>
        <w:tc>
          <w:tcPr>
            <w:tcW w:w="9980" w:type="dxa"/>
            <w:tcBorders/>
            <w:vAlign w:val="center"/>
          </w:tcPr>
          <w:p>
            <w:pPr>
              <w:pStyle w:val="TableContents"/>
              <w:bidi w:val="0"/>
              <w:spacing w:before="0" w:after="283"/>
              <w:jc w:val="both"/>
              <w:rPr/>
            </w:pPr>
            <w:r>
              <w:rPr/>
              <w:t>On April 4, 2025, the Company publicly announced a stock repurchase program, authorizing the repurchase of up to $5.0 million of Company common stock, in addition to any amounts remaining under the prior program.  On July 9, 2025, the Company announced a further program, also authorizing the repurchase of up to $5.0 million of Company common stock, in addition to any amounts remaining under the April 2025 program.  Repurchases under these programs may occur from time to time in the open market, through privately negotiated transactions, or by withholding shares upon the exercise of equity awards, over a 12-month period ending July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defaul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1" w:name="mine"/>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2" w:name="otheritem5"/>
      <w:bookmarkEnd w:id="22"/>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230"/>
        <w:gridCol w:w="5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245"/>
        <w:gridCol w:w="5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Trading Plans.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 September 30, 2025</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director or officer (as defined in Rule </w:t>
            </w:r>
            <w:r>
              <w:rPr>
                <w:rStyle w:val="Emphasis"/>
                <w:rFonts w:ascii="Times New Roman;Times;serif" w:hAnsi="Times New Roman;Times;serif"/>
                <w:caps w:val="false"/>
                <w:smallCaps w:val="false"/>
                <w:sz w:val="20"/>
              </w:rPr>
              <w:t>16a</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 under the Exchange Act) of the Company adopted or terminated a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or “non-Rule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as each term is defined in Item </w:t>
            </w:r>
            <w:r>
              <w:rPr>
                <w:rStyle w:val="Emphasis"/>
                <w:rFonts w:ascii="Times New Roman;Times;serif" w:hAnsi="Times New Roman;Times;serif"/>
                <w:caps w:val="false"/>
                <w:smallCaps w:val="false"/>
                <w:sz w:val="20"/>
              </w:rPr>
              <w:t>408</w:t>
            </w:r>
            <w:r>
              <w:rPr>
                <w:rFonts w:ascii="Times New Roman;Times;serif" w:hAnsi="Times New Roman;Times;serif"/>
                <w:caps w:val="false"/>
                <w:smallCaps w:val="false"/>
                <w:sz w:val="20"/>
              </w:rPr>
              <w:t>(a)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3" w:name="exhibits"/>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6. </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60"/>
        <w:gridCol w:w="9585"/>
      </w:tblGrid>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rPr>
                <w:t>Articles of Incorporation of FS Bancorp, Inc.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Bylaws of FS Bancorp, Inc. (2)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Form of Common Stock Certificate of FS Bancorp, Inc.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Indenture dated February 10, 2021, by and between FS Bancorp, Inc. and U.S. Bank National Association, as trustee (3)</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Forms of 3.75 Fixed-to-Floating Rate Subordinated Notes due 2031 (included as Exhibit A-1 and Exhibit A-2 to the Indenture filed as Exhibit 4.2 hereto (3)</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Severance Agreement between 1st Security Bank of Washington and Joseph C. Adams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Form of Change of Control Agreement between 1st Security Bank of Washington and Matthew D. Mullet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Form of change of control agreement with Donn C. Costa, Dennis O’Leary, Erin Burr, Victoria Jarman, Kelli Nielsen, and May-Ling Sowell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FS Bancorp, Inc. 2018 Equity Incentive Plan (5)</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Form of Incentive Stock Option Award Agreement under the 2018 Equity Incentive Plan (5)</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Form of Non-Qualified Stock Option Award Agreement under the 2018 Equity Incentive Plan (5)</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Form of Restricted Stock Award Agreement under the 2018 Equity Incentive Plan (5)</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FS Bancorp, Inc. Nonqualified 2022 Stock Purchase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Form of Enrollment/Change Form under the FS Bancorp, Inc. Nonqualified 2022 Stock Purchase Plan (6)</w:t>
              </w:r>
            </w:hyperlink>
          </w:p>
        </w:tc>
      </w:tr>
      <w:tr>
        <w:trPr/>
        <w:tc>
          <w:tcPr>
            <w:tcW w:w="560" w:type="dxa"/>
            <w:tcBorders/>
            <w:vAlign w:val="center"/>
          </w:tcPr>
          <w:p>
            <w:pPr>
              <w:pStyle w:val="TableContents"/>
              <w:bidi w:val="0"/>
              <w:spacing w:before="0" w:after="283"/>
              <w:jc w:val="right"/>
              <w:rPr/>
            </w:pPr>
            <w:r>
              <w:rPr/>
              <w:t>10.10</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16">
              <w:r>
                <w:rPr>
                  <w:rStyle w:val="InternetLink"/>
                </w:rPr>
                <w:t>Form of Change of Control Agreement with Shana Allen, Stephanie Nicklaus, and Benjamin Crowl (7)</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852016.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852017.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852018.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852019.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materials from the Company’s Quarterly Report on Form 10</w:t>
              <w:noBreakHyphen/>
              <w:t>Q for the quarter ended September 30, 2025 formatted in Inline Extensible Business Reporting Language (IXBRL): (1) Consolidated Balance Sheets; (2) Consolidated Statements of Income; (3) Consolidated Statements of Comprehensive Income (Loss); (4) Consolidated Statements of Changes in Stockholders’ Equity; (5) Consolidated Statements of Cash Flows; and (6) Notes to Consolidated Financial Statements.</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w:t>
              <w:noBreakHyphen/>
              <w:t>1 (333</w:t>
              <w:noBreakHyphen/>
              <w:t>177125) filed on October 3, 2011, and incorporated by reference.</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w:t>
              <w:noBreakHyphen/>
              <w:t>K filed on July 10, 2013 (File No. 001</w:t>
              <w:noBreakHyphen/>
              <w:t>355589).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11, 2021 (File No. 001-35589).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 2016 (File No. 001</w:t>
              <w:noBreakHyphen/>
              <w:t>35589).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(333-22513) filed on May 23, 2018.</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(333-265729) filed on June 21, 2022.</w:t>
            </w:r>
          </w:p>
        </w:tc>
      </w:tr>
      <w:tr>
        <w:trPr/>
        <w:tc>
          <w:tcPr>
            <w:tcW w:w="560"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Filed as an exhibit to the Registrant's Current Report on Form 8-K filed on February 2, 2024 (File No. 001-35589).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4" w:name="signatures"/>
      <w:bookmarkEnd w:id="24"/>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495"/>
        <w:gridCol w:w="320"/>
        <w:gridCol w:w="3740"/>
      </w:tblGrid>
      <w:tr>
        <w:trPr/>
        <w:tc>
          <w:tcPr>
            <w:tcW w:w="249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FS BANCORP, INC.</w:t>
            </w:r>
          </w:p>
        </w:tc>
      </w:tr>
      <w:tr>
        <w:trPr/>
        <w:tc>
          <w:tcPr>
            <w:tcW w:w="249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10, 2025</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/s/Joseph C. Adams</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C. Adams</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(Duly Authorized Officer)</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Date: November 10, 2025</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r>
      <w:tr>
        <w:trPr/>
        <w:tc>
          <w:tcPr>
            <w:tcW w:w="24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68 </w:t>
      </w:r>
    </w:p>
    <w:p>
      <w:pPr>
        <w:pStyle w:val="TextBody"/>
        <w:bidi w:val="0"/>
        <w:spacing w:before="0" w:after="0"/>
        <w:ind w:left="0" w:right="0" w:hanging="0"/>
        <w:jc w:val="right"/>
        <w:rPr>
          <w:rFonts w:ascii="Times New Roman" w:hAnsi="Times New Roman"/>
          <w:b/>
          <w:caps w:val="false"/>
          <w:smallCaps w:val="false"/>
          <w:sz w:val="20"/>
        </w:rPr>
      </w:pPr>
      <w:bookmarkStart w:id="25" w:name="ex_852016.htm"/>
      <w:bookmarkStart w:id="26" w:name="ksex_852016"/>
      <w:bookmarkEnd w:id="25"/>
      <w:bookmarkEnd w:id="26"/>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Joseph C. Adams, certify that:</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530"/>
        <w:gridCol w:w="1925"/>
        <w:gridCol w:w="60"/>
        <w:gridCol w:w="1940"/>
      </w:tblGrid>
      <w:tr>
        <w:trPr/>
        <w:tc>
          <w:tcPr>
            <w:tcW w:w="530" w:type="dxa"/>
            <w:tcBorders/>
            <w:vAlign w:val="center"/>
          </w:tcPr>
          <w:p>
            <w:pPr>
              <w:pStyle w:val="TableContents"/>
              <w:bidi w:val="0"/>
              <w:spacing w:before="0" w:after="283"/>
              <w:jc w:val="left"/>
              <w:rPr/>
            </w:pPr>
            <w:r>
              <w:rPr/>
              <w:t>Date:</w:t>
            </w:r>
          </w:p>
        </w:tc>
        <w:tc>
          <w:tcPr>
            <w:tcW w:w="1925" w:type="dxa"/>
            <w:tcBorders/>
            <w:vAlign w:val="center"/>
          </w:tcPr>
          <w:p>
            <w:pPr>
              <w:pStyle w:val="TableContents"/>
              <w:bidi w:val="0"/>
              <w:spacing w:before="0" w:after="283"/>
              <w:jc w:val="left"/>
              <w:rPr/>
            </w:pPr>
            <w:r>
              <w:rPr/>
              <w:t>November 10, 2025</w:t>
            </w:r>
          </w:p>
        </w:tc>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283"/>
              <w:jc w:val="left"/>
              <w:rPr/>
            </w:pPr>
            <w:r>
              <w:rPr/>
              <w:t>/s/Joseph C. Adams</w:t>
            </w:r>
          </w:p>
        </w:tc>
      </w:tr>
      <w:tr>
        <w:trPr/>
        <w:tc>
          <w:tcPr>
            <w:tcW w:w="5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C. Adams</w:t>
            </w:r>
          </w:p>
        </w:tc>
      </w:tr>
      <w:tr>
        <w:trPr/>
        <w:tc>
          <w:tcPr>
            <w:tcW w:w="5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852017.htm"/>
      <w:bookmarkStart w:id="28" w:name="ksex_852017"/>
      <w:bookmarkEnd w:id="27"/>
      <w:bookmarkEnd w:id="28"/>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Phillip D. Whittington, certify that:</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48" w:type="dxa"/>
        <w:jc w:val="left"/>
        <w:tblInd w:w="0" w:type="dxa"/>
        <w:tblLayout w:type="fixed"/>
        <w:tblCellMar>
          <w:top w:w="0" w:type="dxa"/>
          <w:left w:w="0" w:type="dxa"/>
          <w:bottom w:w="0" w:type="dxa"/>
          <w:right w:w="0" w:type="dxa"/>
        </w:tblCellMar>
      </w:tblPr>
      <w:tblGrid>
        <w:gridCol w:w="455"/>
        <w:gridCol w:w="1925"/>
        <w:gridCol w:w="23"/>
        <w:gridCol w:w="204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925" w:type="dxa"/>
            <w:tcBorders/>
            <w:vAlign w:val="center"/>
          </w:tcPr>
          <w:p>
            <w:pPr>
              <w:pStyle w:val="TableContents"/>
              <w:bidi w:val="0"/>
              <w:spacing w:before="0" w:after="283"/>
              <w:jc w:val="left"/>
              <w:rPr/>
            </w:pPr>
            <w:r>
              <w:rPr/>
              <w:t>November 10, 2025</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52018.htm"/>
      <w:bookmarkStart w:id="30" w:name="ksex_852018"/>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 of FS Bancorp, Inc. (the “Company”) for the quarter ended </w:t>
      </w:r>
      <w:bookmarkStart w:id="31" w:name="led454827F20244221716409770838"/>
      <w:bookmarkEnd w:id="31"/>
      <w:r>
        <w:rPr>
          <w:rFonts w:ascii="Times New Roman" w:hAnsi="Times New Roman"/>
          <w:caps w:val="false"/>
          <w:smallCaps w:val="false"/>
          <w:sz w:val="20"/>
        </w:rPr>
        <w:t>September 30, 2025 (the “Report”), I, Joseph C. Adams, in my capacity as Chief Executive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4073" w:type="dxa"/>
        <w:jc w:val="left"/>
        <w:tblInd w:w="0" w:type="dxa"/>
        <w:tblLayout w:type="fixed"/>
        <w:tblCellMar>
          <w:top w:w="0" w:type="dxa"/>
          <w:left w:w="0" w:type="dxa"/>
          <w:bottom w:w="0" w:type="dxa"/>
          <w:right w:w="0" w:type="dxa"/>
        </w:tblCellMar>
      </w:tblPr>
      <w:tblGrid>
        <w:gridCol w:w="470"/>
        <w:gridCol w:w="1625"/>
        <w:gridCol w:w="23"/>
        <w:gridCol w:w="1955"/>
      </w:tblGrid>
      <w:tr>
        <w:trPr/>
        <w:tc>
          <w:tcPr>
            <w:tcW w:w="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10, 2025</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/s/Joseph C. Adams</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Joseph C. Adams</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2" w:name="ex_852019.htm"/>
      <w:bookmarkStart w:id="33" w:name="ksex_852019"/>
      <w:bookmarkEnd w:id="32"/>
      <w:bookmarkEnd w:id="33"/>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 of FS Bancorp, Inc. (the “Company”) for the quarter ended </w:t>
      </w:r>
      <w:bookmarkStart w:id="34" w:name="led454827F2023881694142828272"/>
      <w:bookmarkEnd w:id="34"/>
      <w:r>
        <w:rPr>
          <w:rFonts w:ascii="Times New Roman" w:hAnsi="Times New Roman"/>
          <w:caps w:val="false"/>
          <w:smallCaps w:val="false"/>
          <w:sz w:val="20"/>
        </w:rPr>
        <w:t>September 30, 2025 (the “Report”), I, Phillip D. Whittington, in my capacity as Chief Financial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4448" w:type="dxa"/>
        <w:jc w:val="left"/>
        <w:tblInd w:w="0" w:type="dxa"/>
        <w:tblLayout w:type="fixed"/>
        <w:tblCellMar>
          <w:top w:w="0" w:type="dxa"/>
          <w:left w:w="0" w:type="dxa"/>
          <w:bottom w:w="0" w:type="dxa"/>
          <w:right w:w="0" w:type="dxa"/>
        </w:tblCellMar>
      </w:tblPr>
      <w:tblGrid>
        <w:gridCol w:w="455"/>
        <w:gridCol w:w="1925"/>
        <w:gridCol w:w="23"/>
        <w:gridCol w:w="204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925" w:type="dxa"/>
            <w:tcBorders/>
            <w:vAlign w:val="center"/>
          </w:tcPr>
          <w:p>
            <w:pPr>
              <w:pStyle w:val="TableContents"/>
              <w:bidi w:val="0"/>
              <w:spacing w:before="0" w:after="283"/>
              <w:jc w:val="left"/>
              <w:rPr/>
            </w:pPr>
            <w:r>
              <w:rPr/>
              <w:t>November 10, 2025</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0249/000118811211002766/ex3-1.htm" TargetMode="External"/><Relationship Id="rId3" Type="http://schemas.openxmlformats.org/officeDocument/2006/relationships/hyperlink" Target="http://www.sec.gov/Archives/edgar/data/1530249/000093905713000269/ex328k7913.htm" TargetMode="External"/><Relationship Id="rId4" Type="http://schemas.openxmlformats.org/officeDocument/2006/relationships/hyperlink" Target="http://www.sec.gov/Archives/edgar/data/1530249/000118811211002766/ex4-0.htm" TargetMode="External"/><Relationship Id="rId5" Type="http://schemas.openxmlformats.org/officeDocument/2006/relationships/hyperlink" Target="http://www.sec.gov/Archives/edgar/data/1530249/000093905721000056/fsbanc8k21021exh41.htm" TargetMode="External"/><Relationship Id="rId6" Type="http://schemas.openxmlformats.org/officeDocument/2006/relationships/hyperlink" Target="http://www.sec.gov/Archives/edgar/data/1530249/000093905721000056/fsbanc8k21021exh41.htm" TargetMode="External"/><Relationship Id="rId7" Type="http://schemas.openxmlformats.org/officeDocument/2006/relationships/hyperlink" Target="http://www.sec.gov/Archives/edgar/data/1530249/000118811211002766/ex10-1.htm" TargetMode="External"/><Relationship Id="rId8" Type="http://schemas.openxmlformats.org/officeDocument/2006/relationships/hyperlink" Target="http://www.sec.gov/Archives/edgar/data/1530249/000118811211002766/ex10-2.htm" TargetMode="External"/><Relationship Id="rId9" Type="http://schemas.openxmlformats.org/officeDocument/2006/relationships/hyperlink" Target="http://www.sec.gov/Archives/edgar/data/1530249/000093905716000633/exhibit1012116.htm" TargetMode="External"/><Relationship Id="rId10" Type="http://schemas.openxmlformats.org/officeDocument/2006/relationships/hyperlink" Target="http://www.sec.gov/Archives/edgar/data/1530249/000155837018009146/fsbw-20180930ex10108016b.htm" TargetMode="External"/><Relationship Id="rId11" Type="http://schemas.openxmlformats.org/officeDocument/2006/relationships/hyperlink" Target="http://www.sec.gov/Archives/edgar/data/1530249/000093905718000306/fsbancs8518exh102.htm" TargetMode="External"/><Relationship Id="rId12" Type="http://schemas.openxmlformats.org/officeDocument/2006/relationships/hyperlink" Target="http://www.sec.gov/Archives/edgar/data/1530249/000093905718000306/fsbancs8518exh103.htm" TargetMode="External"/><Relationship Id="rId13" Type="http://schemas.openxmlformats.org/officeDocument/2006/relationships/hyperlink" Target="http://www.sec.gov/Archives/edgar/data/1530249/000093905718000306/fsbancs8518exh104.htm" TargetMode="External"/><Relationship Id="rId14" Type="http://schemas.openxmlformats.org/officeDocument/2006/relationships/hyperlink" Target="http://www.sec.gov/Archives/edgar/data/0001530249/000093905722000175/0000939057-22-000175-index.html" TargetMode="External"/><Relationship Id="rId15" Type="http://schemas.openxmlformats.org/officeDocument/2006/relationships/hyperlink" Target="http://www.sec.gov/Archives/edgar/data/0001530249/000093905722000175/ex102s8622.htm" TargetMode="External"/><Relationship Id="rId16" Type="http://schemas.openxmlformats.org/officeDocument/2006/relationships/hyperlink" Target="http://www.sec.gov/Archives/edgar/data/1530249/000093905724000032/fsbanc8k12924exh1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33417</Words>
  <Characters>183752</Characters>
  <CharactersWithSpaces>228202</CharactersWithSpaces>
  <Paragraphs>25689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