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jc w:val="center"/>
        <w:spacing w:after="0" w:line="235" w:lineRule="auto"/>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9" w:lineRule="exact"/>
        <w:rPr>
          <w:sz w:val="24"/>
          <w:szCs w:val="24"/>
          <w:color w:val="auto"/>
        </w:rPr>
      </w:pPr>
    </w:p>
    <w:p>
      <w:pPr>
        <w:ind w:left="3580" w:right="2000" w:hanging="3572"/>
        <w:spacing w:after="0" w:line="500" w:lineRule="auto"/>
        <w:tabs>
          <w:tab w:leader="none" w:pos="57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September 30, 2023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760" w:type="dxa"/>
            <w:vAlign w:val="bottom"/>
            <w:gridSpan w:val="4"/>
          </w:tcPr>
          <w:p>
            <w:pPr>
              <w:ind w:left="3560"/>
              <w:spacing w:after="0"/>
              <w:rPr>
                <w:sz w:val="20"/>
                <w:szCs w:val="20"/>
                <w:color w:val="auto"/>
              </w:rPr>
            </w:pPr>
            <w:r>
              <w:rPr>
                <w:rFonts w:ascii="Arial" w:cs="Arial" w:eastAsia="Arial" w:hAnsi="Arial"/>
                <w:sz w:val="18"/>
                <w:szCs w:val="18"/>
                <w:color w:val="auto"/>
                <w:w w:val="94"/>
              </w:rPr>
              <w:t>For the transition period from</w:t>
            </w: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to</w:t>
            </w:r>
          </w:p>
        </w:tc>
        <w:tc>
          <w:tcPr>
            <w:tcW w:w="800" w:type="dxa"/>
            <w:vAlign w:val="bottom"/>
            <w:tcBorders>
              <w:bottom w:val="single" w:sz="8" w:color="auto"/>
            </w:tcBorders>
          </w:tcPr>
          <w:p>
            <w:pPr>
              <w:spacing w:after="0"/>
              <w:rPr>
                <w:sz w:val="17"/>
                <w:szCs w:val="17"/>
                <w:color w:val="auto"/>
              </w:rPr>
            </w:pPr>
          </w:p>
        </w:tc>
        <w:tc>
          <w:tcPr>
            <w:tcW w:w="3600" w:type="dxa"/>
            <w:vAlign w:val="bottom"/>
          </w:tcPr>
          <w:p>
            <w:pPr>
              <w:spacing w:after="0"/>
              <w:rPr>
                <w:sz w:val="17"/>
                <w:szCs w:val="17"/>
                <w:color w:val="auto"/>
              </w:rPr>
            </w:pPr>
          </w:p>
        </w:tc>
      </w:tr>
      <w:tr>
        <w:trPr>
          <w:trHeight w:val="453"/>
        </w:trPr>
        <w:tc>
          <w:tcPr>
            <w:tcW w:w="11240" w:type="dxa"/>
            <w:vAlign w:val="bottom"/>
            <w:gridSpan w:val="9"/>
          </w:tcPr>
          <w:p>
            <w:pPr>
              <w:jc w:val="center"/>
              <w:spacing w:after="0"/>
              <w:rPr>
                <w:sz w:val="20"/>
                <w:szCs w:val="20"/>
                <w:color w:val="auto"/>
              </w:rPr>
            </w:pPr>
            <w:r>
              <w:rPr>
                <w:rFonts w:ascii="Arial" w:cs="Arial" w:eastAsia="Arial" w:hAnsi="Arial"/>
                <w:sz w:val="18"/>
                <w:szCs w:val="18"/>
                <w:color w:val="auto"/>
                <w:w w:val="91"/>
              </w:rPr>
              <w:t>Commission File Number: 001-35589</w:t>
            </w:r>
          </w:p>
        </w:tc>
      </w:tr>
      <w:tr>
        <w:trPr>
          <w:trHeight w:val="418"/>
        </w:trPr>
        <w:tc>
          <w:tcPr>
            <w:tcW w:w="4660" w:type="dxa"/>
            <w:vAlign w:val="bottom"/>
          </w:tcPr>
          <w:p>
            <w:pPr>
              <w:spacing w:after="0"/>
              <w:rPr>
                <w:sz w:val="24"/>
                <w:szCs w:val="24"/>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Arial" w:cs="Arial" w:eastAsia="Arial" w:hAnsi="Arial"/>
                <w:sz w:val="22"/>
                <w:szCs w:val="22"/>
                <w:b w:val="1"/>
                <w:bCs w:val="1"/>
                <w:color w:val="auto"/>
                <w:w w:val="95"/>
              </w:rPr>
              <w:t>FS BANCORP, INC.</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11240" w:type="dxa"/>
            <w:vAlign w:val="bottom"/>
            <w:gridSpan w:val="9"/>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6580" w:type="dxa"/>
            <w:vAlign w:val="bottom"/>
            <w:gridSpan w:val="6"/>
          </w:tcPr>
          <w:p>
            <w:pPr>
              <w:jc w:val="center"/>
              <w:ind w:right="1060"/>
              <w:spacing w:after="0"/>
              <w:rPr>
                <w:sz w:val="20"/>
                <w:szCs w:val="20"/>
                <w:color w:val="auto"/>
              </w:rPr>
            </w:pPr>
            <w:r>
              <w:rPr>
                <w:rFonts w:ascii="Arial" w:cs="Arial" w:eastAsia="Arial" w:hAnsi="Arial"/>
                <w:sz w:val="18"/>
                <w:szCs w:val="18"/>
                <w:b w:val="1"/>
                <w:bCs w:val="1"/>
                <w:color w:val="auto"/>
                <w:w w:val="89"/>
              </w:rPr>
              <w:t>Washington</w:t>
            </w:r>
          </w:p>
        </w:tc>
        <w:tc>
          <w:tcPr>
            <w:tcW w:w="4660" w:type="dxa"/>
            <w:vAlign w:val="bottom"/>
            <w:gridSpan w:val="3"/>
          </w:tcPr>
          <w:p>
            <w:pPr>
              <w:jc w:val="right"/>
              <w:ind w:right="2320"/>
              <w:spacing w:after="0"/>
              <w:rPr>
                <w:sz w:val="20"/>
                <w:szCs w:val="20"/>
                <w:color w:val="auto"/>
              </w:rPr>
            </w:pPr>
            <w:r>
              <w:rPr>
                <w:rFonts w:ascii="Arial" w:cs="Arial" w:eastAsia="Arial" w:hAnsi="Arial"/>
                <w:sz w:val="18"/>
                <w:szCs w:val="18"/>
                <w:b w:val="1"/>
                <w:bCs w:val="1"/>
                <w:color w:val="auto"/>
              </w:rPr>
              <w:t>45-4585178</w:t>
            </w:r>
          </w:p>
        </w:tc>
      </w:tr>
      <w:tr>
        <w:trPr>
          <w:trHeight w:val="224"/>
        </w:trPr>
        <w:tc>
          <w:tcPr>
            <w:tcW w:w="55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0" w:type="dxa"/>
            <w:vAlign w:val="bottom"/>
            <w:tcBorders>
              <w:top w:val="single" w:sz="8" w:color="auto"/>
            </w:tcBorders>
            <w:gridSpan w:val="2"/>
          </w:tcPr>
          <w:p>
            <w:pPr>
              <w:jc w:val="center"/>
              <w:ind w:right="1120"/>
              <w:spacing w:after="0"/>
              <w:rPr>
                <w:sz w:val="20"/>
                <w:szCs w:val="20"/>
                <w:color w:val="auto"/>
              </w:rPr>
            </w:pPr>
            <w:r>
              <w:rPr>
                <w:rFonts w:ascii="Arial" w:cs="Arial" w:eastAsia="Arial" w:hAnsi="Arial"/>
                <w:sz w:val="18"/>
                <w:szCs w:val="18"/>
                <w:color w:val="auto"/>
                <w:w w:val="94"/>
              </w:rPr>
              <w:t>(IRS Employer Identification No.)</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6920 220th Street SW, Mountlake Terrace, Washington 98043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u w:val="single" w:color="auto"/>
          <w:color w:val="auto"/>
        </w:rPr>
        <w:t>(425) 771</w:t>
      </w:r>
      <w:r>
        <w:rPr>
          <w:rFonts w:ascii="MS PGothic" w:cs="MS PGothic" w:eastAsia="MS PGothic" w:hAnsi="MS PGothic"/>
          <w:sz w:val="18"/>
          <w:szCs w:val="18"/>
          <w:u w:val="single" w:color="auto"/>
          <w:color w:val="auto"/>
        </w:rPr>
        <w:t>‑</w:t>
      </w:r>
      <w:r>
        <w:rPr>
          <w:rFonts w:ascii="Arial" w:cs="Arial" w:eastAsia="Arial" w:hAnsi="Arial"/>
          <w:sz w:val="18"/>
          <w:szCs w:val="18"/>
          <w:b w:val="1"/>
          <w:bCs w:val="1"/>
          <w:u w:val="single" w:color="auto"/>
          <w:color w:val="auto"/>
        </w:rPr>
        <w:t>5299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None</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28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Title of each class</w:t>
            </w:r>
          </w:p>
        </w:tc>
        <w:tc>
          <w:tcPr>
            <w:tcW w:w="272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Trading Symbol(s)</w:t>
            </w:r>
          </w:p>
        </w:tc>
        <w:tc>
          <w:tcPr>
            <w:tcW w:w="424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Name of each exchange on which registered</w:t>
            </w:r>
          </w:p>
        </w:tc>
      </w:tr>
      <w:tr>
        <w:trPr>
          <w:trHeight w:val="210"/>
        </w:trPr>
        <w:tc>
          <w:tcPr>
            <w:tcW w:w="42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Common Stock, par value $.01 per share</w:t>
            </w:r>
          </w:p>
        </w:tc>
        <w:tc>
          <w:tcPr>
            <w:tcW w:w="27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FSBW</w:t>
            </w:r>
          </w:p>
        </w:tc>
        <w:tc>
          <w:tcPr>
            <w:tcW w:w="4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The NASDAQ Stock Market LLC</w:t>
            </w:r>
          </w:p>
        </w:tc>
      </w:tr>
    </w:tbl>
    <w:p>
      <w:pPr>
        <w:spacing w:after="0" w:line="202"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40"/>
        <w:spacing w:after="0" w:line="207" w:lineRule="exact"/>
        <w:tabs>
          <w:tab w:leader="none" w:pos="10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spacing w:after="0" w:line="220"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ectPr>
          <w:pgSz w:w="11900" w:h="16838" w:orient="portrait"/>
          <w:cols w:equalWidth="0" w:num="1">
            <w:col w:w="11240"/>
          </w:cols>
          <w:pgMar w:left="320" w:top="692" w:right="339" w:bottom="1440" w:gutter="0" w:footer="0" w:header="0"/>
        </w:sectPr>
      </w:pPr>
    </w:p>
    <w:p>
      <w:pPr>
        <w:spacing w:after="0" w:line="16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6" w:lineRule="exact"/>
        <w:rPr>
          <w:sz w:val="24"/>
          <w:szCs w:val="24"/>
          <w:color w:val="auto"/>
        </w:rPr>
      </w:pPr>
    </w:p>
    <w:p>
      <w:pPr>
        <w:sectPr>
          <w:pgSz w:w="11900" w:h="16838" w:orient="portrait"/>
          <w:cols w:equalWidth="0" w:num="2">
            <w:col w:w="6700" w:space="720"/>
            <w:col w:w="3820"/>
          </w:cols>
          <w:pgMar w:left="320" w:top="692" w:right="339" w:bottom="1440" w:gutter="0" w:footer="0" w:header="0"/>
          <w:type w:val="continuous"/>
        </w:sectPr>
      </w:pPr>
    </w:p>
    <w:p>
      <w:pPr>
        <w:spacing w:after="0" w:line="32"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tabs>
          <w:tab w:leader="none" w:pos="8340" w:val="left"/>
          <w:tab w:leader="none" w:pos="9260" w:val="left"/>
        </w:tabs>
        <w:rPr>
          <w:sz w:val="20"/>
          <w:szCs w:val="20"/>
          <w:color w:val="auto"/>
        </w:rPr>
      </w:pPr>
      <w:r>
        <w:rPr>
          <w:rFonts w:ascii="Arial" w:cs="Arial" w:eastAsia="Arial" w:hAnsi="Arial"/>
          <w:sz w:val="17"/>
          <w:szCs w:val="17"/>
          <w:color w:val="auto"/>
        </w:rPr>
        <w:t>Indicate by check mark whether the registrant is a shell company (as defined in Rule 12b</w:t>
      </w:r>
      <w:r>
        <w:rPr>
          <w:rFonts w:ascii="MS PGothic" w:cs="MS PGothic" w:eastAsia="MS PGothic" w:hAnsi="MS PGothic"/>
          <w:sz w:val="17"/>
          <w:szCs w:val="17"/>
          <w:color w:val="auto"/>
        </w:rPr>
        <w:t>‑</w:t>
      </w:r>
      <w:r>
        <w:rPr>
          <w:rFonts w:ascii="Arial" w:cs="Arial" w:eastAsia="Arial" w:hAnsi="Arial"/>
          <w:sz w:val="17"/>
          <w:szCs w:val="17"/>
          <w:color w:val="auto"/>
        </w:rPr>
        <w:t>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November 3, 2023, there were 7,797,923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80" w:type="dxa"/>
            <w:vAlign w:val="bottom"/>
            <w:gridSpan w:val="4"/>
          </w:tcPr>
          <w:p>
            <w:pPr>
              <w:spacing w:after="0"/>
              <w:rPr>
                <w:sz w:val="20"/>
                <w:szCs w:val="20"/>
                <w:color w:val="auto"/>
              </w:rPr>
            </w:pPr>
            <w:r>
              <w:rPr>
                <w:rFonts w:ascii="Arial" w:cs="Arial" w:eastAsia="Arial" w:hAnsi="Arial"/>
                <w:sz w:val="18"/>
                <w:szCs w:val="18"/>
                <w:color w:val="0000EE"/>
                <w:w w:val="95"/>
              </w:rPr>
              <w:t>Table of Contents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5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120" w:type="dxa"/>
            <w:vAlign w:val="bottom"/>
            <w:gridSpan w:val="8"/>
          </w:tcPr>
          <w:p>
            <w:pPr>
              <w:jc w:val="center"/>
              <w:ind w:right="2900"/>
              <w:spacing w:after="0"/>
              <w:rPr>
                <w:sz w:val="20"/>
                <w:szCs w:val="20"/>
                <w:color w:val="auto"/>
              </w:rPr>
            </w:pPr>
            <w:r>
              <w:rPr>
                <w:rFonts w:ascii="Arial" w:cs="Arial" w:eastAsia="Arial" w:hAnsi="Arial"/>
                <w:sz w:val="18"/>
                <w:szCs w:val="18"/>
                <w:b w:val="1"/>
                <w:bCs w:val="1"/>
                <w:color w:val="auto"/>
                <w:w w:val="91"/>
              </w:rPr>
              <w:t>FS Bancorp, Inc.</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120" w:type="dxa"/>
            <w:vAlign w:val="bottom"/>
            <w:gridSpan w:val="8"/>
          </w:tcPr>
          <w:p>
            <w:pPr>
              <w:jc w:val="center"/>
              <w:ind w:right="2900"/>
              <w:spacing w:after="0" w:line="207" w:lineRule="exact"/>
              <w:rPr>
                <w:sz w:val="20"/>
                <w:szCs w:val="20"/>
                <w:color w:val="auto"/>
              </w:rPr>
            </w:pPr>
            <w:r>
              <w:rPr>
                <w:rFonts w:ascii="Arial" w:cs="Arial" w:eastAsia="Arial" w:hAnsi="Arial"/>
                <w:sz w:val="18"/>
                <w:szCs w:val="18"/>
                <w:b w:val="1"/>
                <w:bCs w:val="1"/>
                <w:color w:val="auto"/>
                <w:w w:val="95"/>
              </w:rPr>
              <w:t>Form 10</w:t>
            </w:r>
            <w:r>
              <w:rPr>
                <w:rFonts w:ascii="MS PGothic" w:cs="MS PGothic" w:eastAsia="MS PGothic" w:hAnsi="MS PGothic"/>
                <w:sz w:val="18"/>
                <w:szCs w:val="18"/>
                <w:color w:val="auto"/>
                <w:w w:val="95"/>
              </w:rPr>
              <w:t>‑</w:t>
            </w:r>
            <w:r>
              <w:rPr>
                <w:rFonts w:ascii="Arial" w:cs="Arial" w:eastAsia="Arial" w:hAnsi="Arial"/>
                <w:sz w:val="18"/>
                <w:szCs w:val="18"/>
                <w:b w:val="1"/>
                <w:bCs w:val="1"/>
                <w:color w:val="auto"/>
                <w:w w:val="95"/>
              </w:rPr>
              <w:t>Q</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120" w:type="dxa"/>
            <w:vAlign w:val="bottom"/>
            <w:gridSpan w:val="8"/>
          </w:tcPr>
          <w:p>
            <w:pPr>
              <w:jc w:val="center"/>
              <w:ind w:right="2920"/>
              <w:spacing w:after="0"/>
              <w:rPr>
                <w:sz w:val="20"/>
                <w:szCs w:val="20"/>
                <w:color w:val="auto"/>
              </w:rPr>
            </w:pPr>
            <w:r>
              <w:rPr>
                <w:rFonts w:ascii="Arial" w:cs="Arial" w:eastAsia="Arial" w:hAnsi="Arial"/>
                <w:sz w:val="18"/>
                <w:szCs w:val="18"/>
                <w:color w:val="auto"/>
                <w:w w:val="90"/>
              </w:rPr>
              <w:t>Table of Contents</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PART I</w:t>
            </w:r>
          </w:p>
        </w:tc>
        <w:tc>
          <w:tcPr>
            <w:tcW w:w="826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1600" w:type="dxa"/>
            <w:vAlign w:val="bottom"/>
            <w:gridSpan w:val="6"/>
          </w:tcPr>
          <w:p>
            <w:pPr>
              <w:jc w:val="right"/>
              <w:ind w:right="80"/>
              <w:spacing w:after="0"/>
              <w:rPr>
                <w:sz w:val="20"/>
                <w:szCs w:val="20"/>
                <w:color w:val="auto"/>
              </w:rPr>
            </w:pPr>
            <w:r>
              <w:rPr>
                <w:rFonts w:ascii="Arial" w:cs="Arial" w:eastAsia="Arial" w:hAnsi="Arial"/>
                <w:sz w:val="18"/>
                <w:szCs w:val="18"/>
                <w:b w:val="1"/>
                <w:bCs w:val="1"/>
                <w:color w:val="auto"/>
              </w:rPr>
              <w:t>Page Number</w:t>
            </w:r>
          </w:p>
        </w:tc>
        <w:tc>
          <w:tcPr>
            <w:tcW w:w="0" w:type="dxa"/>
            <w:vAlign w:val="bottom"/>
          </w:tcPr>
          <w:p>
            <w:pPr>
              <w:spacing w:after="0"/>
              <w:rPr>
                <w:sz w:val="1"/>
                <w:szCs w:val="1"/>
                <w:color w:val="auto"/>
              </w:rPr>
            </w:pPr>
          </w:p>
        </w:tc>
      </w:tr>
      <w:tr>
        <w:trPr>
          <w:trHeight w:val="216"/>
        </w:trPr>
        <w:tc>
          <w:tcPr>
            <w:tcW w:w="1380" w:type="dxa"/>
            <w:vAlign w:val="bottom"/>
            <w:gridSpan w:val="4"/>
            <w:vMerge w:val="continue"/>
          </w:tcPr>
          <w:p>
            <w:pPr>
              <w:spacing w:after="0"/>
              <w:rPr>
                <w:sz w:val="18"/>
                <w:szCs w:val="18"/>
                <w:color w:val="auto"/>
              </w:rPr>
            </w:pPr>
          </w:p>
        </w:tc>
        <w:tc>
          <w:tcPr>
            <w:tcW w:w="8260" w:type="dxa"/>
            <w:vAlign w:val="bottom"/>
            <w:gridSpan w:val="19"/>
            <w:vMerge w:val="continue"/>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1.</w:t>
            </w:r>
          </w:p>
        </w:tc>
        <w:tc>
          <w:tcPr>
            <w:tcW w:w="860" w:type="dxa"/>
            <w:vAlign w:val="bottom"/>
            <w:gridSpan w:val="3"/>
          </w:tcPr>
          <w:p>
            <w:pPr>
              <w:spacing w:after="0"/>
              <w:rPr>
                <w:sz w:val="24"/>
                <w:szCs w:val="24"/>
                <w:color w:val="auto"/>
              </w:rPr>
            </w:pPr>
          </w:p>
        </w:tc>
        <w:tc>
          <w:tcPr>
            <w:tcW w:w="15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8"/>
              </w:rPr>
              <w:t>Financial Statements</w:t>
            </w:r>
          </w:p>
        </w:tc>
        <w:tc>
          <w:tcPr>
            <w:tcW w:w="6760" w:type="dxa"/>
            <w:vAlign w:val="bottom"/>
            <w:gridSpan w:val="13"/>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60" w:type="dxa"/>
            <w:vAlign w:val="bottom"/>
            <w:gridSpan w:val="19"/>
          </w:tcPr>
          <w:p>
            <w:pPr>
              <w:spacing w:after="0"/>
              <w:rPr>
                <w:sz w:val="20"/>
                <w:szCs w:val="20"/>
                <w:color w:val="auto"/>
              </w:rPr>
            </w:pPr>
            <w:r>
              <w:rPr>
                <w:rFonts w:ascii="Arial" w:cs="Arial" w:eastAsia="Arial" w:hAnsi="Arial"/>
                <w:sz w:val="18"/>
                <w:szCs w:val="18"/>
                <w:color w:val="0000EE"/>
              </w:rPr>
              <w:t>Consolidated Balance Sheets at September 30, 2023 (Unaudited) and December 31, 2022</w:t>
            </w:r>
          </w:p>
        </w:tc>
        <w:tc>
          <w:tcPr>
            <w:tcW w:w="1600" w:type="dxa"/>
            <w:vAlign w:val="bottom"/>
            <w:gridSpan w:val="6"/>
          </w:tcPr>
          <w:p>
            <w:pPr>
              <w:jc w:val="right"/>
              <w:spacing w:after="0"/>
              <w:rPr>
                <w:sz w:val="20"/>
                <w:szCs w:val="20"/>
                <w:color w:val="auto"/>
              </w:rPr>
            </w:pPr>
            <w:r>
              <w:rPr>
                <w:rFonts w:ascii="Arial" w:cs="Arial" w:eastAsia="Arial" w:hAnsi="Arial"/>
                <w:sz w:val="18"/>
                <w:szCs w:val="18"/>
                <w:color w:val="0000EE"/>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4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9"/>
              </w:rPr>
              <w:t>Consolidated Statements of Income for the Three and Nine Months Ended September 30, 2023 and 2022</w:t>
            </w:r>
          </w:p>
        </w:tc>
        <w:tc>
          <w:tcPr>
            <w:tcW w:w="720" w:type="dxa"/>
            <w:vAlign w:val="bottom"/>
            <w:gridSpan w:val="3"/>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60" w:type="dxa"/>
            <w:vAlign w:val="bottom"/>
            <w:gridSpan w:val="19"/>
          </w:tcPr>
          <w:p>
            <w:pPr>
              <w:spacing w:after="0" w:line="196" w:lineRule="exact"/>
              <w:rPr>
                <w:sz w:val="20"/>
                <w:szCs w:val="20"/>
                <w:color w:val="auto"/>
              </w:rPr>
            </w:pPr>
            <w:r>
              <w:rPr>
                <w:rFonts w:ascii="Arial" w:cs="Arial" w:eastAsia="Arial" w:hAnsi="Arial"/>
                <w:sz w:val="18"/>
                <w:szCs w:val="18"/>
                <w:color w:val="0000EE"/>
              </w:rPr>
              <w:t>(Unaudited)</w:t>
            </w:r>
          </w:p>
        </w:tc>
        <w:tc>
          <w:tcPr>
            <w:tcW w:w="1600" w:type="dxa"/>
            <w:vAlign w:val="bottom"/>
            <w:gridSpan w:val="6"/>
          </w:tcPr>
          <w:p>
            <w:pPr>
              <w:jc w:val="right"/>
              <w:spacing w:after="0" w:line="196" w:lineRule="exact"/>
              <w:rPr>
                <w:sz w:val="20"/>
                <w:szCs w:val="20"/>
                <w:color w:val="auto"/>
              </w:rPr>
            </w:pPr>
            <w:r>
              <w:rPr>
                <w:rFonts w:ascii="Arial" w:cs="Arial" w:eastAsia="Arial" w:hAnsi="Arial"/>
                <w:sz w:val="18"/>
                <w:szCs w:val="18"/>
                <w:color w:val="0000EE"/>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60" w:type="dxa"/>
            <w:vAlign w:val="bottom"/>
            <w:gridSpan w:val="19"/>
          </w:tcPr>
          <w:p>
            <w:pPr>
              <w:spacing w:after="0"/>
              <w:rPr>
                <w:sz w:val="20"/>
                <w:szCs w:val="20"/>
                <w:color w:val="auto"/>
              </w:rPr>
            </w:pPr>
            <w:r>
              <w:rPr>
                <w:rFonts w:ascii="Arial" w:cs="Arial" w:eastAsia="Arial" w:hAnsi="Arial"/>
                <w:sz w:val="18"/>
                <w:szCs w:val="18"/>
                <w:color w:val="0000EE"/>
                <w:w w:val="91"/>
              </w:rPr>
              <w:t>Consolidated Statements of Comprehensive Income (Loss) for the Three and Nine Months Ended September 30,</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2023 and 2022 (Unaudited)</w:t>
            </w:r>
          </w:p>
        </w:tc>
        <w:tc>
          <w:tcPr>
            <w:tcW w:w="6120" w:type="dxa"/>
            <w:vAlign w:val="bottom"/>
            <w:tcBorders>
              <w:top w:val="single" w:sz="8" w:color="0000EE"/>
            </w:tcBorders>
            <w:gridSpan w:val="10"/>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6"/>
          </w:tcPr>
          <w:p>
            <w:pPr>
              <w:jc w:val="right"/>
              <w:spacing w:after="0" w:line="196" w:lineRule="exact"/>
              <w:rPr>
                <w:sz w:val="20"/>
                <w:szCs w:val="20"/>
                <w:color w:val="auto"/>
              </w:rPr>
            </w:pPr>
            <w:r>
              <w:rPr>
                <w:rFonts w:ascii="Arial" w:cs="Arial" w:eastAsia="Arial" w:hAnsi="Arial"/>
                <w:sz w:val="18"/>
                <w:szCs w:val="18"/>
                <w:color w:val="0000EE"/>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6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0"/>
              </w:rPr>
              <w:t>Consolidated Statements of Changes in Stockholders’ Equity for the Three and Nine Months Ended September 30,</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8"/>
          </w:tcPr>
          <w:p>
            <w:pPr>
              <w:spacing w:after="0" w:line="196" w:lineRule="exact"/>
              <w:rPr>
                <w:sz w:val="20"/>
                <w:szCs w:val="20"/>
                <w:color w:val="auto"/>
              </w:rPr>
            </w:pPr>
            <w:r>
              <w:rPr>
                <w:rFonts w:ascii="Arial" w:cs="Arial" w:eastAsia="Arial" w:hAnsi="Arial"/>
                <w:sz w:val="18"/>
                <w:szCs w:val="18"/>
                <w:color w:val="0000EE"/>
                <w:w w:val="89"/>
              </w:rPr>
              <w:t>2023 and 2022 (Unaudited)</w:t>
            </w:r>
          </w:p>
        </w:tc>
        <w:tc>
          <w:tcPr>
            <w:tcW w:w="6280" w:type="dxa"/>
            <w:vAlign w:val="bottom"/>
            <w:gridSpan w:val="11"/>
          </w:tcPr>
          <w:p>
            <w:pPr>
              <w:spacing w:after="0"/>
              <w:rPr>
                <w:sz w:val="17"/>
                <w:szCs w:val="17"/>
                <w:color w:val="auto"/>
              </w:rPr>
            </w:pPr>
          </w:p>
        </w:tc>
        <w:tc>
          <w:tcPr>
            <w:tcW w:w="1600" w:type="dxa"/>
            <w:vAlign w:val="bottom"/>
            <w:gridSpan w:val="6"/>
          </w:tcPr>
          <w:p>
            <w:pPr>
              <w:jc w:val="right"/>
              <w:spacing w:after="0" w:line="196" w:lineRule="exact"/>
              <w:rPr>
                <w:sz w:val="20"/>
                <w:szCs w:val="20"/>
                <w:color w:val="auto"/>
              </w:rPr>
            </w:pPr>
            <w:r>
              <w:rPr>
                <w:rFonts w:ascii="Arial" w:cs="Arial" w:eastAsia="Arial" w:hAnsi="Arial"/>
                <w:sz w:val="18"/>
                <w:szCs w:val="18"/>
                <w:color w:val="0000EE"/>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60" w:type="dxa"/>
            <w:vAlign w:val="bottom"/>
            <w:gridSpan w:val="19"/>
          </w:tcPr>
          <w:p>
            <w:pPr>
              <w:spacing w:after="0"/>
              <w:rPr>
                <w:sz w:val="20"/>
                <w:szCs w:val="20"/>
                <w:color w:val="auto"/>
              </w:rPr>
            </w:pPr>
            <w:r>
              <w:rPr>
                <w:rFonts w:ascii="Arial" w:cs="Arial" w:eastAsia="Arial" w:hAnsi="Arial"/>
                <w:sz w:val="18"/>
                <w:szCs w:val="18"/>
                <w:color w:val="0000EE"/>
                <w:w w:val="92"/>
              </w:rPr>
              <w:t>Consolidated Statements of Cash Flows for the Nine Months Ended September 30, 2023 and 2022 (Unaudited)</w:t>
            </w:r>
          </w:p>
        </w:tc>
        <w:tc>
          <w:tcPr>
            <w:tcW w:w="1600" w:type="dxa"/>
            <w:vAlign w:val="bottom"/>
            <w:gridSpan w:val="6"/>
          </w:tcPr>
          <w:p>
            <w:pPr>
              <w:jc w:val="right"/>
              <w:spacing w:after="0"/>
              <w:rPr>
                <w:sz w:val="20"/>
                <w:szCs w:val="20"/>
                <w:color w:val="auto"/>
              </w:rPr>
            </w:pPr>
            <w:r>
              <w:rPr>
                <w:rFonts w:ascii="Arial" w:cs="Arial" w:eastAsia="Arial" w:hAnsi="Arial"/>
                <w:sz w:val="18"/>
                <w:szCs w:val="18"/>
                <w:color w:val="0000EE"/>
              </w:rPr>
              <w:t xml:space="preserve">8 </w:t>
            </w:r>
            <w:r>
              <w:rPr>
                <w:rFonts w:ascii="Arial" w:cs="Arial" w:eastAsia="Arial" w:hAnsi="Arial"/>
                <w:sz w:val="18"/>
                <w:szCs w:val="18"/>
                <w:color w:val="000000"/>
              </w:rPr>
              <w:t>-</w:t>
            </w:r>
            <w:r>
              <w:rPr>
                <w:rFonts w:ascii="Arial" w:cs="Arial" w:eastAsia="Arial" w:hAnsi="Arial"/>
                <w:sz w:val="18"/>
                <w:szCs w:val="18"/>
                <w:color w:val="0000EE"/>
              </w:rPr>
              <w:t xml:space="preserve"> 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11"/>
          </w:tcPr>
          <w:p>
            <w:pPr>
              <w:spacing w:after="0"/>
              <w:rPr>
                <w:sz w:val="20"/>
                <w:szCs w:val="20"/>
                <w:color w:val="auto"/>
              </w:rPr>
            </w:pPr>
            <w:r>
              <w:rPr>
                <w:rFonts w:ascii="Arial" w:cs="Arial" w:eastAsia="Arial" w:hAnsi="Arial"/>
                <w:sz w:val="18"/>
                <w:szCs w:val="18"/>
                <w:color w:val="0000EE"/>
                <w:w w:val="89"/>
              </w:rPr>
              <w:t>Notes to Consolidated Financial Statements</w:t>
            </w:r>
          </w:p>
        </w:tc>
        <w:tc>
          <w:tcPr>
            <w:tcW w:w="4840" w:type="dxa"/>
            <w:vAlign w:val="bottom"/>
            <w:gridSpan w:val="6"/>
          </w:tcPr>
          <w:p>
            <w:pPr>
              <w:spacing w:after="0"/>
              <w:rPr>
                <w:sz w:val="24"/>
                <w:szCs w:val="24"/>
                <w:color w:val="auto"/>
              </w:rPr>
            </w:pPr>
          </w:p>
        </w:tc>
        <w:tc>
          <w:tcPr>
            <w:tcW w:w="280" w:type="dxa"/>
            <w:vAlign w:val="bottom"/>
            <w:gridSpan w:val="2"/>
          </w:tcPr>
          <w:p>
            <w:pPr>
              <w:spacing w:after="0"/>
              <w:rPr>
                <w:sz w:val="24"/>
                <w:szCs w:val="24"/>
                <w:color w:val="auto"/>
              </w:rPr>
            </w:pPr>
          </w:p>
        </w:tc>
        <w:tc>
          <w:tcPr>
            <w:tcW w:w="1600" w:type="dxa"/>
            <w:vAlign w:val="bottom"/>
            <w:gridSpan w:val="6"/>
          </w:tcPr>
          <w:p>
            <w:pPr>
              <w:jc w:val="right"/>
              <w:spacing w:after="0"/>
              <w:rPr>
                <w:sz w:val="20"/>
                <w:szCs w:val="20"/>
                <w:color w:val="auto"/>
              </w:rPr>
            </w:pPr>
            <w:r>
              <w:rPr>
                <w:rFonts w:ascii="Arial" w:cs="Arial" w:eastAsia="Arial" w:hAnsi="Arial"/>
                <w:sz w:val="18"/>
                <w:szCs w:val="18"/>
                <w:color w:val="0000EE"/>
              </w:rPr>
              <w:t xml:space="preserve">10 </w:t>
            </w:r>
            <w:r>
              <w:rPr>
                <w:rFonts w:ascii="Arial" w:cs="Arial" w:eastAsia="Arial" w:hAnsi="Arial"/>
                <w:sz w:val="18"/>
                <w:szCs w:val="18"/>
                <w:color w:val="000000"/>
              </w:rPr>
              <w:t>-</w:t>
            </w:r>
            <w:r>
              <w:rPr>
                <w:rFonts w:ascii="Arial" w:cs="Arial" w:eastAsia="Arial" w:hAnsi="Arial"/>
                <w:sz w:val="18"/>
                <w:szCs w:val="18"/>
                <w:color w:val="0000EE"/>
              </w:rPr>
              <w:t xml:space="preserve"> 47</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gridSpan w:val="4"/>
          </w:tcPr>
          <w:p>
            <w:pPr>
              <w:spacing w:after="0"/>
              <w:rPr>
                <w:sz w:val="20"/>
                <w:szCs w:val="20"/>
                <w:color w:val="auto"/>
              </w:rPr>
            </w:pPr>
            <w:r>
              <w:rPr>
                <w:rFonts w:ascii="Arial" w:cs="Arial" w:eastAsia="Arial" w:hAnsi="Arial"/>
                <w:sz w:val="18"/>
                <w:szCs w:val="18"/>
                <w:color w:val="auto"/>
              </w:rPr>
              <w:t>Item 2.</w:t>
            </w:r>
          </w:p>
        </w:tc>
        <w:tc>
          <w:tcPr>
            <w:tcW w:w="8260" w:type="dxa"/>
            <w:vAlign w:val="bottom"/>
            <w:gridSpan w:val="19"/>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600" w:type="dxa"/>
            <w:vAlign w:val="bottom"/>
            <w:gridSpan w:val="6"/>
          </w:tcPr>
          <w:p>
            <w:pPr>
              <w:jc w:val="right"/>
              <w:spacing w:after="0"/>
              <w:rPr>
                <w:sz w:val="20"/>
                <w:szCs w:val="20"/>
                <w:color w:val="auto"/>
              </w:rPr>
            </w:pPr>
            <w:r>
              <w:rPr>
                <w:rFonts w:ascii="Arial" w:cs="Arial" w:eastAsia="Arial" w:hAnsi="Arial"/>
                <w:sz w:val="18"/>
                <w:szCs w:val="18"/>
                <w:color w:val="0000EE"/>
              </w:rPr>
              <w:t xml:space="preserve">48 </w:t>
            </w:r>
            <w:r>
              <w:rPr>
                <w:rFonts w:ascii="Arial" w:cs="Arial" w:eastAsia="Arial" w:hAnsi="Arial"/>
                <w:sz w:val="18"/>
                <w:szCs w:val="18"/>
                <w:color w:val="000000"/>
              </w:rPr>
              <w:t>-</w:t>
            </w:r>
            <w:r>
              <w:rPr>
                <w:rFonts w:ascii="Arial" w:cs="Arial" w:eastAsia="Arial" w:hAnsi="Arial"/>
                <w:sz w:val="18"/>
                <w:szCs w:val="18"/>
                <w:color w:val="0000EE"/>
              </w:rPr>
              <w:t xml:space="preserve"> 65</w:t>
            </w:r>
          </w:p>
        </w:tc>
        <w:tc>
          <w:tcPr>
            <w:tcW w:w="0" w:type="dxa"/>
            <w:vAlign w:val="bottom"/>
          </w:tcPr>
          <w:p>
            <w:pPr>
              <w:spacing w:after="0"/>
              <w:rPr>
                <w:sz w:val="1"/>
                <w:szCs w:val="1"/>
                <w:color w:val="auto"/>
              </w:rPr>
            </w:pPr>
          </w:p>
        </w:tc>
      </w:tr>
      <w:tr>
        <w:trPr>
          <w:trHeight w:val="412"/>
        </w:trPr>
        <w:tc>
          <w:tcPr>
            <w:tcW w:w="1380" w:type="dxa"/>
            <w:vAlign w:val="bottom"/>
            <w:gridSpan w:val="4"/>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1820" w:type="dxa"/>
            <w:vAlign w:val="bottom"/>
            <w:gridSpan w:val="5"/>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65</w:t>
            </w:r>
          </w:p>
        </w:tc>
        <w:tc>
          <w:tcPr>
            <w:tcW w:w="0" w:type="dxa"/>
            <w:vAlign w:val="bottom"/>
          </w:tcPr>
          <w:p>
            <w:pPr>
              <w:spacing w:after="0"/>
              <w:rPr>
                <w:sz w:val="1"/>
                <w:szCs w:val="1"/>
                <w:color w:val="auto"/>
              </w:rPr>
            </w:pPr>
          </w:p>
        </w:tc>
      </w:tr>
      <w:tr>
        <w:trPr>
          <w:trHeight w:val="412"/>
        </w:trPr>
        <w:tc>
          <w:tcPr>
            <w:tcW w:w="1380" w:type="dxa"/>
            <w:vAlign w:val="bottom"/>
            <w:gridSpan w:val="4"/>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Controls and Procedures</w:t>
            </w:r>
          </w:p>
        </w:tc>
        <w:tc>
          <w:tcPr>
            <w:tcW w:w="3920" w:type="dxa"/>
            <w:vAlign w:val="bottom"/>
            <w:gridSpan w:val="7"/>
          </w:tcPr>
          <w:p>
            <w:pPr>
              <w:spacing w:after="0"/>
              <w:rPr>
                <w:sz w:val="24"/>
                <w:szCs w:val="24"/>
                <w:color w:val="auto"/>
              </w:rPr>
            </w:pPr>
          </w:p>
        </w:tc>
        <w:tc>
          <w:tcPr>
            <w:tcW w:w="1420" w:type="dxa"/>
            <w:vAlign w:val="bottom"/>
            <w:gridSpan w:val="4"/>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65</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b w:val="1"/>
                <w:bCs w:val="1"/>
                <w:color w:val="0000EE"/>
              </w:rPr>
              <w:t>OTHER INFORMATION</w:t>
            </w:r>
          </w:p>
        </w:tc>
        <w:tc>
          <w:tcPr>
            <w:tcW w:w="6240" w:type="dxa"/>
            <w:vAlign w:val="bottom"/>
            <w:gridSpan w:val="10"/>
          </w:tcPr>
          <w:p>
            <w:pPr>
              <w:spacing w:after="0"/>
              <w:rPr>
                <w:sz w:val="24"/>
                <w:szCs w:val="24"/>
                <w:color w:val="auto"/>
              </w:rPr>
            </w:pPr>
          </w:p>
        </w:tc>
        <w:tc>
          <w:tcPr>
            <w:tcW w:w="142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66</w:t>
            </w:r>
          </w:p>
        </w:tc>
        <w:tc>
          <w:tcPr>
            <w:tcW w:w="0" w:type="dxa"/>
            <w:vAlign w:val="bottom"/>
          </w:tcPr>
          <w:p>
            <w:pPr>
              <w:spacing w:after="0"/>
              <w:rPr>
                <w:sz w:val="1"/>
                <w:szCs w:val="1"/>
                <w:color w:val="auto"/>
              </w:rPr>
            </w:pPr>
          </w:p>
        </w:tc>
      </w:tr>
      <w:tr>
        <w:trPr>
          <w:trHeight w:val="412"/>
        </w:trPr>
        <w:tc>
          <w:tcPr>
            <w:tcW w:w="1380" w:type="dxa"/>
            <w:vAlign w:val="bottom"/>
            <w:gridSpan w:val="4"/>
          </w:tcPr>
          <w:p>
            <w:pPr>
              <w:spacing w:after="0"/>
              <w:rPr>
                <w:sz w:val="20"/>
                <w:szCs w:val="20"/>
                <w:color w:val="auto"/>
              </w:rPr>
            </w:pPr>
            <w:r>
              <w:rPr>
                <w:rFonts w:ascii="Arial" w:cs="Arial" w:eastAsia="Arial" w:hAnsi="Arial"/>
                <w:sz w:val="18"/>
                <w:szCs w:val="18"/>
                <w:color w:val="auto"/>
              </w:rPr>
              <w:t>Item 1.</w:t>
            </w:r>
          </w:p>
        </w:tc>
        <w:tc>
          <w:tcPr>
            <w:tcW w:w="8260" w:type="dxa"/>
            <w:vAlign w:val="bottom"/>
            <w:gridSpan w:val="19"/>
          </w:tcPr>
          <w:p>
            <w:pPr>
              <w:spacing w:after="0"/>
              <w:rPr>
                <w:sz w:val="20"/>
                <w:szCs w:val="20"/>
                <w:color w:val="auto"/>
              </w:rPr>
            </w:pPr>
            <w:r>
              <w:rPr>
                <w:rFonts w:ascii="Arial" w:cs="Arial" w:eastAsia="Arial" w:hAnsi="Arial"/>
                <w:sz w:val="18"/>
                <w:szCs w:val="18"/>
                <w:color w:val="0000EE"/>
              </w:rPr>
              <w:t>Legal Proceedings</w:t>
            </w:r>
          </w:p>
        </w:tc>
        <w:tc>
          <w:tcPr>
            <w:tcW w:w="1600" w:type="dxa"/>
            <w:vAlign w:val="bottom"/>
            <w:gridSpan w:val="6"/>
          </w:tcPr>
          <w:p>
            <w:pPr>
              <w:jc w:val="right"/>
              <w:spacing w:after="0"/>
              <w:rPr>
                <w:sz w:val="20"/>
                <w:szCs w:val="20"/>
                <w:color w:val="auto"/>
              </w:rPr>
            </w:pPr>
            <w:r>
              <w:rPr>
                <w:rFonts w:ascii="Arial" w:cs="Arial" w:eastAsia="Arial" w:hAnsi="Arial"/>
                <w:sz w:val="18"/>
                <w:szCs w:val="18"/>
                <w:color w:val="0000EE"/>
              </w:rPr>
              <w:t>66</w:t>
            </w:r>
          </w:p>
        </w:tc>
        <w:tc>
          <w:tcPr>
            <w:tcW w:w="0" w:type="dxa"/>
            <w:vAlign w:val="bottom"/>
          </w:tcPr>
          <w:p>
            <w:pPr>
              <w:spacing w:after="0"/>
              <w:rPr>
                <w:sz w:val="1"/>
                <w:szCs w:val="1"/>
                <w:color w:val="auto"/>
              </w:rPr>
            </w:pPr>
          </w:p>
        </w:tc>
      </w:tr>
      <w:tr>
        <w:trPr>
          <w:trHeight w:val="412"/>
        </w:trPr>
        <w:tc>
          <w:tcPr>
            <w:tcW w:w="138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7"/>
              </w:rPr>
              <w:t>Risk Factors</w:t>
            </w:r>
          </w:p>
        </w:tc>
        <w:tc>
          <w:tcPr>
            <w:tcW w:w="420" w:type="dxa"/>
            <w:vAlign w:val="bottom"/>
            <w:tcBorders>
              <w:top w:val="single" w:sz="8" w:color="0000EE"/>
            </w:tcBorders>
            <w:gridSpan w:val="2"/>
          </w:tcPr>
          <w:p>
            <w:pPr>
              <w:spacing w:after="0"/>
              <w:rPr>
                <w:sz w:val="24"/>
                <w:szCs w:val="24"/>
                <w:color w:val="auto"/>
              </w:rPr>
            </w:pPr>
          </w:p>
        </w:tc>
        <w:tc>
          <w:tcPr>
            <w:tcW w:w="6940" w:type="dxa"/>
            <w:vAlign w:val="bottom"/>
            <w:gridSpan w:val="14"/>
          </w:tcPr>
          <w:p>
            <w:pPr>
              <w:spacing w:after="0"/>
              <w:rPr>
                <w:sz w:val="24"/>
                <w:szCs w:val="24"/>
                <w:color w:val="auto"/>
              </w:rPr>
            </w:pPr>
          </w:p>
        </w:tc>
        <w:tc>
          <w:tcPr>
            <w:tcW w:w="142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66</w:t>
            </w:r>
          </w:p>
        </w:tc>
        <w:tc>
          <w:tcPr>
            <w:tcW w:w="0" w:type="dxa"/>
            <w:vAlign w:val="bottom"/>
          </w:tcPr>
          <w:p>
            <w:pPr>
              <w:spacing w:after="0"/>
              <w:rPr>
                <w:sz w:val="1"/>
                <w:szCs w:val="1"/>
                <w:color w:val="auto"/>
              </w:rPr>
            </w:pPr>
          </w:p>
        </w:tc>
      </w:tr>
      <w:tr>
        <w:trPr>
          <w:trHeight w:val="412"/>
        </w:trPr>
        <w:tc>
          <w:tcPr>
            <w:tcW w:w="1380" w:type="dxa"/>
            <w:vAlign w:val="bottom"/>
            <w:gridSpan w:val="4"/>
          </w:tcPr>
          <w:p>
            <w:pPr>
              <w:spacing w:after="0"/>
              <w:rPr>
                <w:sz w:val="20"/>
                <w:szCs w:val="20"/>
                <w:color w:val="auto"/>
              </w:rPr>
            </w:pPr>
            <w:r>
              <w:rPr>
                <w:rFonts w:ascii="Arial" w:cs="Arial" w:eastAsia="Arial" w:hAnsi="Arial"/>
                <w:sz w:val="18"/>
                <w:szCs w:val="18"/>
                <w:color w:val="auto"/>
              </w:rPr>
              <w:t>Item 2.</w:t>
            </w:r>
          </w:p>
        </w:tc>
        <w:tc>
          <w:tcPr>
            <w:tcW w:w="8260" w:type="dxa"/>
            <w:vAlign w:val="bottom"/>
            <w:gridSpan w:val="19"/>
          </w:tcPr>
          <w:p>
            <w:pPr>
              <w:spacing w:after="0"/>
              <w:rPr>
                <w:sz w:val="20"/>
                <w:szCs w:val="20"/>
                <w:color w:val="auto"/>
              </w:rPr>
            </w:pPr>
            <w:r>
              <w:rPr>
                <w:rFonts w:ascii="Arial" w:cs="Arial" w:eastAsia="Arial" w:hAnsi="Arial"/>
                <w:sz w:val="18"/>
                <w:szCs w:val="18"/>
                <w:color w:val="0000EE"/>
              </w:rPr>
              <w:t>Unregistered Sales of Equity Securities, Use of Proceeds, and Issuer Purchases of Equity Securities</w:t>
            </w:r>
          </w:p>
        </w:tc>
        <w:tc>
          <w:tcPr>
            <w:tcW w:w="1600" w:type="dxa"/>
            <w:vAlign w:val="bottom"/>
            <w:gridSpan w:val="6"/>
          </w:tcPr>
          <w:p>
            <w:pPr>
              <w:jc w:val="right"/>
              <w:spacing w:after="0"/>
              <w:rPr>
                <w:sz w:val="20"/>
                <w:szCs w:val="20"/>
                <w:color w:val="auto"/>
              </w:rPr>
            </w:pPr>
            <w:r>
              <w:rPr>
                <w:rFonts w:ascii="Arial" w:cs="Arial" w:eastAsia="Arial" w:hAnsi="Arial"/>
                <w:sz w:val="18"/>
                <w:szCs w:val="18"/>
                <w:color w:val="0000EE"/>
              </w:rPr>
              <w:t>66</w:t>
            </w:r>
          </w:p>
        </w:tc>
        <w:tc>
          <w:tcPr>
            <w:tcW w:w="0" w:type="dxa"/>
            <w:vAlign w:val="bottom"/>
          </w:tcPr>
          <w:p>
            <w:pPr>
              <w:spacing w:after="0"/>
              <w:rPr>
                <w:sz w:val="1"/>
                <w:szCs w:val="1"/>
                <w:color w:val="auto"/>
              </w:rPr>
            </w:pPr>
          </w:p>
        </w:tc>
      </w:tr>
      <w:tr>
        <w:trPr>
          <w:trHeight w:val="412"/>
        </w:trPr>
        <w:tc>
          <w:tcPr>
            <w:tcW w:w="1380" w:type="dxa"/>
            <w:vAlign w:val="bottom"/>
            <w:gridSpan w:val="4"/>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color w:val="0000EE"/>
                <w:w w:val="90"/>
              </w:rPr>
              <w:t>Defaults Upon Senior Securities</w:t>
            </w:r>
          </w:p>
        </w:tc>
        <w:tc>
          <w:tcPr>
            <w:tcW w:w="4820" w:type="dxa"/>
            <w:vAlign w:val="bottom"/>
            <w:tcBorders>
              <w:top w:val="single" w:sz="8" w:color="0000EE"/>
            </w:tcBorders>
            <w:gridSpan w:val="5"/>
          </w:tcPr>
          <w:p>
            <w:pPr>
              <w:spacing w:after="0"/>
              <w:rPr>
                <w:sz w:val="24"/>
                <w:szCs w:val="24"/>
                <w:color w:val="auto"/>
              </w:rPr>
            </w:pPr>
          </w:p>
        </w:tc>
        <w:tc>
          <w:tcPr>
            <w:tcW w:w="1120" w:type="dxa"/>
            <w:vAlign w:val="bottom"/>
            <w:gridSpan w:val="4"/>
          </w:tcPr>
          <w:p>
            <w:pPr>
              <w:spacing w:after="0"/>
              <w:rPr>
                <w:sz w:val="24"/>
                <w:szCs w:val="24"/>
                <w:color w:val="auto"/>
              </w:rPr>
            </w:pPr>
          </w:p>
        </w:tc>
        <w:tc>
          <w:tcPr>
            <w:tcW w:w="142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67</w:t>
            </w:r>
          </w:p>
        </w:tc>
        <w:tc>
          <w:tcPr>
            <w:tcW w:w="0" w:type="dxa"/>
            <w:vAlign w:val="bottom"/>
          </w:tcPr>
          <w:p>
            <w:pPr>
              <w:spacing w:after="0"/>
              <w:rPr>
                <w:sz w:val="1"/>
                <w:szCs w:val="1"/>
                <w:color w:val="auto"/>
              </w:rPr>
            </w:pPr>
          </w:p>
        </w:tc>
      </w:tr>
      <w:tr>
        <w:trPr>
          <w:trHeight w:val="412"/>
        </w:trPr>
        <w:tc>
          <w:tcPr>
            <w:tcW w:w="1380" w:type="dxa"/>
            <w:vAlign w:val="bottom"/>
            <w:gridSpan w:val="4"/>
          </w:tcPr>
          <w:p>
            <w:pPr>
              <w:spacing w:after="0"/>
              <w:rPr>
                <w:sz w:val="20"/>
                <w:szCs w:val="20"/>
                <w:color w:val="auto"/>
              </w:rPr>
            </w:pPr>
            <w:r>
              <w:rPr>
                <w:rFonts w:ascii="Arial" w:cs="Arial" w:eastAsia="Arial" w:hAnsi="Arial"/>
                <w:sz w:val="18"/>
                <w:szCs w:val="18"/>
                <w:color w:val="auto"/>
              </w:rPr>
              <w:t>Item 4.</w:t>
            </w:r>
          </w:p>
        </w:tc>
        <w:tc>
          <w:tcPr>
            <w:tcW w:w="8260" w:type="dxa"/>
            <w:vAlign w:val="bottom"/>
            <w:gridSpan w:val="19"/>
          </w:tcPr>
          <w:p>
            <w:pPr>
              <w:spacing w:after="0"/>
              <w:rPr>
                <w:sz w:val="20"/>
                <w:szCs w:val="20"/>
                <w:color w:val="auto"/>
              </w:rPr>
            </w:pPr>
            <w:r>
              <w:rPr>
                <w:rFonts w:ascii="Arial" w:cs="Arial" w:eastAsia="Arial" w:hAnsi="Arial"/>
                <w:sz w:val="18"/>
                <w:szCs w:val="18"/>
                <w:color w:val="0000EE"/>
              </w:rPr>
              <w:t>Mine Safety Disclosures</w:t>
            </w:r>
          </w:p>
        </w:tc>
        <w:tc>
          <w:tcPr>
            <w:tcW w:w="1600" w:type="dxa"/>
            <w:vAlign w:val="bottom"/>
            <w:gridSpan w:val="6"/>
          </w:tcPr>
          <w:p>
            <w:pPr>
              <w:jc w:val="right"/>
              <w:spacing w:after="0"/>
              <w:rPr>
                <w:sz w:val="20"/>
                <w:szCs w:val="20"/>
                <w:color w:val="auto"/>
              </w:rPr>
            </w:pPr>
            <w:r>
              <w:rPr>
                <w:rFonts w:ascii="Arial" w:cs="Arial" w:eastAsia="Arial" w:hAnsi="Arial"/>
                <w:sz w:val="18"/>
                <w:szCs w:val="18"/>
                <w:color w:val="0000EE"/>
              </w:rPr>
              <w:t>67</w:t>
            </w:r>
          </w:p>
        </w:tc>
        <w:tc>
          <w:tcPr>
            <w:tcW w:w="0" w:type="dxa"/>
            <w:vAlign w:val="bottom"/>
          </w:tcPr>
          <w:p>
            <w:pPr>
              <w:spacing w:after="0"/>
              <w:rPr>
                <w:sz w:val="1"/>
                <w:szCs w:val="1"/>
                <w:color w:val="auto"/>
              </w:rPr>
            </w:pPr>
          </w:p>
        </w:tc>
      </w:tr>
      <w:tr>
        <w:trPr>
          <w:trHeight w:val="412"/>
        </w:trPr>
        <w:tc>
          <w:tcPr>
            <w:tcW w:w="1380" w:type="dxa"/>
            <w:vAlign w:val="bottom"/>
            <w:gridSpan w:val="4"/>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Other Information</w:t>
            </w:r>
          </w:p>
        </w:tc>
        <w:tc>
          <w:tcPr>
            <w:tcW w:w="6500" w:type="dxa"/>
            <w:vAlign w:val="bottom"/>
            <w:gridSpan w:val="12"/>
          </w:tcPr>
          <w:p>
            <w:pPr>
              <w:spacing w:after="0"/>
              <w:rPr>
                <w:sz w:val="24"/>
                <w:szCs w:val="24"/>
                <w:color w:val="auto"/>
              </w:rPr>
            </w:pPr>
          </w:p>
        </w:tc>
        <w:tc>
          <w:tcPr>
            <w:tcW w:w="1420" w:type="dxa"/>
            <w:vAlign w:val="bottom"/>
            <w:gridSpan w:val="4"/>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67</w:t>
            </w:r>
          </w:p>
        </w:tc>
        <w:tc>
          <w:tcPr>
            <w:tcW w:w="0" w:type="dxa"/>
            <w:vAlign w:val="bottom"/>
          </w:tcPr>
          <w:p>
            <w:pPr>
              <w:spacing w:after="0"/>
              <w:rPr>
                <w:sz w:val="1"/>
                <w:szCs w:val="1"/>
                <w:color w:val="auto"/>
              </w:rPr>
            </w:pPr>
          </w:p>
        </w:tc>
      </w:tr>
      <w:tr>
        <w:trPr>
          <w:trHeight w:val="412"/>
        </w:trPr>
        <w:tc>
          <w:tcPr>
            <w:tcW w:w="1380" w:type="dxa"/>
            <w:vAlign w:val="bottom"/>
            <w:gridSpan w:val="4"/>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1"/>
              </w:rPr>
              <w:t>Exhibits</w:t>
            </w:r>
          </w:p>
        </w:tc>
        <w:tc>
          <w:tcPr>
            <w:tcW w:w="700" w:type="dxa"/>
            <w:vAlign w:val="bottom"/>
            <w:tcBorders>
              <w:top w:val="single" w:sz="8" w:color="0000EE"/>
            </w:tcBorders>
            <w:gridSpan w:val="3"/>
          </w:tcPr>
          <w:p>
            <w:pPr>
              <w:spacing w:after="0"/>
              <w:rPr>
                <w:sz w:val="24"/>
                <w:szCs w:val="24"/>
                <w:color w:val="auto"/>
              </w:rPr>
            </w:pPr>
          </w:p>
        </w:tc>
        <w:tc>
          <w:tcPr>
            <w:tcW w:w="6960" w:type="dxa"/>
            <w:vAlign w:val="bottom"/>
            <w:gridSpan w:val="15"/>
          </w:tcPr>
          <w:p>
            <w:pPr>
              <w:spacing w:after="0"/>
              <w:rPr>
                <w:sz w:val="24"/>
                <w:szCs w:val="24"/>
                <w:color w:val="auto"/>
              </w:rPr>
            </w:pPr>
          </w:p>
        </w:tc>
        <w:tc>
          <w:tcPr>
            <w:tcW w:w="142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68</w:t>
            </w:r>
          </w:p>
        </w:tc>
        <w:tc>
          <w:tcPr>
            <w:tcW w:w="0" w:type="dxa"/>
            <w:vAlign w:val="bottom"/>
          </w:tcPr>
          <w:p>
            <w:pPr>
              <w:spacing w:after="0"/>
              <w:rPr>
                <w:sz w:val="1"/>
                <w:szCs w:val="1"/>
                <w:color w:val="auto"/>
              </w:rPr>
            </w:pPr>
          </w:p>
        </w:tc>
      </w:tr>
      <w:tr>
        <w:trPr>
          <w:trHeight w:val="412"/>
        </w:trPr>
        <w:tc>
          <w:tcPr>
            <w:tcW w:w="1380" w:type="dxa"/>
            <w:vAlign w:val="bottom"/>
            <w:gridSpan w:val="4"/>
          </w:tcPr>
          <w:p>
            <w:pPr>
              <w:spacing w:after="0"/>
              <w:rPr>
                <w:sz w:val="20"/>
                <w:szCs w:val="20"/>
                <w:color w:val="auto"/>
              </w:rPr>
            </w:pPr>
            <w:r>
              <w:rPr>
                <w:rFonts w:ascii="Arial" w:cs="Arial" w:eastAsia="Arial" w:hAnsi="Arial"/>
                <w:sz w:val="18"/>
                <w:szCs w:val="18"/>
                <w:b w:val="1"/>
                <w:bCs w:val="1"/>
                <w:color w:val="0000EE"/>
              </w:rPr>
              <w:t>SIGNATURES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6"/>
          </w:tcPr>
          <w:p>
            <w:pPr>
              <w:jc w:val="right"/>
              <w:spacing w:after="0"/>
              <w:rPr>
                <w:sz w:val="20"/>
                <w:szCs w:val="20"/>
                <w:color w:val="auto"/>
              </w:rPr>
            </w:pPr>
            <w:r>
              <w:rPr>
                <w:rFonts w:ascii="Arial" w:cs="Arial" w:eastAsia="Arial" w:hAnsi="Arial"/>
                <w:sz w:val="18"/>
                <w:szCs w:val="18"/>
                <w:color w:val="0000EE"/>
              </w:rPr>
              <w:t>69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When we refer to “FS Bancorp” in this report, we are referring to FS Bancorp, Inc. When we refer to “Bank” or “1st Security Bank” in this report, we are referring to 1st Security Bank of Washington, the wholly owned subsidiary of FS Bancorp. As used in this report, the terms “we,” “our,” “us,” and “Company” refer to FS Bancorp, Inc. and its consolidated subsidiary, 1st Security Bank of Washington, unless the context indicates otherwise.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69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7"/>
              </w:rPr>
              <w:t>FS BANCORP, INC. AND SUBSIDIARY</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i w:val="1"/>
                <w:iCs w:val="1"/>
                <w:color w:val="auto"/>
                <w:w w:val="91"/>
              </w:rPr>
              <w:t>(Dollars in thousands, except share amounts) (Unaudited)</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8"/>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w w:val="91"/>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r>
      <w:tr>
        <w:trPr>
          <w:trHeight w:val="209"/>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due from banks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18,137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10,525</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Interest-bearing deposits at other financial institutions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62,536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30,912</w:t>
            </w:r>
          </w:p>
        </w:tc>
      </w:tr>
      <w:tr>
        <w:trPr>
          <w:trHeight w:val="210"/>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80,673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41,437</w:t>
            </w:r>
          </w:p>
        </w:tc>
      </w:tr>
      <w:tr>
        <w:trPr>
          <w:trHeight w:val="209"/>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Certificates of deposit at other financial institutions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17,636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4,712</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Securities available-for-sale, at fair value</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251,917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229,252</w:t>
            </w: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5"/>
              </w:rPr>
              <w:t>Securities held-to-maturity, net of allowance for credit losses of $45 and $31, respectively (fair value of</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$7,424 and $7,929, respectively)</w:t>
            </w:r>
          </w:p>
        </w:tc>
        <w:tc>
          <w:tcPr>
            <w:tcW w:w="16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8,455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8,469</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Loans held for sale, at fair value</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20,093</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Loans receivable, net (includes $15,176 and $14,035, at fair value, respectively)</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2,375,572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2,190,860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11,144</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Premises and equipment, net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30,926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25,119</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right-of-use (“ROU”)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6,226</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Federal Home Loan Bank (“FHLB”) stock, at cost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3,696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10,611</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real estate owned (“OREO”)</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Deferred tax asset, net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7,424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6,670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 owned life insurance (“BOLI”), net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36,799</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Servicing rights, held at the lower of cost or fair value</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17,657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18,017</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Core deposit intangible, net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18,323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3,369</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26,548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17,238</w:t>
            </w: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2,920,072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2,632,898</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Deposits: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Noninterest-bearing accounts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670,158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554,174</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Interest-bearing accounts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1,784,286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1,573,567</w:t>
            </w:r>
          </w:p>
        </w:tc>
      </w:tr>
      <w:tr>
        <w:trPr>
          <w:trHeight w:val="210"/>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deposits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2,454,444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2,127,741</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Borrowings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121,895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186,528</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Subordinated notes: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Principal amount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50,000</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Unamortized debt issuance costs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09"/>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Total subordinated notes less unamortized debt issuance costs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49,511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49,461</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6,474</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36,288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30,997</w:t>
            </w:r>
          </w:p>
        </w:tc>
      </w:tr>
      <w:tr>
        <w:trPr>
          <w:trHeight w:val="210"/>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2,669,407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2,401,201</w:t>
            </w: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10)</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$.01 par value; 45,000,000 shares authorized; 7,796,095 and 7,736,185 shares issued and</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at September 30, 2023 and December 31, 2022, respectively</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57,464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55,187</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222,532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202,065</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loss, net of tax</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(25,632)</w:t>
            </w:r>
          </w:p>
        </w:tc>
      </w:tr>
      <w:tr>
        <w:trPr>
          <w:trHeight w:val="210"/>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250,665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231,697</w:t>
            </w: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2,920,072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2,632,898</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5960" w:type="dxa"/>
            <w:vAlign w:val="bottom"/>
            <w:gridSpan w:val="3"/>
          </w:tcPr>
          <w:p>
            <w:pPr>
              <w:jc w:val="center"/>
              <w:ind w:left="2650"/>
              <w:spacing w:after="0"/>
              <w:rPr>
                <w:sz w:val="20"/>
                <w:szCs w:val="20"/>
                <w:color w:val="auto"/>
              </w:rPr>
            </w:pPr>
            <w:r>
              <w:rPr>
                <w:rFonts w:ascii="Arial" w:cs="Arial" w:eastAsia="Arial" w:hAnsi="Arial"/>
                <w:sz w:val="18"/>
                <w:szCs w:val="18"/>
                <w:b w:val="1"/>
                <w:bCs w:val="1"/>
                <w:color w:val="auto"/>
                <w:w w:val="97"/>
              </w:rPr>
              <w:t>FS BANCORP, INC. AND SUBSIDIARY</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6360" w:type="dxa"/>
            <w:vAlign w:val="bottom"/>
            <w:gridSpan w:val="5"/>
          </w:tcPr>
          <w:p>
            <w:pPr>
              <w:jc w:val="center"/>
              <w:ind w:left="2230"/>
              <w:spacing w:after="0"/>
              <w:rPr>
                <w:sz w:val="20"/>
                <w:szCs w:val="20"/>
                <w:color w:val="auto"/>
              </w:rPr>
            </w:pPr>
            <w:r>
              <w:rPr>
                <w:rFonts w:ascii="Arial" w:cs="Arial" w:eastAsia="Arial" w:hAnsi="Arial"/>
                <w:sz w:val="18"/>
                <w:szCs w:val="18"/>
                <w:b w:val="1"/>
                <w:bCs w:val="1"/>
                <w:color w:val="auto"/>
              </w:rPr>
              <w:t>CONSOLIDATED STATEMENTS OF INCOME</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7320" w:type="dxa"/>
            <w:vAlign w:val="bottom"/>
            <w:gridSpan w:val="6"/>
          </w:tcPr>
          <w:p>
            <w:pPr>
              <w:jc w:val="center"/>
              <w:ind w:left="1270"/>
              <w:spacing w:after="0"/>
              <w:rPr>
                <w:sz w:val="20"/>
                <w:szCs w:val="20"/>
                <w:color w:val="auto"/>
              </w:rPr>
            </w:pPr>
            <w:r>
              <w:rPr>
                <w:rFonts w:ascii="Arial" w:cs="Arial" w:eastAsia="Arial" w:hAnsi="Arial"/>
                <w:sz w:val="18"/>
                <w:szCs w:val="18"/>
                <w:i w:val="1"/>
                <w:iCs w:val="1"/>
                <w:color w:val="auto"/>
                <w:w w:val="91"/>
              </w:rPr>
              <w:t>(Dollars in thousands, except per share amounts) (Unaudited)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4"/>
          </w:tcPr>
          <w:p>
            <w:pPr>
              <w:jc w:val="right"/>
              <w:ind w:right="51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4"/>
          </w:tcPr>
          <w:p>
            <w:pPr>
              <w:jc w:val="right"/>
              <w:ind w:right="51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Loans receivable, including fees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39,874</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29,563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114,082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77,885</w:t>
            </w:r>
          </w:p>
        </w:tc>
        <w:tc>
          <w:tcPr>
            <w:tcW w:w="0" w:type="dxa"/>
            <w:vAlign w:val="bottom"/>
          </w:tcPr>
          <w:p>
            <w:pPr>
              <w:spacing w:after="0"/>
              <w:rPr>
                <w:sz w:val="1"/>
                <w:szCs w:val="1"/>
                <w:color w:val="auto"/>
              </w:rPr>
            </w:pPr>
          </w:p>
        </w:tc>
      </w:tr>
      <w:tr>
        <w:trPr>
          <w:trHeight w:val="202"/>
        </w:trPr>
        <w:tc>
          <w:tcPr>
            <w:tcW w:w="5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Interest and dividends on investment securities, cash and cash equivalents, and</w:t>
            </w:r>
          </w:p>
        </w:tc>
        <w:tc>
          <w:tcPr>
            <w:tcW w:w="2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3,396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8,667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17"/>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certificates of deposit at other financial institutions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Total interest and dividend income</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43,270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31,304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122,749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82,875</w:t>
            </w: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10,462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24,696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interest expense</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12,636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3,777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29,901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7,897</w:t>
            </w:r>
          </w:p>
        </w:tc>
        <w:tc>
          <w:tcPr>
            <w:tcW w:w="0" w:type="dxa"/>
            <w:vAlign w:val="bottom"/>
          </w:tcPr>
          <w:p>
            <w:pPr>
              <w:spacing w:after="0"/>
              <w:rPr>
                <w:sz w:val="1"/>
                <w:szCs w:val="1"/>
                <w:color w:val="auto"/>
              </w:rPr>
            </w:pP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30,634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27,527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92,848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74,978</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PROVISION FOR CREDIT LOSSES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3,372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09"/>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 AFTER PROVISION FOR CREDIT LOSSES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30,086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25,809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89,476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70,346</w:t>
            </w: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Service charges and fee income</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2,882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6,121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loans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7,325</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Earnings on cash surrender value of BOLI</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noninterest income</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0"/>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Total noninterest income</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4,982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4,181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15,034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14,412</w:t>
            </w: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NONINTEREST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13,503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11,402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40,880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35,110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7,656</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Occupancy</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processing</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Loan costs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and board fees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Federal Deposit Insurance Corporation (“FDIC”) insurance</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 and advertising</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Acquisition cost</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core deposit intangible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Recovery of servicing rights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23,586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19,338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71,314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57,334</w:t>
            </w:r>
          </w:p>
        </w:tc>
        <w:tc>
          <w:tcPr>
            <w:tcW w:w="0" w:type="dxa"/>
            <w:vAlign w:val="bottom"/>
          </w:tcPr>
          <w:p>
            <w:pPr>
              <w:spacing w:after="0"/>
              <w:rPr>
                <w:sz w:val="1"/>
                <w:szCs w:val="1"/>
                <w:color w:val="auto"/>
              </w:rPr>
            </w:pPr>
          </w:p>
        </w:tc>
      </w:tr>
      <w:tr>
        <w:trPr>
          <w:trHeight w:val="209"/>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11,482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10,652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33,196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27,424</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2,529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6,915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5,397</w:t>
            </w:r>
          </w:p>
        </w:tc>
        <w:tc>
          <w:tcPr>
            <w:tcW w:w="0" w:type="dxa"/>
            <w:vAlign w:val="bottom"/>
          </w:tcPr>
          <w:p>
            <w:pPr>
              <w:spacing w:after="0"/>
              <w:rPr>
                <w:sz w:val="1"/>
                <w:szCs w:val="1"/>
                <w:color w:val="auto"/>
              </w:rPr>
            </w:pP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8,953</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8,458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26,281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22,027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Basic earnings per share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1.15</w:t>
            </w:r>
          </w:p>
        </w:tc>
        <w:tc>
          <w:tcPr>
            <w:tcW w:w="4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1.09</w:t>
            </w:r>
          </w:p>
        </w:tc>
        <w:tc>
          <w:tcPr>
            <w:tcW w:w="3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3.38</w:t>
            </w:r>
          </w:p>
        </w:tc>
        <w:tc>
          <w:tcPr>
            <w:tcW w:w="3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gridSpan w:val="2"/>
          </w:tcPr>
          <w:p>
            <w:pPr>
              <w:spacing w:after="0" w:line="196" w:lineRule="exact"/>
              <w:rPr>
                <w:sz w:val="20"/>
                <w:szCs w:val="20"/>
                <w:color w:val="auto"/>
              </w:rPr>
            </w:pPr>
            <w:r>
              <w:rPr>
                <w:rFonts w:ascii="Arial" w:cs="Arial" w:eastAsia="Arial" w:hAnsi="Arial"/>
                <w:sz w:val="18"/>
                <w:szCs w:val="18"/>
                <w:color w:val="auto"/>
              </w:rPr>
              <w:t>Diluted earnings per share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1.13</w:t>
            </w:r>
          </w:p>
        </w:tc>
        <w:tc>
          <w:tcPr>
            <w:tcW w:w="4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1.08</w:t>
            </w:r>
          </w:p>
        </w:tc>
        <w:tc>
          <w:tcPr>
            <w:tcW w:w="3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3.33</w:t>
            </w:r>
          </w:p>
        </w:tc>
        <w:tc>
          <w:tcPr>
            <w:tcW w:w="3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5960" w:type="dxa"/>
            <w:vAlign w:val="bottom"/>
            <w:gridSpan w:val="3"/>
          </w:tcPr>
          <w:p>
            <w:pPr>
              <w:jc w:val="center"/>
              <w:ind w:left="2650"/>
              <w:spacing w:after="0"/>
              <w:rPr>
                <w:sz w:val="20"/>
                <w:szCs w:val="20"/>
                <w:color w:val="auto"/>
              </w:rPr>
            </w:pPr>
            <w:r>
              <w:rPr>
                <w:rFonts w:ascii="Arial" w:cs="Arial" w:eastAsia="Arial" w:hAnsi="Arial"/>
                <w:sz w:val="18"/>
                <w:szCs w:val="18"/>
                <w:b w:val="1"/>
                <w:bCs w:val="1"/>
                <w:color w:val="auto"/>
                <w:w w:val="97"/>
              </w:rPr>
              <w:t>FS BANCORP, INC. AND SUBSIDIARY</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7420" w:type="dxa"/>
            <w:vAlign w:val="bottom"/>
            <w:gridSpan w:val="7"/>
          </w:tcPr>
          <w:p>
            <w:pPr>
              <w:jc w:val="center"/>
              <w:ind w:left="1170"/>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5960" w:type="dxa"/>
            <w:vAlign w:val="bottom"/>
            <w:gridSpan w:val="3"/>
          </w:tcPr>
          <w:p>
            <w:pPr>
              <w:jc w:val="center"/>
              <w:ind w:left="2630"/>
              <w:spacing w:after="0"/>
              <w:rPr>
                <w:sz w:val="20"/>
                <w:szCs w:val="20"/>
                <w:color w:val="auto"/>
              </w:rPr>
            </w:pPr>
            <w:r>
              <w:rPr>
                <w:rFonts w:ascii="Arial" w:cs="Arial" w:eastAsia="Arial" w:hAnsi="Arial"/>
                <w:sz w:val="18"/>
                <w:szCs w:val="18"/>
                <w:i w:val="1"/>
                <w:iCs w:val="1"/>
                <w:color w:val="auto"/>
                <w:w w:val="91"/>
              </w:rPr>
              <w:t>(In thousands</w:t>
            </w:r>
            <w:r>
              <w:rPr>
                <w:rFonts w:ascii="Arial" w:cs="Arial" w:eastAsia="Arial" w:hAnsi="Arial"/>
                <w:sz w:val="18"/>
                <w:szCs w:val="18"/>
                <w:color w:val="auto"/>
                <w:w w:val="91"/>
              </w:rPr>
              <w:t>)</w:t>
            </w:r>
            <w:r>
              <w:rPr>
                <w:rFonts w:ascii="Arial" w:cs="Arial" w:eastAsia="Arial" w:hAnsi="Arial"/>
                <w:sz w:val="18"/>
                <w:szCs w:val="18"/>
                <w:i w:val="1"/>
                <w:iCs w:val="1"/>
                <w:color w:val="auto"/>
                <w:w w:val="91"/>
              </w:rPr>
              <w:t xml:space="preserve"> (Unaudited)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8"/>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4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4"/>
                <w:szCs w:val="24"/>
                <w:color w:val="auto"/>
              </w:rPr>
            </w:pPr>
          </w:p>
        </w:tc>
        <w:tc>
          <w:tcPr>
            <w:tcW w:w="2300" w:type="dxa"/>
            <w:vAlign w:val="bottom"/>
            <w:gridSpan w:val="4"/>
          </w:tcPr>
          <w:p>
            <w:pPr>
              <w:jc w:val="right"/>
              <w:ind w:right="510"/>
              <w:spacing w:after="0"/>
              <w:rPr>
                <w:sz w:val="20"/>
                <w:szCs w:val="20"/>
                <w:color w:val="auto"/>
              </w:rPr>
            </w:pPr>
            <w:r>
              <w:rPr>
                <w:rFonts w:ascii="Arial" w:cs="Arial" w:eastAsia="Arial" w:hAnsi="Arial"/>
                <w:sz w:val="18"/>
                <w:szCs w:val="18"/>
                <w:color w:val="auto"/>
              </w:rPr>
              <w:t>Nine Months Ended</w:t>
            </w:r>
          </w:p>
        </w:tc>
      </w:tr>
      <w:tr>
        <w:trPr>
          <w:trHeight w:val="230"/>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4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0"/>
                <w:szCs w:val="20"/>
                <w:color w:val="auto"/>
              </w:rPr>
            </w:pPr>
          </w:p>
        </w:tc>
        <w:tc>
          <w:tcPr>
            <w:tcW w:w="2300" w:type="dxa"/>
            <w:vAlign w:val="bottom"/>
            <w:gridSpan w:val="4"/>
          </w:tcPr>
          <w:p>
            <w:pPr>
              <w:jc w:val="right"/>
              <w:ind w:right="710"/>
              <w:spacing w:after="0"/>
              <w:rPr>
                <w:sz w:val="20"/>
                <w:szCs w:val="20"/>
                <w:color w:val="auto"/>
              </w:rPr>
            </w:pPr>
            <w:r>
              <w:rPr>
                <w:rFonts w:ascii="Arial" w:cs="Arial" w:eastAsia="Arial" w:hAnsi="Arial"/>
                <w:sz w:val="18"/>
                <w:szCs w:val="18"/>
                <w:color w:val="auto"/>
              </w:rPr>
              <w:t>September 30,</w:t>
            </w:r>
          </w:p>
        </w:tc>
      </w:tr>
      <w:tr>
        <w:trPr>
          <w:trHeight w:val="210"/>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8,953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26,281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22,027</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Securities available-for-sale: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Unrealized loss during period</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(47,046)</w:t>
            </w: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benefit related to unrealized holding loss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10,115</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Derivative financial instruments: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derivative gain during period</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9,651</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Income tax provision related to unrealized derivative gain</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(2,075)</w:t>
            </w: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8"/>
              </w:rPr>
              <w:t>Reclassification adjustment for realized gain, net included in net income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Income tax provision related to reclassification, net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r>
      <w:tr>
        <w:trPr>
          <w:trHeight w:val="209"/>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(29,537)</w:t>
            </w: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1,988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22,504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(7,510)</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these 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BANCORP,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share amounts)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Three Months Ended September 30, 2023 and 2022</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3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0"/>
              <w:spacing w:after="0"/>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19"/>
                <w:szCs w:val="19"/>
                <w:color w:val="auto"/>
              </w:rPr>
            </w:pPr>
          </w:p>
        </w:tc>
        <w:tc>
          <w:tcPr>
            <w:tcW w:w="2320" w:type="dxa"/>
            <w:vAlign w:val="bottom"/>
            <w:gridSpan w:val="4"/>
            <w:vMerge w:val="restart"/>
          </w:tcPr>
          <w:p>
            <w:pPr>
              <w:jc w:val="right"/>
              <w:ind w:right="57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w w:val="98"/>
              </w:rPr>
              <w:t>Additional</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w w:val="95"/>
              </w:rPr>
              <w:t>Comprehensive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2"/>
        </w:trPr>
        <w:tc>
          <w:tcPr>
            <w:tcW w:w="3940" w:type="dxa"/>
            <w:vAlign w:val="bottom"/>
          </w:tcPr>
          <w:p>
            <w:pPr>
              <w:spacing w:after="0"/>
              <w:rPr>
                <w:sz w:val="18"/>
                <w:szCs w:val="18"/>
                <w:color w:val="auto"/>
              </w:rPr>
            </w:pPr>
          </w:p>
        </w:tc>
        <w:tc>
          <w:tcPr>
            <w:tcW w:w="2320" w:type="dxa"/>
            <w:vAlign w:val="bottom"/>
            <w:tcBorders>
              <w:bottom w:val="single" w:sz="8" w:color="auto"/>
            </w:tcBorders>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Paid-in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w w:val="91"/>
              </w:rPr>
              <w:t>Retained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8"/>
              </w:rPr>
              <w:t>Loss,</w:t>
            </w: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Stockholders'</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Amount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Capital</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2"/>
              </w:rPr>
              <w:t>Earnings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Net of Tax</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July 1, 2022</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7,726,232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55,129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189,075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222,641</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8,458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8,458</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 ($0.20 per share)</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stock-employee stock</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plan</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7,068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Restricted stock awards</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35,050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repurchased - repurchase plan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02"/>
        </w:trPr>
        <w:tc>
          <w:tcPr>
            <w:tcW w:w="3940" w:type="dxa"/>
            <w:vAlign w:val="bottom"/>
          </w:tcPr>
          <w:p>
            <w:pPr>
              <w:ind w:left="180"/>
              <w:spacing w:after="0" w:line="201" w:lineRule="exact"/>
              <w:rPr>
                <w:sz w:val="20"/>
                <w:szCs w:val="20"/>
                <w:color w:val="auto"/>
              </w:rPr>
            </w:pPr>
            <w:r>
              <w:rPr>
                <w:rFonts w:ascii="Arial" w:cs="Arial" w:eastAsia="Arial" w:hAnsi="Arial"/>
                <w:sz w:val="18"/>
                <w:szCs w:val="18"/>
                <w:color w:val="auto"/>
                <w:w w:val="93"/>
              </w:rPr>
              <w:t>Common stock repurchased for employee/director</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taxes paid on restricted stock awards</w:t>
            </w:r>
          </w:p>
        </w:tc>
        <w:tc>
          <w:tcPr>
            <w:tcW w:w="1100" w:type="dxa"/>
            <w:vAlign w:val="bottom"/>
          </w:tcPr>
          <w:p>
            <w:pPr>
              <w:jc w:val="right"/>
              <w:spacing w:after="0"/>
              <w:rPr>
                <w:sz w:val="20"/>
                <w:szCs w:val="20"/>
                <w:color w:val="auto"/>
              </w:rPr>
            </w:pPr>
            <w:r>
              <w:rPr>
                <w:rFonts w:ascii="Arial" w:cs="Arial" w:eastAsia="Arial" w:hAnsi="Arial"/>
                <w:sz w:val="18"/>
                <w:szCs w:val="18"/>
                <w:color w:val="auto"/>
              </w:rPr>
              <w:t>(6,150)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 exercised, net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10,096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Other comprehensive loss, net of tax</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(7,645)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(7,645)</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2022</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7,704,373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53,769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195,986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220,547</w:t>
            </w:r>
          </w:p>
        </w:tc>
        <w:tc>
          <w:tcPr>
            <w:tcW w:w="0" w:type="dxa"/>
            <w:vAlign w:val="bottom"/>
          </w:tcPr>
          <w:p>
            <w:pPr>
              <w:spacing w:after="0"/>
              <w:rPr>
                <w:sz w:val="1"/>
                <w:szCs w:val="1"/>
                <w:color w:val="auto"/>
              </w:rPr>
            </w:pPr>
          </w:p>
        </w:tc>
      </w:tr>
      <w:tr>
        <w:trPr>
          <w:trHeight w:val="197"/>
        </w:trPr>
        <w:tc>
          <w:tcPr>
            <w:tcW w:w="39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July 1, 2023</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7,753,607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56,781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215,519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249,933</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8,953</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 ($0.25 per share)</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stock- employee stock</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plan</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7,710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Restricted stock awards</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37,600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awards forfeited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40" w:type="dxa"/>
            <w:vAlign w:val="bottom"/>
          </w:tcPr>
          <w:p>
            <w:pPr>
              <w:ind w:left="180"/>
              <w:spacing w:after="0" w:line="201" w:lineRule="exact"/>
              <w:rPr>
                <w:sz w:val="20"/>
                <w:szCs w:val="20"/>
                <w:color w:val="auto"/>
              </w:rPr>
            </w:pPr>
            <w:r>
              <w:rPr>
                <w:rFonts w:ascii="Arial" w:cs="Arial" w:eastAsia="Arial" w:hAnsi="Arial"/>
                <w:sz w:val="18"/>
                <w:szCs w:val="18"/>
                <w:color w:val="auto"/>
                <w:w w:val="93"/>
              </w:rPr>
              <w:t>Common stock repurchased for employee/director</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taxes paid on restricted stock awards</w:t>
            </w:r>
          </w:p>
        </w:tc>
        <w:tc>
          <w:tcPr>
            <w:tcW w:w="1100" w:type="dxa"/>
            <w:vAlign w:val="bottom"/>
          </w:tcPr>
          <w:p>
            <w:pPr>
              <w:jc w:val="right"/>
              <w:spacing w:after="0"/>
              <w:rPr>
                <w:sz w:val="20"/>
                <w:szCs w:val="20"/>
                <w:color w:val="auto"/>
              </w:rPr>
            </w:pPr>
            <w:r>
              <w:rPr>
                <w:rFonts w:ascii="Arial" w:cs="Arial" w:eastAsia="Arial" w:hAnsi="Arial"/>
                <w:sz w:val="18"/>
                <w:szCs w:val="18"/>
                <w:color w:val="auto"/>
              </w:rPr>
              <w:t>(11,006)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 exercised, net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12,896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Other comprehensive loss, net of tax</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(6,965)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(6,965)</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2023</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7,796,095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57,464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222,532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250,665</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94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w w:val="92"/>
              </w:rPr>
              <w:t>Nine Months Ended September 30, 2022 and 2023</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28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0"/>
              <w:spacing w:after="0"/>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gridSpan w:val="4"/>
            <w:vMerge w:val="restart"/>
          </w:tcPr>
          <w:p>
            <w:pPr>
              <w:jc w:val="right"/>
              <w:ind w:right="57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w w:val="98"/>
              </w:rPr>
              <w:t>Additional</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w w:val="95"/>
              </w:rPr>
              <w:t>Comprehensive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Borders>
              <w:bottom w:val="single" w:sz="8" w:color="auto"/>
            </w:tcBorders>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Paid-in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w w:val="91"/>
              </w:rPr>
              <w:t>Retained</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w w:val="99"/>
              </w:rPr>
              <w:t>Income (Loss),</w:t>
            </w: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Stockholders'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Amount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Capital</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2"/>
              </w:rPr>
              <w:t>Earnings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Net of Tax</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10"/>
        </w:trPr>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January 1, 2022</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8,169,887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67,958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179,215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247,507</w:t>
            </w:r>
          </w:p>
        </w:tc>
        <w:tc>
          <w:tcPr>
            <w:tcW w:w="0" w:type="dxa"/>
            <w:vAlign w:val="bottom"/>
          </w:tcPr>
          <w:p>
            <w:pPr>
              <w:spacing w:after="0"/>
              <w:rPr>
                <w:sz w:val="1"/>
                <w:szCs w:val="1"/>
                <w:color w:val="auto"/>
              </w:rPr>
            </w:pPr>
          </w:p>
        </w:tc>
      </w:tr>
      <w:tr>
        <w:trPr>
          <w:trHeight w:val="216"/>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22,027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22,027</w:t>
            </w: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Dividends paid ($0.70 per share)</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216"/>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Share-based compensation</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02"/>
        </w:trPr>
        <w:tc>
          <w:tcPr>
            <w:tcW w:w="394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New credit standard (Topic 326) - impact in year</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of adoption</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2"/>
        </w:trPr>
        <w:tc>
          <w:tcPr>
            <w:tcW w:w="394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Issuance of common stock-employee stock</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purchase plan</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7,068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Restricted stock awards</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Common stock repurchased - repurchase plan</w:t>
            </w:r>
          </w:p>
        </w:tc>
        <w:tc>
          <w:tcPr>
            <w:tcW w:w="1100" w:type="dxa"/>
            <w:vAlign w:val="bottom"/>
          </w:tcPr>
          <w:p>
            <w:pPr>
              <w:jc w:val="right"/>
              <w:spacing w:after="0"/>
              <w:rPr>
                <w:sz w:val="20"/>
                <w:szCs w:val="20"/>
                <w:color w:val="auto"/>
              </w:rPr>
            </w:pPr>
            <w:r>
              <w:rPr>
                <w:rFonts w:ascii="Arial" w:cs="Arial" w:eastAsia="Arial" w:hAnsi="Arial"/>
                <w:sz w:val="18"/>
                <w:szCs w:val="18"/>
                <w:color w:val="auto"/>
              </w:rPr>
              <w:t>(544,530)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(15,628)</w:t>
            </w:r>
          </w:p>
        </w:tc>
        <w:tc>
          <w:tcPr>
            <w:tcW w:w="0" w:type="dxa"/>
            <w:vAlign w:val="bottom"/>
          </w:tcPr>
          <w:p>
            <w:pPr>
              <w:spacing w:after="0"/>
              <w:rPr>
                <w:sz w:val="1"/>
                <w:szCs w:val="1"/>
                <w:color w:val="auto"/>
              </w:rPr>
            </w:pPr>
          </w:p>
        </w:tc>
      </w:tr>
      <w:tr>
        <w:trPr>
          <w:trHeight w:val="202"/>
        </w:trPr>
        <w:tc>
          <w:tcPr>
            <w:tcW w:w="394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Common stock repurchased for employee/director</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taxes paid on restricted stock awards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Stock options exercised, net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43,048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comprehensive loss, net of tax</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(29,537)</w:t>
            </w: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BALANCE, September 30, 2022</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7,704,373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53,769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195,986</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(29,285)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220,547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BALANCE, January 1, 2023</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7,736,185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55,187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202,065</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(25,632)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231,697</w:t>
            </w: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26,281</w:t>
            </w:r>
          </w:p>
        </w:tc>
        <w:tc>
          <w:tcPr>
            <w:tcW w:w="0" w:type="dxa"/>
            <w:vAlign w:val="bottom"/>
          </w:tcPr>
          <w:p>
            <w:pPr>
              <w:spacing w:after="0"/>
              <w:rPr>
                <w:sz w:val="1"/>
                <w:szCs w:val="1"/>
                <w:color w:val="auto"/>
              </w:rPr>
            </w:pPr>
          </w:p>
        </w:tc>
      </w:tr>
      <w:tr>
        <w:trPr>
          <w:trHeight w:val="216"/>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Dividends paid ($0.75 per share)</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02"/>
        </w:trPr>
        <w:tc>
          <w:tcPr>
            <w:tcW w:w="394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Issuance of common stock-employee stock</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purchase plan</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24,159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Restricted stock awards</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Restricted stock awards forfeited</w:t>
            </w:r>
          </w:p>
        </w:tc>
        <w:tc>
          <w:tcPr>
            <w:tcW w:w="1100" w:type="dxa"/>
            <w:vAlign w:val="bottom"/>
          </w:tcPr>
          <w:p>
            <w:pPr>
              <w:jc w:val="right"/>
              <w:spacing w:after="0"/>
              <w:rPr>
                <w:sz w:val="20"/>
                <w:szCs w:val="20"/>
                <w:color w:val="auto"/>
              </w:rPr>
            </w:pPr>
            <w:r>
              <w:rPr>
                <w:rFonts w:ascii="Arial" w:cs="Arial" w:eastAsia="Arial" w:hAnsi="Arial"/>
                <w:sz w:val="18"/>
                <w:szCs w:val="18"/>
                <w:color w:val="auto"/>
              </w:rPr>
              <w:t>(9,524)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4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Common stock repurchased for employee/director</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taxes paid on restricted stock awards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Stock options exercised, net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19,121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comprehensive loss, net of tax</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BALANCE, September 30, 2023</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7,796,095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57,464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222,532</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(29,409)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250,665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7"/>
              </w:rPr>
              <w:t>FS BANCORP, INC. AND SUBSIDIARY</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i w:val="1"/>
                <w:iCs w:val="1"/>
                <w:color w:val="auto"/>
                <w:w w:val="91"/>
              </w:rPr>
              <w:t>(In thousands) (Unaudited)</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color w:val="auto"/>
                <w:w w:val="93"/>
              </w:rPr>
              <w:t>Nine Months Ended September 30,</w:t>
            </w: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26,281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22,027</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i w:val="1"/>
                <w:iCs w:val="1"/>
                <w:color w:val="auto"/>
              </w:rPr>
              <w:t>Adjustments to reconcile net income to net cash from operating activities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Provision for credit losses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accretion</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9,505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10,464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Compensation expense related to stock options and restricted stock awards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Change in cash surrender value of BOLI</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sale of loans held for sale</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Gain on sale of portfolio loans</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Origination of loans held for sale</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(498,975)</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sale of loans held for sale</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324,083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630,396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Recovery of servicing rights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i w:val="1"/>
                <w:iCs w:val="1"/>
                <w:color w:val="auto"/>
              </w:rPr>
              <w:t>Changes in operating assets and liabilities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4,798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09"/>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Net cash from operating activities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65,034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163,946</w:t>
            </w: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(USED BY) INVESTING ACTIVITIES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Activity in securities available-for-sale:</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Maturities, prepayments, and calls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17,829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Purchases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(46,906)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(22,968)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Activity in securities held-to-maturity:</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Purchases</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Maturities of certificates of deposit at other financial institutions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Purchase of certificates of deposit at other financial institutions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(12,924)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Portfolio loan originations and principal collections, net</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(420,094)</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Net cash from acquisitions</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336,157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 of portfolio loans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39,034</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Purchase of portfolio loans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 of premises and equipment</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bank owned life insurance death benefits</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Change in FHLB stock, net</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6,915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(8,813)</w:t>
            </w:r>
          </w:p>
        </w:tc>
        <w:tc>
          <w:tcPr>
            <w:tcW w:w="0" w:type="dxa"/>
            <w:vAlign w:val="bottom"/>
          </w:tcPr>
          <w:p>
            <w:pPr>
              <w:spacing w:after="0"/>
              <w:rPr>
                <w:sz w:val="1"/>
                <w:szCs w:val="1"/>
                <w:color w:val="auto"/>
              </w:rPr>
            </w:pP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Net cash from (used by) investing activities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142,479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(395,301)</w:t>
            </w: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BY) FROM FINANCING ACTIVITIES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Net (decrease) increase in deposits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(98,500)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167,540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borrowings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1,725,337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1,155,007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Repayments of borrowings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(1,789,970)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(936,707)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Dividends paid on common stock</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(disbursements) from stock options exercised, net</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repurchased for employee/director taxes paid on restricted stock awards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Issuance of common stock - employee stock purchase plan</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stock repurchased</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(15,628)</w:t>
            </w:r>
          </w:p>
        </w:tc>
        <w:tc>
          <w:tcPr>
            <w:tcW w:w="0" w:type="dxa"/>
            <w:vAlign w:val="bottom"/>
          </w:tcPr>
          <w:p>
            <w:pPr>
              <w:spacing w:after="0"/>
              <w:rPr>
                <w:sz w:val="1"/>
                <w:szCs w:val="1"/>
                <w:color w:val="auto"/>
              </w:rPr>
            </w:pP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Net cash (used by) from financing activities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(168,277)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364,661</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39,236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133,306</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41,437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26,491</w:t>
            </w: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80,673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159,797</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jc w:val="center"/>
              <w:ind w:left="3150"/>
              <w:spacing w:after="0"/>
              <w:rPr>
                <w:sz w:val="20"/>
                <w:szCs w:val="20"/>
                <w:color w:val="auto"/>
              </w:rPr>
            </w:pPr>
            <w:r>
              <w:rPr>
                <w:rFonts w:ascii="Arial" w:cs="Arial" w:eastAsia="Arial" w:hAnsi="Arial"/>
                <w:sz w:val="18"/>
                <w:szCs w:val="18"/>
                <w:color w:val="auto"/>
                <w:w w:val="79"/>
              </w:rPr>
              <w:t>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BANCORP,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r>
              <w:rPr>
                <w:rFonts w:ascii="Arial" w:cs="Arial" w:eastAsia="Arial" w:hAnsi="Arial"/>
                <w:sz w:val="18"/>
                <w:szCs w:val="18"/>
                <w:b w:val="1"/>
                <w:bCs w:val="1"/>
                <w:color w:val="auto"/>
              </w:rPr>
              <w:t>SUPPLEMENTARY DISCLOSURES OF CASH FLOW INFORMATION</w:t>
            </w: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during the period for:</w:t>
            </w:r>
          </w:p>
        </w:tc>
        <w:tc>
          <w:tcPr>
            <w:tcW w:w="10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Interest on deposits and borrowings</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26,280</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5,538</w:t>
            </w: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10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8,355</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2,897</w:t>
            </w:r>
          </w:p>
        </w:tc>
      </w:tr>
      <w:tr>
        <w:trPr>
          <w:trHeight w:val="216"/>
        </w:trPr>
        <w:tc>
          <w:tcPr>
            <w:tcW w:w="7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8"/>
        </w:trPr>
        <w:tc>
          <w:tcPr>
            <w:tcW w:w="74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SUPPLEMENTARY DISCLOSURES OF NONCASH OPERATING, INVESTING AND</w:t>
            </w:r>
          </w:p>
        </w:tc>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4"/>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Change in unrealized loss on available-for-sale investment securities</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(9,341)</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(47,046)</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unrealized gain on fair value and cash flow hedges</w:t>
            </w:r>
          </w:p>
        </w:tc>
        <w:tc>
          <w:tcPr>
            <w:tcW w:w="10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4,523</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9,405</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Change in unrealized loss on portfolio loans measured under the fair value option</w:t>
            </w:r>
          </w:p>
        </w:tc>
        <w:tc>
          <w:tcPr>
            <w:tcW w:w="10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w:t>
            </w: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(1,780)</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Retention in gross mortgage servicing rights from loan sales</w:t>
            </w:r>
          </w:p>
        </w:tc>
        <w:tc>
          <w:tcPr>
            <w:tcW w:w="10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2,279</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4,935</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OREO received in settlement of loans</w:t>
            </w:r>
          </w:p>
        </w:tc>
        <w:tc>
          <w:tcPr>
            <w:tcW w:w="10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assets in exchange for lease liabilities</w:t>
            </w:r>
          </w:p>
        </w:tc>
        <w:tc>
          <w:tcPr>
            <w:tcW w:w="10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2,034</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3,049</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assets acquired</w:t>
            </w:r>
          </w:p>
        </w:tc>
        <w:tc>
          <w:tcPr>
            <w:tcW w:w="10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87,512</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tcPr>
          <w:p>
            <w:pPr>
              <w:ind w:left="340"/>
              <w:spacing w:after="0"/>
              <w:rPr>
                <w:sz w:val="20"/>
                <w:szCs w:val="20"/>
                <w:color w:val="auto"/>
              </w:rPr>
            </w:pPr>
            <w:r>
              <w:rPr>
                <w:rFonts w:ascii="Arial" w:cs="Arial" w:eastAsia="Arial" w:hAnsi="Arial"/>
                <w:sz w:val="18"/>
                <w:szCs w:val="18"/>
                <w:color w:val="auto"/>
              </w:rPr>
              <w:t>Non-cash liabilities assumed</w:t>
            </w:r>
          </w:p>
        </w:tc>
        <w:tc>
          <w:tcPr>
            <w:tcW w:w="108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424,949</w:t>
            </w:r>
          </w:p>
        </w:tc>
        <w:tc>
          <w:tcPr>
            <w:tcW w:w="5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BANCORP,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BASIS OF PRESENTATION AND SUMMARY OF SIGNIFICANT ACCOUNTING POLICIES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Nature of Operations </w:t>
      </w:r>
      <w:r>
        <w:rPr>
          <w:rFonts w:ascii="Arial" w:cs="Arial" w:eastAsia="Arial" w:hAnsi="Arial"/>
          <w:sz w:val="16"/>
          <w:szCs w:val="16"/>
          <w:color w:val="auto"/>
        </w:rPr>
        <w:t>– FS Bancorp, Inc. (the “Company”) was incorporated in September 2011 as the holding company for 1st Security Bank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Washington (the “Bank” or “1st Security Bank”) in connection with the Bank’s conversion from the mutual to stock form of ownership which was completed on July 9, 2012. The Bank is a community-based savings bank with 27 full-service bank branches, a headquarters that also originates loans and accepts deposits, and loan production offices in suburban communities in the greater Puget Sound area, the Kennewick-Pasco-Richland metropolitan area of Washington, also known as the Tri-Cities, Goldendale, Vancouver, and White Salmon, Washington and Manzanita, Newport, Ontario, Tillamook, and Waldport, Oregon. The Bank’s branches located in the communities of Goldendale and White Salmon, Washington and Manzanita, Newport, Ontario, Tillamook, and Waldport, Oregon were acquired from Columbia State Bank on February 24, 2023, and opened as 1st Security Bank branches on February 27, 2023. The Bank provides loan and deposit services to customers who are predominantly small- and middle-market businesses and individuals. The Company and its subsidiary are subject to regulation by certain federal and state agencies and undergo periodic examination by these regulatory agencies.</w:t>
      </w:r>
    </w:p>
    <w:p>
      <w:pPr>
        <w:spacing w:after="0" w:line="166"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b w:val="1"/>
          <w:bCs w:val="1"/>
          <w:i w:val="1"/>
          <w:iCs w:val="1"/>
          <w:color w:val="auto"/>
        </w:rPr>
        <w:t xml:space="preserve">Financial Statement Presentation </w:t>
      </w:r>
      <w:r>
        <w:rPr>
          <w:rFonts w:ascii="Arial" w:cs="Arial" w:eastAsia="Arial" w:hAnsi="Arial"/>
          <w:sz w:val="17"/>
          <w:szCs w:val="17"/>
          <w:color w:val="auto"/>
        </w:rPr>
        <w:t>– The accompanying unaudited interim consolidated financial statements have been prepared in accordance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principles generally accepted in the United States (“U.S. GAAP”) for interim financial information and in accordance with the instructions to Form 10</w:t>
      </w:r>
      <w:r>
        <w:rPr>
          <w:rFonts w:ascii="MS PGothic" w:cs="MS PGothic" w:eastAsia="MS PGothic" w:hAnsi="MS PGothic"/>
          <w:sz w:val="17"/>
          <w:szCs w:val="17"/>
          <w:color w:val="auto"/>
        </w:rPr>
        <w:t>‑</w:t>
      </w:r>
      <w:r>
        <w:rPr>
          <w:rFonts w:ascii="Arial" w:cs="Arial" w:eastAsia="Arial" w:hAnsi="Arial"/>
          <w:sz w:val="17"/>
          <w:szCs w:val="17"/>
          <w:color w:val="auto"/>
        </w:rPr>
        <w:t>Q and Article 10 of Regulation S-X as promulgated by the Securities and Exchange Commission (“SEC”). These unaudited interim consolidated financial statements should be read in conjunction with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which includes all the audited financial statements and footnotes required by U.S. GAAP for complete financial statements for the year ended December 31, 2022, as filed with the SEC on March 16, 2023. In the opinion of management, all normal adjustments and recurring accruals considered necessary for a fair presentation of the financial position and results of operations for the periods presented have been included.</w:t>
      </w:r>
    </w:p>
    <w:p>
      <w:pPr>
        <w:spacing w:after="0" w:line="20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results for the three and nine months ended September 30, 2023, are not necessarily indicative of the results that may be expected for the year ending December 31, 2023, or any other future period. The preparation of financial statements, in conformity with U.S. GAAP, requires management to make estimates and assumptions that affect amounts reported in the financial statements. Actual results could differ from these estimates. Material estimates that are particularly susceptible to significant change relate to the determination of the allowance for credit losses (“ACL”), fair value of financial instruments, the valuation of servicing rights, business combinations, deferred income taxes, and if needed, a deferred tax asset valuation allowance.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Amounts presented in the consolidated financial statements and footnote tables are rounded and presented to the nearest thousands of dollars except per share amounts. If the amounts are above $1.0 million, they are rounded one decimal point, and if they are above $1.0 billion, they are rounded two decimal points.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 The consolidated financial statements include the accounts of FS Bancorp and its wholly owned subsidiary, 1st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All material intercompany accounts have been eliminated in consolidation.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Segment Reporting </w:t>
      </w:r>
      <w:r>
        <w:rPr>
          <w:rFonts w:ascii="Arial" w:cs="Arial" w:eastAsia="Arial" w:hAnsi="Arial"/>
          <w:sz w:val="18"/>
          <w:szCs w:val="18"/>
          <w:color w:val="auto"/>
        </w:rPr>
        <w:t>– The Company operates in two business segments through the Bank: commercial and consumer banking and home lending.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business segments are determined based on the products and services provided, as well as the nature of the related business activities, and they reflect the way financial information is regularly reviewed for the purpose of allocating resources and evaluating performance of the Company’s businesses. The results for these business segments are based on management’s accounting process, which assigns income statement items and assets to each responsible operating segment. This process is dynamic and is based on management’s view of the Company’s operations. See “Note 15 – Business Segments.”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Subsequent Events </w:t>
      </w:r>
      <w:r>
        <w:rPr>
          <w:rFonts w:ascii="Arial" w:cs="Arial" w:eastAsia="Arial" w:hAnsi="Arial"/>
          <w:sz w:val="17"/>
          <w:szCs w:val="17"/>
          <w:color w:val="auto"/>
        </w:rPr>
        <w:t>– The Company has evaluated events and transactions after September 30, 2023, for potential recognition or disclosure.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March 2020, the Financial Accounting Standards Board (“FASB”) issued Accounting Standards Update (“ASU”) No.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Topic 848</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This ASU provides optional guidance for a limited period to ease the potential burden in accounting for (or recognizing the effects of)</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 rate reform on financial reporting. The amendments in this ASU apply to modifications to agreements (e.g., loans, debt securities, derivatives, borrowings) that replace a reference rate affected by reference rate reform (including rates referenced in fallback provisions) and contemporaneous modifications of other contract terms related to the replacement of the reference rate (including contract modifications to add or change fallback provisions). The following optional expedients for applying the requirements of certain Topics or Industry Subtopics in the Codification are permitted for contracts that are modified because of reference rate reform and that meet certain scope guidance: 1) Modifications of contracts within the scope of Topics 310, Receivables, and 470, Debt, should be accounted for by prospectively adjusting the effective interest rate; 2) Modifications of contracts within the scope of Topics 840, Leases, and 842, Leases, should be accounted for as a continuation of the existing contracts with no reassessments of the lease classification and the discount rate (for example, the incremental borrowing rate) or remeasurements of lease payments that otherwise would be required under those Topics for modifications not accounted for as separate contracts; and 3) Modifications of contracts do not require an entity to reassess its original conclusion about whether that contract contains an embedded derivative that is clearly and closely related to the economic characteristics and risks of the host contract under Subtopic 815-15, Derivatives and Hedging – Embedded Derivatives. In January 2021, ASU 2021-01 updated amendments in the new ASU to clarify that certain optional expedients and exceptions in Topic 848 for contract modifications and hedge accounting apply to derivative instruments that use an interest rate for margining, discounting, or contract price alignment that is modified as a result of reference rate reform. Amendments in this ASU and the expedients and exceptions in Topic 848 capture the incremental consequences of the scope clarification and tailor the existing guidance to derivative instruments affected by the discounting transition. An entity may elect to apply the amendments in this ASU on a full retrospective basis as of any date from the effective dates. The amendments in this ASU have differing effective dates, beginning with an interim period including and subsequent to March 12, 2020 through December 31, 2022, deferred now until December 31, 2024. The Company does not expect the adoption of ASU 2020-04 to have a material impact on its consolidated financial statements.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New Accounting Guidance Adopted in 2023</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January 1, 2023, the Company adopted ASU No. 2022-02,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 </w:t>
      </w:r>
      <w:r>
        <w:rPr>
          <w:rFonts w:ascii="Arial" w:cs="Arial" w:eastAsia="Arial" w:hAnsi="Arial"/>
          <w:sz w:val="18"/>
          <w:szCs w:val="18"/>
          <w:i w:val="1"/>
          <w:iCs w:val="1"/>
          <w:color w:val="auto"/>
        </w:rPr>
        <w:t>Credit Losses (Topic 326)</w:t>
      </w:r>
      <w:r>
        <w:rPr>
          <w:rFonts w:ascii="Arial" w:cs="Arial" w:eastAsia="Arial" w:hAnsi="Arial"/>
          <w:sz w:val="18"/>
          <w:szCs w:val="18"/>
          <w:color w:val="auto"/>
        </w:rPr>
        <w:t>: Troubled Debt Restructurings and Vintage Disclosures. This ASU eliminates the accounting guidance for troubled debt restructurings (“TDRs”) for creditors, requires new disclosures for creditors for certain loan refinancings and restructurings when a borrower is experiencing financial difficulty, and requires public business entities to include current-period gross write-offs in the vintage disclosure tables. The amendments in this ASU are effective for fiscal years beginning after December 15, 2022, including interim periods within those fiscal years. The adoption of ASU 2022-02 did not have a material impact on the Company’s consolidated financial statements.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BUSINESS COMBINATION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24, 2023, the Company’s wholly-owned subsidiary, 1st Security Bank, completed the purchase of seven branches (“Branch Purchase”) from Columbia State Bank to expand its franchise in Washington and Oregon. The Branch Purchase included seven retail bank branches located in the communities of Goldendale and White Salmon, Washington and Manzanita, Newport, Ontario, Tillamook, and Waldport, Oregon. In accordance with the Purchase and Assumption Agreement, dated as of November 7, 2022, between Columbia State Bank and 1st Security Bank, the Bank acquired $425.5 million of deposits, a portfolio of performing loans, six owned bank branches, one lease associated with the bank branches and certain other assets of the branches. In consideration of the purchased assets and transferred liabilities, 1st Security Bank paid (a) the unpaid principal balance and accrued interest of $66.6 million for the loans acquired, (b) the fair value, or approximately $6.3 million, for the bank facilities and certain other assets associated with the acquired branches, and (c) a deposit premium of 4.15% for core deposits and 2.5% for public funds on substantially all of the deposits assumed, which equated to approximately $16.4 million. The transaction was settled with Columbia State Bank paying cash of $334.7 million to 1st Security Bank for the difference between the total assets purchased and the total liabilities assumed.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Branch Purchase was accounted for under the acquisition method of accounting and accordingly, the assets and liabilities were recorded at fair values on February 24, 2023, the date of acquisition. Determining the fair value of assets and liabilities is a complicated process involving significant judgement regarding methods and assumptions used to calculate estimated fair values. Fair values are preliminary and subject to refinement for up to one year after the closing date of the acquisition as information relative to closing date fair values become available. Due to the timing of the data conversion and the integration of operations of the branches onto the Company’s existing operations, historical reporting of the acquired branches is impracticable, and therefore, disclosure of the amounts of revenue and expenses attributable to the acquired branches since the acquisition date are not available.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fair values of assets acquired and liabilities assumed at the date of acquisition: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color w:val="auto"/>
                <w:w w:val="97"/>
              </w:rPr>
              <w:t>Acquired Book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513"/>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Amount</w:t>
            </w:r>
          </w:p>
        </w:tc>
      </w:tr>
      <w:tr>
        <w:trPr>
          <w:trHeight w:val="230"/>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February 24, 2023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Recorded</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336,157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336,157</w:t>
            </w: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receivable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66,093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(2,902)</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63,191</w:t>
            </w: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Premises and equipment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6,342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6,342</w:t>
            </w: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530</w:t>
            </w: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Core deposit intangible ("CDI")</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line="216" w:lineRule="exact"/>
              <w:rPr>
                <w:sz w:val="20"/>
                <w:szCs w:val="20"/>
                <w:color w:val="auto"/>
              </w:rPr>
            </w:pPr>
            <w:r>
              <w:rPr>
                <w:rFonts w:ascii="Arial" w:cs="Arial" w:eastAsia="Arial" w:hAnsi="Arial"/>
                <w:sz w:val="16"/>
                <w:szCs w:val="16"/>
                <w:color w:val="auto"/>
              </w:rPr>
              <w:t>17,438</w:t>
            </w:r>
            <w:r>
              <w:rPr>
                <w:rFonts w:ascii="Arial" w:cs="Arial" w:eastAsia="Arial" w:hAnsi="Arial"/>
                <w:sz w:val="25"/>
                <w:szCs w:val="25"/>
                <w:color w:val="auto"/>
                <w:vertAlign w:val="superscript"/>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17,438</w:t>
            </w: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1,280</w:t>
            </w:r>
            <w:r>
              <w:rPr>
                <w:rFonts w:ascii="Arial" w:cs="Arial" w:eastAsia="Arial" w:hAnsi="Arial"/>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1,280</w:t>
            </w: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r>
      <w:tr>
        <w:trPr>
          <w:trHeight w:val="249"/>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assets acquired</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409,133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15,816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424,949</w:t>
            </w:r>
          </w:p>
        </w:tc>
      </w:tr>
      <w:tr>
        <w:trPr>
          <w:trHeight w:val="197"/>
        </w:trPr>
        <w:tc>
          <w:tcPr>
            <w:tcW w:w="60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6040" w:type="dxa"/>
            <w:vAlign w:val="bottom"/>
          </w:tcPr>
          <w:p>
            <w:pPr>
              <w:ind w:left="340"/>
              <w:spacing w:after="0"/>
              <w:rPr>
                <w:sz w:val="20"/>
                <w:szCs w:val="20"/>
                <w:color w:val="auto"/>
              </w:rPr>
            </w:pPr>
            <w:r>
              <w:rPr>
                <w:rFonts w:ascii="Arial" w:cs="Arial" w:eastAsia="Arial" w:hAnsi="Arial"/>
                <w:sz w:val="18"/>
                <w:szCs w:val="18"/>
                <w:color w:val="auto"/>
              </w:rPr>
              <w:t>Noninterest-bearing accounts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225,567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225,567</w:t>
            </w:r>
          </w:p>
        </w:tc>
      </w:tr>
      <w:tr>
        <w:trPr>
          <w:trHeight w:val="216"/>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Interest-bearing accounts</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199,898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6"/>
                <w:szCs w:val="16"/>
                <w:color w:val="auto"/>
              </w:rPr>
              <w:t>(548)</w:t>
            </w:r>
            <w:r>
              <w:rPr>
                <w:rFonts w:ascii="Arial" w:cs="Arial" w:eastAsia="Arial" w:hAnsi="Arial"/>
                <w:sz w:val="25"/>
                <w:szCs w:val="25"/>
                <w:color w:val="auto"/>
                <w:vertAlign w:val="superscript"/>
              </w:rPr>
              <w:t>(4)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199,350</w:t>
            </w:r>
          </w:p>
        </w:tc>
      </w:tr>
      <w:tr>
        <w:trPr>
          <w:trHeight w:val="210"/>
        </w:trPr>
        <w:tc>
          <w:tcPr>
            <w:tcW w:w="6040" w:type="dxa"/>
            <w:vAlign w:val="bottom"/>
          </w:tcPr>
          <w:p>
            <w:pPr>
              <w:ind w:left="500"/>
              <w:spacing w:after="0"/>
              <w:rPr>
                <w:sz w:val="20"/>
                <w:szCs w:val="20"/>
                <w:color w:val="auto"/>
              </w:rPr>
            </w:pPr>
            <w:r>
              <w:rPr>
                <w:rFonts w:ascii="Arial" w:cs="Arial" w:eastAsia="Arial" w:hAnsi="Arial"/>
                <w:sz w:val="18"/>
                <w:szCs w:val="18"/>
                <w:color w:val="auto"/>
              </w:rPr>
              <w:t>Total deposits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425,465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93"/>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424,917</w:t>
            </w: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r>
      <w:tr>
        <w:trPr>
          <w:trHeight w:val="230"/>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 assumed</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425,497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(548)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424,949</w:t>
            </w:r>
          </w:p>
        </w:tc>
      </w:tr>
      <w:tr>
        <w:trPr>
          <w:trHeight w:val="20"/>
        </w:trPr>
        <w:tc>
          <w:tcPr>
            <w:tcW w:w="6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303" w:lineRule="exact"/>
        <w:rPr>
          <w:sz w:val="20"/>
          <w:szCs w:val="20"/>
          <w:color w:val="auto"/>
        </w:rPr>
      </w:pPr>
    </w:p>
    <w:p>
      <w:pPr>
        <w:jc w:val="both"/>
        <w:ind w:left="340" w:hanging="332"/>
        <w:spacing w:after="0" w:line="279"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fair value discount for acquired loans was determined by separate adjustments to reflect a credit risk and marketability component and a yield component reflecting the differential between portfolio and market yields. The discount on acquired loans will be accreted back into interest income using the effective yield method. None of the loans acquired are purchased financial assets with credit deterioration. The fair value of the loans is $63.2 million and the gross amount due is $66.1 million, none of which is expected to be uncollectable.</w:t>
      </w:r>
    </w:p>
    <w:p>
      <w:pPr>
        <w:spacing w:after="0" w:line="171"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fair value adjustment represents the value of the core deposit base assumed in the Branch Purchase based on a study performed by an independent consulting firm. This amount was recorded by the Company as an identifiable intangible asset and will be amortized as an expense on an accelerated basis over the average life of the core deposit base, which is estimated to be 10 years.</w:t>
      </w:r>
    </w:p>
    <w:p>
      <w:pPr>
        <w:spacing w:after="0" w:line="183"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fair value adjustment represents the value of the goodwill calculated from the purchase based on the purchase price, less the fair value of assets acquired net of liabilities assumed. The goodwill of $1.3 million is attributable to the workforce and customer relationships associated with the branches. All the goodwill is deductible for tax purposes and will be amortized over a 15-year period. The goodwill was assigned to the Commercial and Consumer Banking segment.</w:t>
      </w:r>
    </w:p>
    <w:p>
      <w:pPr>
        <w:spacing w:after="0" w:line="186" w:lineRule="exact"/>
        <w:rPr>
          <w:rFonts w:ascii="Arial" w:cs="Arial" w:eastAsia="Arial" w:hAnsi="Arial"/>
          <w:sz w:val="18"/>
          <w:szCs w:val="18"/>
          <w:color w:val="auto"/>
        </w:rPr>
      </w:pPr>
    </w:p>
    <w:p>
      <w:pPr>
        <w:jc w:val="both"/>
        <w:ind w:left="340" w:hanging="332"/>
        <w:spacing w:after="0" w:line="30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fair value of time deposits was calculated using a discounted cash flow analysis that calculated the present value of the projected cash flows from the portfolio versus the present value of a similar portfolio with a similar maturity profile at current market rates. This adjustment represents a difference in interest rates from the time deposits acquired and the estimated wholesale funding rates used in the application of fair value accounting. The discounted amount will be amortized into expense as an increase in interest expense over the maturity profile of the acquired time deposits.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disclosures regarding pro-forma data and the results of operations after the acquisition date are omitted as this information is not practical to obtain.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branches’ financial information is not reported on a stand-alone basis.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INVESTMENTS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the amortized costs, unrealized gains, unrealized losses, estimated fair values of securities available-for-sale and held-to-maturity, and ACL for securities held-to-maturity at September 30, 2023 and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w w:val="93"/>
              </w:rPr>
              <w:t>September 30, 2023</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95"/>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89"/>
              </w:rPr>
              <w:t>Estimated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b w:val="1"/>
                <w:bCs w:val="1"/>
                <w:color w:val="auto"/>
              </w:rPr>
              <w:t>SECURITIES AVAILABLE-FOR-SALE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1"/>
              </w:rPr>
              <w:t>Cost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7"/>
              </w:rPr>
              <w:t>Losses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7"/>
              </w:rPr>
              <w:t>Values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ACL</w:t>
            </w:r>
          </w:p>
        </w:tc>
      </w:tr>
      <w:tr>
        <w:trPr>
          <w:trHeight w:val="209"/>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17,096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6,354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139,237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108,621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104,097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89,607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Small Business Administration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32,313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30,239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Total securities available-for-sale</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303,799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(52,011)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251,917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r>
      <w:tr>
        <w:trPr>
          <w:trHeight w:val="209"/>
        </w:trPr>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SECURITIES HELD-TO-MATURITY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8,500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7,424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45</w:t>
            </w: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Total securities held-to-maturity</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45</w:t>
            </w:r>
          </w:p>
        </w:tc>
      </w:tr>
      <w:tr>
        <w:trPr>
          <w:trHeight w:val="210"/>
        </w:trPr>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312,299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(53,087)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259,341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ind w:left="700"/>
              <w:spacing w:after="0"/>
              <w:rPr>
                <w:sz w:val="20"/>
                <w:szCs w:val="20"/>
                <w:color w:val="auto"/>
              </w:rPr>
            </w:pPr>
            <w:r>
              <w:rPr>
                <w:rFonts w:ascii="Arial" w:cs="Arial" w:eastAsia="Arial" w:hAnsi="Arial"/>
                <w:sz w:val="18"/>
                <w:szCs w:val="18"/>
                <w:color w:val="auto"/>
              </w:rPr>
              <w:t>45</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628"/>
        </w:trPr>
        <w:tc>
          <w:tcPr>
            <w:tcW w:w="4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w w:val="94"/>
              </w:rPr>
              <w:t>December 31, 2022</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95"/>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89"/>
              </w:rPr>
              <w:t>Estimated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b w:val="1"/>
                <w:bCs w:val="1"/>
                <w:color w:val="auto"/>
              </w:rPr>
              <w:t>SECURITIES AVAILABLE-FOR-SALE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1"/>
              </w:rPr>
              <w:t>Cost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7"/>
              </w:rPr>
              <w:t>Losses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7"/>
              </w:rPr>
              <w:t>Values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ACL</w:t>
            </w:r>
          </w:p>
        </w:tc>
      </w:tr>
      <w:tr>
        <w:trPr>
          <w:trHeight w:val="21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17,288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9,497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8,545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144,200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120,602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82,424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69,966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Small Business Administration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14,519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12,851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Total securities available-for-sale</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271,793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229,252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r>
      <w:tr>
        <w:trPr>
          <w:trHeight w:val="210"/>
        </w:trPr>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SECURITIES HELD-TO-MATURITY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8,500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7,929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31</w:t>
            </w: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Total securities held-to-maturity</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7,929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31</w:t>
            </w:r>
          </w:p>
        </w:tc>
      </w:tr>
      <w:tr>
        <w:trPr>
          <w:trHeight w:val="210"/>
        </w:trPr>
        <w:tc>
          <w:tcPr>
            <w:tcW w:w="4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Total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280,293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(43,160)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237,181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ind w:left="700"/>
              <w:spacing w:after="0"/>
              <w:rPr>
                <w:sz w:val="20"/>
                <w:szCs w:val="20"/>
                <w:color w:val="auto"/>
              </w:rPr>
            </w:pPr>
            <w:r>
              <w:rPr>
                <w:rFonts w:ascii="Arial" w:cs="Arial" w:eastAsia="Arial" w:hAnsi="Arial"/>
                <w:sz w:val="18"/>
                <w:szCs w:val="18"/>
                <w:color w:val="auto"/>
              </w:rPr>
              <w:t>31</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activity in the ACL for securities held-to-maturity by major security type for the three and nine months ended September 30, 2023 and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SECURITIES HELD-TO-MATURITY</w:t>
            </w:r>
          </w:p>
        </w:tc>
        <w:tc>
          <w:tcPr>
            <w:tcW w:w="100" w:type="dxa"/>
            <w:vAlign w:val="bottom"/>
          </w:tcPr>
          <w:p>
            <w:pPr>
              <w:spacing w:after="0"/>
              <w:rPr>
                <w:sz w:val="18"/>
                <w:szCs w:val="18"/>
                <w:color w:val="auto"/>
              </w:rPr>
            </w:pPr>
          </w:p>
        </w:tc>
        <w:tc>
          <w:tcPr>
            <w:tcW w:w="3140" w:type="dxa"/>
            <w:vAlign w:val="bottom"/>
            <w:gridSpan w:val="4"/>
          </w:tcPr>
          <w:p>
            <w:pPr>
              <w:jc w:val="center"/>
              <w:ind w:right="110"/>
              <w:spacing w:after="0"/>
              <w:rPr>
                <w:sz w:val="20"/>
                <w:szCs w:val="20"/>
                <w:color w:val="auto"/>
              </w:rPr>
            </w:pPr>
            <w:r>
              <w:rPr>
                <w:rFonts w:ascii="Arial" w:cs="Arial" w:eastAsia="Arial" w:hAnsi="Arial"/>
                <w:sz w:val="18"/>
                <w:szCs w:val="18"/>
                <w:color w:val="auto"/>
                <w:w w:val="89"/>
              </w:rPr>
              <w:t>For the Three Months Ended September</w:t>
            </w:r>
          </w:p>
        </w:tc>
        <w:tc>
          <w:tcPr>
            <w:tcW w:w="0" w:type="dxa"/>
            <w:vAlign w:val="bottom"/>
          </w:tcPr>
          <w:p>
            <w:pPr>
              <w:spacing w:after="0"/>
              <w:rPr>
                <w:sz w:val="1"/>
                <w:szCs w:val="1"/>
                <w:color w:val="auto"/>
              </w:rPr>
            </w:pPr>
          </w:p>
        </w:tc>
      </w:tr>
      <w:tr>
        <w:trPr>
          <w:trHeight w:val="216"/>
        </w:trPr>
        <w:tc>
          <w:tcPr>
            <w:tcW w:w="8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Beginning allowance balance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8000" w:type="dxa"/>
            <w:vAlign w:val="bottom"/>
          </w:tcPr>
          <w:p>
            <w:pPr>
              <w:ind w:left="340"/>
              <w:spacing w:after="0"/>
              <w:rPr>
                <w:sz w:val="20"/>
                <w:szCs w:val="20"/>
                <w:color w:val="auto"/>
              </w:rPr>
            </w:pPr>
            <w:r>
              <w:rPr>
                <w:rFonts w:ascii="Arial" w:cs="Arial" w:eastAsia="Arial" w:hAnsi="Arial"/>
                <w:sz w:val="18"/>
                <w:szCs w:val="18"/>
                <w:color w:val="auto"/>
              </w:rPr>
              <w:t>Provision for credit losses</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ending allowance balance</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98"/>
        </w:trPr>
        <w:tc>
          <w:tcPr>
            <w:tcW w:w="8000" w:type="dxa"/>
            <w:vAlign w:val="bottom"/>
          </w:tcPr>
          <w:p>
            <w:pPr>
              <w:spacing w:after="0"/>
              <w:rPr>
                <w:sz w:val="20"/>
                <w:szCs w:val="20"/>
                <w:color w:val="auto"/>
              </w:rPr>
            </w:pPr>
            <w:r>
              <w:rPr>
                <w:rFonts w:ascii="Arial" w:cs="Arial" w:eastAsia="Arial" w:hAnsi="Arial"/>
                <w:sz w:val="18"/>
                <w:szCs w:val="18"/>
                <w:b w:val="1"/>
                <w:bCs w:val="1"/>
                <w:color w:val="auto"/>
              </w:rPr>
              <w:t>SECURITIES HELD-TO-MATURITY</w:t>
            </w:r>
          </w:p>
        </w:tc>
        <w:tc>
          <w:tcPr>
            <w:tcW w:w="3240" w:type="dxa"/>
            <w:vAlign w:val="bottom"/>
            <w:gridSpan w:val="5"/>
          </w:tcPr>
          <w:p>
            <w:pPr>
              <w:ind w:left="20"/>
              <w:spacing w:after="0"/>
              <w:rPr>
                <w:sz w:val="20"/>
                <w:szCs w:val="20"/>
                <w:color w:val="auto"/>
              </w:rPr>
            </w:pPr>
            <w:r>
              <w:rPr>
                <w:rFonts w:ascii="Arial" w:cs="Arial" w:eastAsia="Arial" w:hAnsi="Arial"/>
                <w:sz w:val="18"/>
                <w:szCs w:val="18"/>
                <w:color w:val="auto"/>
                <w:w w:val="93"/>
              </w:rPr>
              <w:t>For the Nine Months Ended September 30,</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Beginning allowance balance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Impact of adopting ASU 2016-13</w:t>
            </w: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(recapture) for credit losses</w:t>
            </w: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9"/>
        </w:trPr>
        <w:tc>
          <w:tcPr>
            <w:tcW w:w="8000" w:type="dxa"/>
            <w:vAlign w:val="bottom"/>
          </w:tcPr>
          <w:p>
            <w:pPr>
              <w:ind w:left="180"/>
              <w:spacing w:after="0"/>
              <w:rPr>
                <w:sz w:val="20"/>
                <w:szCs w:val="20"/>
                <w:color w:val="auto"/>
              </w:rPr>
            </w:pPr>
            <w:r>
              <w:rPr>
                <w:rFonts w:ascii="Arial" w:cs="Arial" w:eastAsia="Arial" w:hAnsi="Arial"/>
                <w:sz w:val="18"/>
                <w:szCs w:val="18"/>
                <w:color w:val="auto"/>
              </w:rPr>
              <w:t>Total ending allowance balance</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measures expected credit losses on held-to-maturity debt securities on an individual basis. The estimate of expected credit losses considers historical credit loss information that is adjusted for current conditions and reasonable and supportable forecasts. Accrued interest receivable on held-to-maturity debt securities totaled $117,000 and $116,000 at September 30, 2023 and December 31, 2022, and was $2.0 million and $1.2 million on available-for-sale debt securities as of September 30, 2023 and December 31, 2022, respectively. Accrued interest receivable on securities is reported in “Accrued interest receivable” on the Consolidated Balance Sheets and is excluded from the calculation of the ACL.</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Bank monitors the credit quality of debt securities held-to-maturity quarterly using credit rating, material event notices, and changes in market value.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amortized cost of debt securities held-to-maturity at the dates indicated, aggregated by credit quality indicator:</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w w:val="91"/>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Corporate securities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r>
      <w:tr>
        <w:trPr>
          <w:trHeight w:val="21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BBB/BBB-</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BB+</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2023, there were no debt securities held-to-maturity that were classified as either nonaccrual or 90 days or more past due and still accruing interest.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as of September 30, 2023, investment securities which were pledged to secure borrowings, public deposits or other obligations as permitted or required by law: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93"/>
              </w:rPr>
              <w:t>September 30, 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10"/>
        </w:trPr>
        <w:tc>
          <w:tcPr>
            <w:tcW w:w="5060" w:type="dxa"/>
            <w:vAlign w:val="bottom"/>
          </w:tcPr>
          <w:p>
            <w:pPr>
              <w:spacing w:after="0"/>
              <w:rPr>
                <w:sz w:val="20"/>
                <w:szCs w:val="20"/>
                <w:color w:val="auto"/>
              </w:rPr>
            </w:pPr>
            <w:r>
              <w:rPr>
                <w:rFonts w:ascii="Arial" w:cs="Arial" w:eastAsia="Arial" w:hAnsi="Arial"/>
                <w:sz w:val="18"/>
                <w:szCs w:val="18"/>
                <w:color w:val="auto"/>
              </w:rPr>
              <w:t>Purpose or beneficiary</w:t>
            </w:r>
          </w:p>
        </w:tc>
        <w:tc>
          <w:tcPr>
            <w:tcW w:w="1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Carrying Value</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Amortized Cost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Fair Value</w:t>
            </w:r>
          </w:p>
        </w:tc>
      </w:tr>
      <w:tr>
        <w:trPr>
          <w:trHeight w:val="210"/>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local government public deposits</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36,866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45,834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36,866</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Federal Reserve Bank - Bank Term Funding Program facility</w:t>
            </w:r>
          </w:p>
        </w:tc>
        <w:tc>
          <w:tcPr>
            <w:tcW w:w="1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73,722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90,399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73,722</w:t>
            </w:r>
          </w:p>
        </w:tc>
      </w:tr>
      <w:tr>
        <w:trPr>
          <w:trHeight w:val="250"/>
        </w:trPr>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pledged securities</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110,588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136,233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110,588</w:t>
            </w:r>
          </w:p>
        </w:tc>
      </w:tr>
      <w:tr>
        <w:trPr>
          <w:trHeight w:val="413"/>
        </w:trPr>
        <w:tc>
          <w:tcPr>
            <w:tcW w:w="506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jc w:val="right"/>
              <w:ind w:right="510"/>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115"/>
        </w:trPr>
        <w:tc>
          <w:tcPr>
            <w:tcW w:w="50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 securities that were in an unrealized loss position at the dates indicated are presented in the following tables, based on the length of time individual securities have been in an unrealized loss position.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September 30, 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color w:val="auto"/>
              </w:rPr>
              <w:t>Less than 12 Months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color w:val="auto"/>
              </w:rPr>
              <w:t>12 Months or Longer</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270"/>
              <w:spacing w:after="0" w:line="195" w:lineRule="exact"/>
              <w:rPr>
                <w:sz w:val="20"/>
                <w:szCs w:val="20"/>
                <w:color w:val="auto"/>
              </w:rPr>
            </w:pPr>
            <w:r>
              <w:rPr>
                <w:rFonts w:ascii="Arial" w:cs="Arial" w:eastAsia="Arial" w:hAnsi="Arial"/>
                <w:sz w:val="18"/>
                <w:szCs w:val="18"/>
                <w:color w:val="auto"/>
                <w:w w:val="90"/>
              </w:rPr>
              <w:t>Fair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250"/>
              <w:spacing w:after="0" w:line="195"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230"/>
              <w:spacing w:after="0" w:line="195"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2"/>
              </w:rPr>
              <w:t>Unrealized</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b w:val="1"/>
                <w:bCs w:val="1"/>
                <w:color w:val="auto"/>
              </w:rPr>
              <w:t>SECURITIES AVAILABLE-FOR-SALE</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6"/>
              </w:rPr>
              <w:t>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4"/>
              </w:rPr>
              <w:t>Losses</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7"/>
              </w:rPr>
              <w:t>Losses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4"/>
              </w:rPr>
              <w:t>Losses</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 securities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15,054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15,054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4,313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4,313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102,969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108,568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(30,617)</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18,216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65,134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83,350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(14,535)</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U.S. Small Business Administration</w:t>
            </w:r>
          </w:p>
        </w:tc>
        <w:tc>
          <w:tcPr>
            <w:tcW w:w="2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21,646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8,593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30,239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17"/>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8"/>
                <w:szCs w:val="18"/>
                <w:color w:val="auto"/>
              </w:rPr>
              <w:t>Total securities available-for-sale</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45,461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196,063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(51,328)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241,524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(52,011)</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SECURITIES HELD-TO-MATURITY</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securities</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7,424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7,424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8"/>
                <w:szCs w:val="18"/>
                <w:color w:val="auto"/>
              </w:rPr>
              <w:t>Total securities held-to-maturity</w:t>
            </w: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7,424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7,424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Pr>
          <w:p>
            <w:pPr>
              <w:ind w:left="340"/>
              <w:spacing w:after="0"/>
              <w:rPr>
                <w:sz w:val="20"/>
                <w:szCs w:val="20"/>
                <w:color w:val="auto"/>
              </w:rPr>
            </w:pPr>
            <w:r>
              <w:rPr>
                <w:rFonts w:ascii="Arial" w:cs="Arial" w:eastAsia="Arial" w:hAnsi="Arial"/>
                <w:sz w:val="18"/>
                <w:szCs w:val="18"/>
                <w:color w:val="auto"/>
              </w:rPr>
              <w:t>Total securities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45,461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203,487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(52,404)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248,948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(53,087)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color w:val="auto"/>
              </w:rPr>
              <w:t>December 31, 2022</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color w:val="auto"/>
              </w:rPr>
              <w:t>Less than 12 Months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color w:val="auto"/>
              </w:rPr>
              <w:t>12 Months or Longer</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270"/>
              <w:spacing w:after="0" w:line="195" w:lineRule="exact"/>
              <w:rPr>
                <w:sz w:val="20"/>
                <w:szCs w:val="20"/>
                <w:color w:val="auto"/>
              </w:rPr>
            </w:pPr>
            <w:r>
              <w:rPr>
                <w:rFonts w:ascii="Arial" w:cs="Arial" w:eastAsia="Arial" w:hAnsi="Arial"/>
                <w:sz w:val="18"/>
                <w:szCs w:val="18"/>
                <w:color w:val="auto"/>
                <w:w w:val="90"/>
              </w:rPr>
              <w:t>Fair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250"/>
              <w:spacing w:after="0" w:line="195"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230"/>
              <w:spacing w:after="0" w:line="195"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2"/>
              </w:rPr>
              <w:t>Unrealized</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b w:val="1"/>
                <w:bCs w:val="1"/>
                <w:color w:val="auto"/>
              </w:rPr>
              <w:t>SECURITIES AVAILABLE-FOR-SALE</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6"/>
              </w:rPr>
              <w:t>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4"/>
              </w:rPr>
              <w:t>Losses</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7"/>
              </w:rPr>
              <w:t>Losses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4"/>
              </w:rPr>
              <w:t>Losses</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 securities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3,823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13,465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17,288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2,494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6,520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44,261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73,990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118,251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(23,619)</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29,791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40,175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69,966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(12,458)</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U.S. Small Business Administration</w:t>
            </w:r>
          </w:p>
        </w:tc>
        <w:tc>
          <w:tcPr>
            <w:tcW w:w="2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10,807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2,044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12,851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17"/>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Total securities available-for-sale</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91,176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133,700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224,876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(42,589)</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SECURITIES HELD-TO-MATURITY</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securities</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7,929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7,929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Total securities held-to-maturity</w:t>
            </w: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7,929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7,929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Pr>
          <w:p>
            <w:pPr>
              <w:ind w:left="340"/>
              <w:spacing w:after="0"/>
              <w:rPr>
                <w:sz w:val="20"/>
                <w:szCs w:val="20"/>
                <w:color w:val="auto"/>
              </w:rPr>
            </w:pPr>
            <w:r>
              <w:rPr>
                <w:rFonts w:ascii="Arial" w:cs="Arial" w:eastAsia="Arial" w:hAnsi="Arial"/>
                <w:sz w:val="18"/>
                <w:szCs w:val="18"/>
                <w:color w:val="auto"/>
              </w:rPr>
              <w:t>Total securities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99,105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(10,837)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133,700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(32,323)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232,805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(43,160)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held-to-maturity debt securities in an unrealized loss position of less than one year and seven held-to-maturity debt securities in an unrealized loss position of more than one year at September 30, 2023. There were seven held-to-maturity debt securities in an unrealized loss position of less than one year and none in an unrealized loss position of more than one year at December 31, 2022.</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were 24 available-for-sale securities in an unrealized loss position of less than one year, and 181 available-for-sale securities in an unrealized loss position of more than one year at September 30, 2023. There were 88 available-for-sale securities in an unrealized loss position of less than one year, and 106 available-for-sale securities in an unrealized loss position of more than one year at December 31, 2022. The unrealized losses associated with these securities are believed to be caused by changing market conditions and considered to be temporary, and the Company does not intend and is not likely to be required to sell these securities prior to maturity. Management monitors the published credit ratings of the issuers of the debt securities for material ratings or outlook changes. Substantially all the Company’s municipal bond portfolio is comprised of obligations of states and political subdivisions located within the Company’s geographic footprint that are monitored through quarterly or annual financial review utilizing published credit ratings. All the municipal bond securities are investment grade.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the available-for-sale mortgage-backed securities and U.S. Small Business Administration securities in an unrealized loss position are issued or guaranteed by government-sponsored enterprises, and the available-for-sale corporate securities are all investment grade and monitored for rating or outlook changes. Based on the Company’s evaluation of these securities, no credit impairment was recorded for the nine months ended September 30, 2023, or for the year ended December 31, 2022.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contractual maturities of securities available-for-sale and held-to-maturity at the dates indicated are listed below. Expected maturities of mortgage-backed securities may differ from contractual maturities because borrowers may have the right to call or prepay the obligations; therefore, these securities are classified separately with no specific maturity date.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SECURITIES AVAILABLE-FOR-SALE</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2023</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2022</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30"/>
              <w:spacing w:after="0" w:line="195" w:lineRule="exact"/>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Fair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90"/>
              <w:spacing w:after="0" w:line="195" w:lineRule="exact"/>
              <w:rPr>
                <w:sz w:val="20"/>
                <w:szCs w:val="20"/>
                <w:color w:val="auto"/>
              </w:rPr>
            </w:pPr>
            <w:r>
              <w:rPr>
                <w:rFonts w:ascii="Arial" w:cs="Arial" w:eastAsia="Arial" w:hAnsi="Arial"/>
                <w:sz w:val="18"/>
                <w:szCs w:val="18"/>
                <w:color w:val="auto"/>
                <w:w w:val="96"/>
              </w:rPr>
              <w:t>Amortized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color w:val="auto"/>
              </w:rPr>
              <w:t>U.S. agency securities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within one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3,944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4,874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after five years through ten years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11,971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5,963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Due after ten years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4,310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3,165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9,290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7,004</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21,152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17,096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21,153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17,288</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Corporate securities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within one year</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after five years through ten years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Due after ten years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6,354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9,497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8,545</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b w:val="1"/>
                <w:bCs w:val="1"/>
                <w:color w:val="auto"/>
              </w:rPr>
              <w:t>Municipal bonds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within one year</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after five years through ten years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Due after ten years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131,926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102,058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134,161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111,175</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139,237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108,621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144,200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120,602</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Mortgage-backed securities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National Mortgage Association (“FNMA”)</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71,822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59,197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68,421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57,358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Federal Home Loan Mortgage Corporation (“FHLMC”)</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28,032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26,907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9,290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8,424</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Government National Mortgage Association (“GNMA”)</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4,243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3,503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4,713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4,184</w:t>
            </w:r>
          </w:p>
        </w:tc>
        <w:tc>
          <w:tcPr>
            <w:tcW w:w="0" w:type="dxa"/>
            <w:vAlign w:val="bottom"/>
          </w:tcPr>
          <w:p>
            <w:pPr>
              <w:spacing w:after="0"/>
              <w:rPr>
                <w:sz w:val="1"/>
                <w:szCs w:val="1"/>
                <w:color w:val="auto"/>
              </w:rPr>
            </w:pP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104,097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89,607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82,424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69,966</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Small Business Administration securities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Due within one year</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Due after five years through ten years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13,685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13,105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after ten years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16,541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15,162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7,505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6,448</w:t>
            </w:r>
          </w:p>
        </w:tc>
        <w:tc>
          <w:tcPr>
            <w:tcW w:w="0" w:type="dxa"/>
            <w:vAlign w:val="bottom"/>
          </w:tcPr>
          <w:p>
            <w:pPr>
              <w:spacing w:after="0"/>
              <w:rPr>
                <w:sz w:val="1"/>
                <w:szCs w:val="1"/>
                <w:color w:val="auto"/>
              </w:rPr>
            </w:pP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32,313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30,239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14,519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12,851</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securities available-for-sale</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303,799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251,917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271,793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229,252</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SECURITIES HELD-TO-MATURITY</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Corporate securities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after five years through ten years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8,500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7,424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7,929</w:t>
            </w:r>
          </w:p>
        </w:tc>
        <w:tc>
          <w:tcPr>
            <w:tcW w:w="0" w:type="dxa"/>
            <w:vAlign w:val="bottom"/>
          </w:tcPr>
          <w:p>
            <w:pPr>
              <w:spacing w:after="0"/>
              <w:rPr>
                <w:sz w:val="1"/>
                <w:szCs w:val="1"/>
                <w:color w:val="auto"/>
              </w:rPr>
            </w:pPr>
          </w:p>
        </w:tc>
      </w:tr>
      <w:tr>
        <w:trPr>
          <w:trHeight w:val="210"/>
        </w:trPr>
        <w:tc>
          <w:tcPr>
            <w:tcW w:w="5980" w:type="dxa"/>
            <w:vAlign w:val="bottom"/>
          </w:tcPr>
          <w:p>
            <w:pPr>
              <w:ind w:left="500"/>
              <w:spacing w:after="0"/>
              <w:rPr>
                <w:sz w:val="20"/>
                <w:szCs w:val="20"/>
                <w:color w:val="auto"/>
              </w:rPr>
            </w:pPr>
            <w:r>
              <w:rPr>
                <w:rFonts w:ascii="Arial" w:cs="Arial" w:eastAsia="Arial" w:hAnsi="Arial"/>
                <w:sz w:val="18"/>
                <w:szCs w:val="18"/>
                <w:color w:val="auto"/>
              </w:rPr>
              <w:t>Total securities held-to-maturity</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7,929</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312,299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259,341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280,293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237,181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sales proceeds, gains or losses from the sale of securities available-for-sale for the three and nine months ended September 30, 2023 and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723"/>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w:t>
            </w:r>
            <w:r>
              <w:rPr>
                <w:rFonts w:ascii="Arial" w:cs="Arial" w:eastAsia="Arial" w:hAnsi="Arial"/>
                <w:sz w:val="18"/>
                <w:szCs w:val="18"/>
                <w:b w:val="1"/>
                <w:bCs w:val="1"/>
                <w:color w:val="auto"/>
              </w:rPr>
              <w:t xml:space="preserve"> LOANS RECEIVABLE AND ALLOWANCE FOR CREDIT LOSSES </w:t>
            </w:r>
            <w:r>
              <w:rPr>
                <w:rFonts w:ascii="Arial" w:cs="Arial" w:eastAsia="Arial" w:hAnsi="Arial"/>
                <w:sz w:val="18"/>
                <w:szCs w:val="18"/>
                <w:color w:val="auto"/>
              </w:rPr>
              <w:t>–</w:t>
            </w:r>
            <w:r>
              <w:rPr>
                <w:rFonts w:ascii="Arial" w:cs="Arial" w:eastAsia="Arial" w:hAnsi="Arial"/>
                <w:sz w:val="18"/>
                <w:szCs w:val="18"/>
                <w:b w:val="1"/>
                <w:bCs w:val="1"/>
                <w:color w:val="auto"/>
              </w:rPr>
              <w:t xml:space="preserve"> LOANS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color w:val="auto"/>
              </w:rPr>
              <w:t>The composition of the loan portfolio was as follows at the dates indicated:</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w w:val="91"/>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REAL ESTATE LOANS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r>
      <w:tr>
        <w:trPr>
          <w:trHeight w:val="209"/>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364,673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334,059</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Construction and development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289,873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342,591</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67,103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55,387</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One-to-four-family (excludes loans held for sale)</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540,670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469,485</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Multi-family</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243,661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219,738</w:t>
            </w:r>
          </w:p>
        </w:tc>
      </w:tr>
      <w:tr>
        <w:trPr>
          <w:trHeight w:val="209"/>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real estate loans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1,505,980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1,421,260</w:t>
            </w: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CONSUMER LOANS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Indirect home improvement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562,650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495,941</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Marine</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73,887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70,567</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Other consumer</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3,064</w:t>
            </w:r>
          </w:p>
        </w:tc>
      </w:tr>
      <w:tr>
        <w:trPr>
          <w:trHeight w:val="210"/>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consumer loans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640,084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569,572</w:t>
            </w: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COMMERCIAL BUSINESS LOANS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236,520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196,791</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Warehouse lending</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23,489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31,229</w:t>
            </w:r>
          </w:p>
        </w:tc>
      </w:tr>
      <w:tr>
        <w:trPr>
          <w:trHeight w:val="210"/>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commercial business loans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260,009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228,020</w:t>
            </w:r>
          </w:p>
        </w:tc>
      </w:tr>
      <w:tr>
        <w:trPr>
          <w:trHeight w:val="209"/>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Total loans receivable, gross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2,406,073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2,218,852</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ACL for loans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(27,992)</w:t>
            </w: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Total loans receivable,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2,375,572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2,190,860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Loan amounts are net of unearned loan fees in excess of unamortized costs and premiums of $8.3 million as of September 30, 2023 and $7.8 million as of December 31, 2022. Net loans include unamortized net discounts on acquired loans of $2.8 million and $437,000 as of September 30, 2023 and December 31, 2022, respectively. Net loans do not include accrued interest receivable. Accrued interest receivable on loans was $11.0 million and $9.6 million as of September 30, 2023 and December 31, 2022, respectively, and was reported in “Accrued interest receivable” on the Consolidated Balance Sheets.</w:t>
      </w:r>
    </w:p>
    <w:p>
      <w:pPr>
        <w:spacing w:after="0" w:line="1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Most of the Company’s commercial and multi-family real estate, construction, residential, and/or commercial business lending activities are with customers located in Western Washington, the Oregon Coast, and near our loan production offices in Vancouver, Washington and the Tri-Cities, Washington. The Company originates real estate, consumer, and commercial business loans and has concentrations in these areas, however, indirect home improvement loans, including solar-related home improvement loans, are originated through a network of home improvement contractors and dealers located throughout Washington, Oregon, California, Idaho, Colorado, Arizona, Minnesota, Nevada, Texas, Utah, Massachusetts, Montana, and recently New Hampshire. Management reviewed dealer concentrations and determined as of September 30, 2023, any dealer owned by the same corporate entity will now be included under that corporate entity and not as a separate dealer. Loans are generally secured by collateral and rights to collateral vary and are legally documented to the extent practicable. Local economic conditions may affect borrowers’ ability to meet the stated repayment terms.</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September 30, 2023, the Bank held approximately $1.03 billion in loans that are pledged as collateral for FHLB advances, compared to approximately $840.2 million at December 31, 2022. The Bank held approximately $629.3 million in loans that are pledged as collateral for the Federal Reserve Bank of San Francisco (the “FRB”) line of credit at September 30, 2023, compared to approximately $579.8 million at December 31, 2022.</w:t>
      </w:r>
    </w:p>
    <w:p>
      <w:pPr>
        <w:spacing w:after="0" w:line="14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has defined its loan portfolio into three segments that reflect the structure of the lending function, the Company’s strategic plan and the way management monitors performance and credit quality. The three loan portfolio segments are: (a) Real Estate Loans, (b) Consumer Loans, and</w:t>
      </w:r>
    </w:p>
    <w:p>
      <w:pPr>
        <w:ind w:firstLine="8"/>
        <w:spacing w:after="0" w:line="260"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 Business Loans. Each of these segments is disaggregated into classes based on the risk characteristics of the borrower and/or the collateral type securing the loan. The following is a summary of each of the Company’s loan portfolio segments and classes: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Commercial Lending</w:t>
      </w:r>
      <w:r>
        <w:rPr>
          <w:rFonts w:ascii="Arial" w:cs="Arial" w:eastAsia="Arial" w:hAnsi="Arial"/>
          <w:sz w:val="18"/>
          <w:szCs w:val="18"/>
          <w:color w:val="auto"/>
        </w:rPr>
        <w:t>. Loans originated by the Company primarily secured by income-producing properties, including retail centers, warehouses, and office</w:t>
      </w:r>
      <w:r>
        <w:rPr>
          <w:rFonts w:ascii="Arial" w:cs="Arial" w:eastAsia="Arial" w:hAnsi="Arial"/>
          <w:sz w:val="18"/>
          <w:szCs w:val="18"/>
          <w:i w:val="1"/>
          <w:iCs w:val="1"/>
          <w:color w:val="auto"/>
        </w:rPr>
        <w:t xml:space="preserve"> </w:t>
      </w:r>
      <w:r>
        <w:rPr>
          <w:rFonts w:ascii="Arial" w:cs="Arial" w:eastAsia="Arial" w:hAnsi="Arial"/>
          <w:sz w:val="18"/>
          <w:szCs w:val="18"/>
          <w:color w:val="auto"/>
        </w:rPr>
        <w:t>buildings located in our market areas.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Construction and Development Lending</w:t>
      </w:r>
      <w:r>
        <w:rPr>
          <w:rFonts w:ascii="Arial" w:cs="Arial" w:eastAsia="Arial" w:hAnsi="Arial"/>
          <w:sz w:val="18"/>
          <w:szCs w:val="18"/>
          <w:color w:val="auto"/>
        </w:rPr>
        <w:t>. Loans originated by the Company for the construction of, and secured by, commercial real estate, one-to-four-family, and multi-family residences and tracts of land for development that are not pre-sold. A portion of the one-to-four-family construction portfolio is custom construction loans to the intended occupant of the residence.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Home Equity Lending</w:t>
      </w:r>
      <w:r>
        <w:rPr>
          <w:rFonts w:ascii="Arial" w:cs="Arial" w:eastAsia="Arial" w:hAnsi="Arial"/>
          <w:sz w:val="18"/>
          <w:szCs w:val="18"/>
          <w:color w:val="auto"/>
        </w:rPr>
        <w:t>. Loans originated by the Company secured by second mortgages on one-to-four-family residences, including home equity lines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in our market areas.</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One-to-Four-Family Real Estate Lending</w:t>
      </w:r>
      <w:r>
        <w:rPr>
          <w:rFonts w:ascii="Arial" w:cs="Arial" w:eastAsia="Arial" w:hAnsi="Arial"/>
          <w:sz w:val="17"/>
          <w:szCs w:val="17"/>
          <w:color w:val="auto"/>
        </w:rPr>
        <w:t>. One-to-four-family residential loans include owner occupied properties (including second homes), and non-owner-occupied properties with four or less units. These loans originated by the Company or periodically purchased from banks are secured by first mortgages on one-to-four-family residences in our market areas that the Company intends to hold (excludes loans held for sale).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Multi-Family Lending</w:t>
      </w:r>
      <w:r>
        <w:rPr>
          <w:rFonts w:ascii="Arial" w:cs="Arial" w:eastAsia="Arial" w:hAnsi="Arial"/>
          <w:sz w:val="18"/>
          <w:szCs w:val="18"/>
          <w:color w:val="auto"/>
        </w:rPr>
        <w:t>. Apartment term lending (five or more units) to current banking customers and community reinvestment loans for low to moderate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individuals in the Company’s footprint.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Loans</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Indirect Home Improvement</w:t>
      </w:r>
      <w:r>
        <w:rPr>
          <w:rFonts w:ascii="Arial" w:cs="Arial" w:eastAsia="Arial" w:hAnsi="Arial"/>
          <w:sz w:val="18"/>
          <w:szCs w:val="18"/>
          <w:color w:val="auto"/>
        </w:rPr>
        <w:t>. Fixture secured loans for home improvement are originated by the Company through its network of home improvement</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contractors and dealers and are secured by the personal property installed in, on, or at the borrower’s real property, and may be perfected with a UCC</w:t>
      </w:r>
      <w:r>
        <w:rPr>
          <w:rFonts w:ascii="MS PGothic" w:cs="MS PGothic" w:eastAsia="MS PGothic" w:hAnsi="MS PGothic"/>
          <w:sz w:val="18"/>
          <w:szCs w:val="18"/>
          <w:color w:val="auto"/>
        </w:rPr>
        <w:t>‑</w:t>
      </w:r>
      <w:r>
        <w:rPr>
          <w:rFonts w:ascii="Arial" w:cs="Arial" w:eastAsia="Arial" w:hAnsi="Arial"/>
          <w:sz w:val="18"/>
          <w:szCs w:val="18"/>
          <w:color w:val="auto"/>
        </w:rPr>
        <w:t>2 financing statement filed in the county of the borrower’s residence. These indirect home improvement loans include replacement windows, siding, roofing, spas, and other home fixture installations, including solar related home improvement projects.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Marine</w:t>
      </w:r>
      <w:r>
        <w:rPr>
          <w:rFonts w:ascii="Arial" w:cs="Arial" w:eastAsia="Arial" w:hAnsi="Arial"/>
          <w:sz w:val="17"/>
          <w:szCs w:val="17"/>
          <w:color w:val="auto"/>
        </w:rPr>
        <w:t>. Loans originated by the Company, secured by boats, to borrowers primarily located in states where the Company originates consumer loans.</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Other Consumer</w:t>
      </w:r>
      <w:r>
        <w:rPr>
          <w:rFonts w:ascii="Arial" w:cs="Arial" w:eastAsia="Arial" w:hAnsi="Arial"/>
          <w:sz w:val="17"/>
          <w:szCs w:val="17"/>
          <w:color w:val="auto"/>
        </w:rPr>
        <w:t>. Loans originated by the Company to consumers in our retail branch footprint, including automobiles, recreational vehicles, direct home</w:t>
      </w:r>
      <w:r>
        <w:rPr>
          <w:rFonts w:ascii="Arial" w:cs="Arial" w:eastAsia="Arial" w:hAnsi="Arial"/>
          <w:sz w:val="17"/>
          <w:szCs w:val="17"/>
          <w:i w:val="1"/>
          <w:iCs w:val="1"/>
          <w:color w:val="auto"/>
        </w:rPr>
        <w:t xml:space="preserve"> </w:t>
      </w:r>
      <w:r>
        <w:rPr>
          <w:rFonts w:ascii="Arial" w:cs="Arial" w:eastAsia="Arial" w:hAnsi="Arial"/>
          <w:sz w:val="17"/>
          <w:szCs w:val="17"/>
          <w:color w:val="auto"/>
        </w:rPr>
        <w:t>improvement loans, loans on deposits, and other consumer loans, primarily consisting of personal lines of credit and credit cards.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Business Loans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Commercial and Industrial (</w:t>
      </w:r>
      <w:r>
        <w:rPr>
          <w:rFonts w:ascii="Arial" w:cs="Arial" w:eastAsia="Arial" w:hAnsi="Arial"/>
          <w:sz w:val="18"/>
          <w:szCs w:val="18"/>
          <w:color w:val="auto"/>
        </w:rPr>
        <w:t>“</w:t>
      </w:r>
      <w:r>
        <w:rPr>
          <w:rFonts w:ascii="Arial" w:cs="Arial" w:eastAsia="Arial" w:hAnsi="Arial"/>
          <w:sz w:val="18"/>
          <w:szCs w:val="18"/>
          <w:i w:val="1"/>
          <w:iCs w:val="1"/>
          <w:color w:val="auto"/>
        </w:rPr>
        <w:t>C&amp;I</w:t>
      </w:r>
      <w:r>
        <w:rPr>
          <w:rFonts w:ascii="Arial" w:cs="Arial" w:eastAsia="Arial" w:hAnsi="Arial"/>
          <w:sz w:val="18"/>
          <w:szCs w:val="18"/>
          <w:color w:val="auto"/>
        </w:rPr>
        <w:t>”</w:t>
      </w:r>
      <w:r>
        <w:rPr>
          <w:rFonts w:ascii="Arial" w:cs="Arial" w:eastAsia="Arial" w:hAnsi="Arial"/>
          <w:sz w:val="18"/>
          <w:szCs w:val="18"/>
          <w:i w:val="1"/>
          <w:iCs w:val="1"/>
          <w:color w:val="auto"/>
        </w:rPr>
        <w:t xml:space="preserve">) Lending. </w:t>
      </w:r>
      <w:r>
        <w:rPr>
          <w:rFonts w:ascii="Arial" w:cs="Arial" w:eastAsia="Arial" w:hAnsi="Arial"/>
          <w:sz w:val="18"/>
          <w:szCs w:val="18"/>
          <w:color w:val="auto"/>
        </w:rPr>
        <w:t>Loans originated by the Company to local small- and mid-sized businesses in our Puget Sound market area</w:t>
      </w:r>
      <w:r>
        <w:rPr>
          <w:rFonts w:ascii="Arial" w:cs="Arial" w:eastAsia="Arial" w:hAnsi="Arial"/>
          <w:sz w:val="18"/>
          <w:szCs w:val="18"/>
          <w:i w:val="1"/>
          <w:iCs w:val="1"/>
          <w:color w:val="auto"/>
        </w:rPr>
        <w:t xml:space="preserve"> </w:t>
      </w:r>
      <w:r>
        <w:rPr>
          <w:rFonts w:ascii="Arial" w:cs="Arial" w:eastAsia="Arial" w:hAnsi="Arial"/>
          <w:sz w:val="18"/>
          <w:szCs w:val="18"/>
          <w:color w:val="auto"/>
        </w:rPr>
        <w:t>are secured primarily by accounts receivable, inventory, or personal property, plant and equipment. Some of the C&amp;I loans purchased by the Company are outside of the greater Puget Sound market area. C&amp;I loans are made based on the borrower’s ability to make repayment from the cash flow of the borrower’s business.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Warehouse Lending</w:t>
      </w:r>
      <w:r>
        <w:rPr>
          <w:rFonts w:ascii="Arial" w:cs="Arial" w:eastAsia="Arial" w:hAnsi="Arial"/>
          <w:sz w:val="17"/>
          <w:szCs w:val="17"/>
          <w:color w:val="auto"/>
        </w:rPr>
        <w:t>. Loans originated to non-depository financial institutions and secured by notes originated by the non-depository financial institution.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has two distinct warehouse lending divisions: commercial warehouse re-lending secured by notes on construction loans and mortgage warehouse re-lending secured by notes on one-to-four-family loans. The Company’s commercial construction warehouse lines are secured by notes on construction loans and typically guaranteed by principals with experience in construction lending. Mortgage warehouse lending loans are funded through third-party residential mortgage bankers. Under this program the Company provides short-term funding to the mortgage banking companies for the purpose of originating residential mortgage loans for sale into the secondary market.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identifies loans in the Company’s portfolio that must be individually evaluated for loss due to disparate risk characteristics or information suggesting that the Company will be unable to collect all the principal and interest due. For loans individually evaluated, a specific reserve is estimated based on either the fair value of collateral or the discounted value of expected future cash flows. In estimating the fair value of real estate collateral, management utilizes appraisals or evaluations adjusted for costs to dispose and a distressed sale adjustment, if needed. Estimating the fair value of collateral other than real estate is also subjective in nature and sometimes requires difficult and complex judgements. Determining expected future cash flows can be more subjective than determining fair values. Expected future cash flows could differ significantly, both in timing and amount, from the cash flows received over the loan’s remaining life. Individually evaluated loans are excluded from the estimation of credit losses for the pooled portfolio.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Generally, collectively assessed loans are grouped by call report code and then risk-grade grouping. Risk grade is grouped within each call report code by pass, watch, special mention, substandard, and doubtful. Other loan types are separated into their own groups due to specific risk characteristics for that pool of loans.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elected a non-discounted cash flow methodology with probability of default (“PD”) and loss given default (“LGD”) for all call report code cohorts (“cohorts”), except for the indirect and marine portfolios which are evaluated under a vintage methodology. The vintage methodology measures the expected loss calculation for future periods based on historical performance by the origination period of loans with similar life cycles and risk characteristics. Guaranteed portions of loans are measured with zero risk due to cash collateral and full guaranty.</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PD calculation looks at the historical loan portfolio at points in time (each month during the lookback period) to determine the probability that loans in a certain cohort will default over the next 12-month period. A default is defined as a loan that has moved to past due 90 days and greater, nonaccrual status, or experienced a charge-off during the period. In cohorts where the Company’s historical data is insufficient due to a minimal amount of default activity or zero defaults, management uses index PDs comprised of rates derived from the PD experience of other community banks in place of the Company’s historical PDs. Additionally, management reviews all other cohorts to determine if index PDs should be used outside of these criteria.</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LGD calculation looks at actual losses (net charge-offs) experienced over the entire lookback period for each cohort of loans. The aggregate loss amount is divided by the exposure at default to determine an LGD rate. All defaults (non-accrual, charge-off, or greater than 90 days past due) occurring during the lookback period are included in the denominator, whether a loss occurred or not and exposure at default is determined by the loan balance immediately preceding the default event (i.e., nonaccrual or charge-off). Due to limited charge-off history, management uses index LGDs comprised of rates derived from the LGD experience of other community banks in place of the Company’s historical LGDs.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utilizes reasonable and supportable forecasts of future economic conditions when estimating the ACL for loans. The calculation includes a 12-month PD forecast based on the Company’s regression model comparing peer nonperforming loan ratios to the national unemployment rate. After the forecast period, PD rates revert on a straight-line basis back to long-term historical average rates over a 12-month period. Due to limited default history, management uses index PDs comprised of rates derived from the PD experience of other community banks in place of the Company’s historical PDs. The Company recognizes that all significant factors that affect the collectability of the loan portfolio must be considered to determine the estimated credit losses as of the evaluation date. Furthermore, the methodology, in and of itself and even when selectively adjusted by comparison to market and peer data, does not provide a sufficient basis to determine the estimated credit losses. The Company adjusts the modeled historical losses by qualitative and environmental adjustments to incorporate all significant risks to form a sufficient basis to estimate the credit losses.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Modifications to borrowers experiencing financial difficulty are included in loans collectively evaluated for credit loss. An assessment of whether a borrower is experiencing financial difficulty is made on the date of a modification. A charge to the allowance for credit losses is generally not recorded upon modification.</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Management believes that the methods selected fairly reflect the historical loss component of expected losses inherent in the Company’s loan portfolio. However, since future losses could vary significantly from those experienced in the past, on a quarterly basis management adjusts its historical loss experience to reflect current and forecasted conditions. In doing so, management considers a variety of general qualitative and quantitative factors (“Q-factors”) and then subjectively determines the weight to assign to each in estimating losses. Qualitative characteristics include differences in underwriting standards, policies, lending staff and environmental risks. Management also considers whether further adjustments to historical loss information are needed to reflect the extent to which current conditions and reasonable and supportable forecasts over the forecasting horizon differ from the conditions that existed during the historical loss period. These quantitative adjustments reflect changes to relevant data such as changes in unemployment rates, average growth in pools of loans, concentrations of credit, delinquencies or other factors associated with the financial assets. The reversion method is applied for periods beyond the forecasting horizon. The Company’s ACL allocable to pools of loans that are collectively evaluated for credit loss results primarily from these qualitative and quantitative adjustments to historical loss experience. Because of the nature of the Q-factors and the degree of judgement involved in assessing their impact, management’s resulting estimate of losses may not accurately reflect current and future losses in the portfolio.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main drivers of the credit provision recorded in the first nine months of 2023 were increases in outstanding loans and net charge-offs, average growth rates and increases in specific reserves on individually evaluated loans.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detail activity in the ACL for loans by loan categories at or for the three and nine months ended September 30, 2023 and 2022: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color w:val="auto"/>
                <w:w w:val="90"/>
              </w:rPr>
              <w:t>At or For the Three Months Ended September 30, 2023</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95"/>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250"/>
              <w:spacing w:after="0" w:line="195" w:lineRule="exact"/>
              <w:rPr>
                <w:sz w:val="20"/>
                <w:szCs w:val="20"/>
                <w:color w:val="auto"/>
              </w:rPr>
            </w:pPr>
            <w:r>
              <w:rPr>
                <w:rFonts w:ascii="Arial" w:cs="Arial" w:eastAsia="Arial" w:hAnsi="Arial"/>
                <w:sz w:val="18"/>
                <w:szCs w:val="18"/>
                <w:color w:val="auto"/>
                <w:w w:val="91"/>
              </w:rPr>
              <w:t>Real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3"/>
              </w:rPr>
              <w:t>Commercial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b w:val="1"/>
                <w:bCs w:val="1"/>
                <w:color w:val="auto"/>
              </w:rPr>
              <w:t>ACL FOR LOANS</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6"/>
              </w:rPr>
              <w:t>Estate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3"/>
              </w:rPr>
              <w:t>Consumer</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7"/>
              </w:rPr>
              <w:t>Business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Unallocated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14,017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30,350</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Provision (reversal of) for credit losses on loans</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684</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Charge-offs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Recoveries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w:t>
            </w:r>
          </w:p>
        </w:tc>
      </w:tr>
      <w:tr>
        <w:trPr>
          <w:trHeight w:val="209"/>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charge-offs</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Total ending ACL balance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12,803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13,910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30,501</w:t>
            </w:r>
          </w:p>
        </w:tc>
      </w:tr>
      <w:tr>
        <w:trPr>
          <w:trHeight w:val="20"/>
        </w:trPr>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color w:val="auto"/>
                <w:w w:val="90"/>
              </w:rPr>
              <w:t>At or For the Three Months Ended September 30, 2022</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95"/>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250"/>
              <w:spacing w:after="0" w:line="195" w:lineRule="exact"/>
              <w:rPr>
                <w:sz w:val="20"/>
                <w:szCs w:val="20"/>
                <w:color w:val="auto"/>
              </w:rPr>
            </w:pPr>
            <w:r>
              <w:rPr>
                <w:rFonts w:ascii="Arial" w:cs="Arial" w:eastAsia="Arial" w:hAnsi="Arial"/>
                <w:sz w:val="18"/>
                <w:szCs w:val="18"/>
                <w:color w:val="auto"/>
                <w:w w:val="91"/>
              </w:rPr>
              <w:t>Real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3"/>
              </w:rPr>
              <w:t>Commercial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b w:val="1"/>
                <w:bCs w:val="1"/>
                <w:color w:val="auto"/>
              </w:rPr>
              <w:t>ACL FOR LOANS</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6"/>
              </w:rPr>
              <w:t>Estate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3"/>
              </w:rPr>
              <w:t>Consumer</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7"/>
              </w:rPr>
              <w:t>Business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Unallocated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24,967</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(Reversal of) provision for credit losses on loans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2,022</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Charge-offs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Recoveries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w:t>
            </w:r>
          </w:p>
        </w:tc>
      </w:tr>
      <w:tr>
        <w:trPr>
          <w:trHeight w:val="210"/>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charge-offs</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Total ending ACL balance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11,299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11,235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3,892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26,426</w:t>
            </w:r>
          </w:p>
        </w:tc>
      </w:tr>
      <w:tr>
        <w:trPr>
          <w:trHeight w:val="20"/>
        </w:trPr>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color w:val="auto"/>
                <w:w w:val="90"/>
              </w:rPr>
              <w:t>At or For the Nine Months Ended September 30, 2023</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95"/>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250"/>
              <w:spacing w:after="0" w:line="195" w:lineRule="exact"/>
              <w:rPr>
                <w:sz w:val="20"/>
                <w:szCs w:val="20"/>
                <w:color w:val="auto"/>
              </w:rPr>
            </w:pPr>
            <w:r>
              <w:rPr>
                <w:rFonts w:ascii="Arial" w:cs="Arial" w:eastAsia="Arial" w:hAnsi="Arial"/>
                <w:sz w:val="18"/>
                <w:szCs w:val="18"/>
                <w:color w:val="auto"/>
                <w:w w:val="91"/>
              </w:rPr>
              <w:t>Real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3"/>
              </w:rPr>
              <w:t>Commercial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b w:val="1"/>
                <w:bCs w:val="1"/>
                <w:color w:val="auto"/>
              </w:rPr>
              <w:t>ACL FOR LOANS</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6"/>
              </w:rPr>
              <w:t>Estate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3"/>
              </w:rPr>
              <w:t>Consumer</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7"/>
              </w:rPr>
              <w:t>Business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Unallocated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12,109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27,992</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Provision for credit losses on loans</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4,102</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Charge-offs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Recoveries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833</w:t>
            </w:r>
          </w:p>
        </w:tc>
      </w:tr>
      <w:tr>
        <w:trPr>
          <w:trHeight w:val="209"/>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Charge-offs</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Total ending ACL balance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12,803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13,910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30,501</w:t>
            </w:r>
          </w:p>
        </w:tc>
      </w:tr>
      <w:tr>
        <w:trPr>
          <w:trHeight w:val="20"/>
        </w:trPr>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color w:val="auto"/>
                <w:w w:val="90"/>
              </w:rPr>
              <w:t>At or For the Nine Months Ended September 30, 2022</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95"/>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250"/>
              <w:spacing w:after="0" w:line="195" w:lineRule="exact"/>
              <w:rPr>
                <w:sz w:val="20"/>
                <w:szCs w:val="20"/>
                <w:color w:val="auto"/>
              </w:rPr>
            </w:pPr>
            <w:r>
              <w:rPr>
                <w:rFonts w:ascii="Arial" w:cs="Arial" w:eastAsia="Arial" w:hAnsi="Arial"/>
                <w:sz w:val="18"/>
                <w:szCs w:val="18"/>
                <w:color w:val="auto"/>
                <w:w w:val="91"/>
              </w:rPr>
              <w:t>Real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3"/>
              </w:rPr>
              <w:t>Commercial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b w:val="1"/>
                <w:bCs w:val="1"/>
                <w:color w:val="auto"/>
              </w:rPr>
              <w:t>ACL FOR LOANS</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6"/>
              </w:rPr>
              <w:t>Estate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3"/>
              </w:rPr>
              <w:t>Consumer</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7"/>
              </w:rPr>
              <w:t>Business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Unallocated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prior to adoption of ASC 326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4,280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25,635</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Impact of adopting ASC 326</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6,078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(2,859)</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credit losses on loans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4,493</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Charge-offs</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(1,744)</w:t>
            </w:r>
          </w:p>
        </w:tc>
      </w:tr>
      <w:tr>
        <w:trPr>
          <w:trHeight w:val="216"/>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Recoveries</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901</w:t>
            </w:r>
          </w:p>
        </w:tc>
      </w:tr>
      <w:tr>
        <w:trPr>
          <w:trHeight w:val="210"/>
        </w:trPr>
        <w:tc>
          <w:tcPr>
            <w:tcW w:w="4620" w:type="dxa"/>
            <w:vAlign w:val="bottom"/>
          </w:tcPr>
          <w:p>
            <w:pPr>
              <w:ind w:left="340"/>
              <w:spacing w:after="0"/>
              <w:rPr>
                <w:sz w:val="20"/>
                <w:szCs w:val="20"/>
                <w:color w:val="auto"/>
              </w:rPr>
            </w:pPr>
            <w:r>
              <w:rPr>
                <w:rFonts w:ascii="Arial" w:cs="Arial" w:eastAsia="Arial" w:hAnsi="Arial"/>
                <w:sz w:val="18"/>
                <w:szCs w:val="18"/>
                <w:color w:val="auto"/>
              </w:rPr>
              <w:t>Net charge-offs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ending ACL balance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11,235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26,426</w:t>
            </w:r>
          </w:p>
        </w:tc>
      </w:tr>
      <w:tr>
        <w:trPr>
          <w:trHeight w:val="413"/>
        </w:trPr>
        <w:tc>
          <w:tcPr>
            <w:tcW w:w="46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Nonaccrual and Past Due Loans</w:t>
      </w:r>
      <w:r>
        <w:rPr>
          <w:rFonts w:ascii="Arial" w:cs="Arial" w:eastAsia="Arial" w:hAnsi="Arial"/>
          <w:sz w:val="17"/>
          <w:szCs w:val="17"/>
          <w:color w:val="auto"/>
        </w:rPr>
        <w:t>. Loans are considered past due if the required principal and interest payments have not been received as of the date such</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were due. Loans are automatically placed on nonaccrual once the loan is 90 days past due or sooner if, in management’s opinion, the borrower may be unable to meet payment obligations as they become due, or as required by regulatory authorities.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Modifications to Borrowers Experiencing Financial Difficulty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may agree to modify the contractual terms of a loan to a borrower experiencing financial difficulty as a part of ongoing loss mitigation strategies. These modifications may result in an interest rate reduction, term extension, an other-than-insignificant payment delay, or a combination thereof. The Company typically does not offer principal forgiveness.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restructured two related C&amp;I loans during the first quarter of 2023. The restructuring included a consolidation of the loans into a single loan, an increase in contractual term of 60 months, and a reduction in the contractual interest rate from 7.5% to 4.1%. The loan had an amortized cost of $3.1 million or 1.3% of C&amp;I loans, at September 30, 2023. The restructured loan has been paying as agreed to subsequent to the restructuring and was classified as current and accruing as of September 30, 2023. There were no loans that were modified on or after January 1, 2023, the date the Company adopted ASU 2022–02, through September 30, 2023 that subsequently defaulted during the period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Troubled Debt Restructurings (</w:t>
      </w:r>
      <w:r>
        <w:rPr>
          <w:rFonts w:ascii="Arial" w:cs="Arial" w:eastAsia="Arial" w:hAnsi="Arial"/>
          <w:sz w:val="18"/>
          <w:szCs w:val="18"/>
          <w:color w:val="auto"/>
        </w:rPr>
        <w:t>“</w:t>
      </w:r>
      <w:r>
        <w:rPr>
          <w:rFonts w:ascii="Arial" w:cs="Arial" w:eastAsia="Arial" w:hAnsi="Arial"/>
          <w:sz w:val="18"/>
          <w:szCs w:val="18"/>
          <w:b w:val="1"/>
          <w:bCs w:val="1"/>
          <w:i w:val="1"/>
          <w:iCs w:val="1"/>
          <w:color w:val="auto"/>
        </w:rPr>
        <w:t>TDRs</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2022, the Company had two TDRs, both of which were commercial business loans, on nonaccrual totaling $3.8 million. The Company had no commitments to lend additional funds on these TDRs. The TDRs were the result of interest rate modifications and extended payment terms. The Company has not forgiven any principal on these loans. There were no TDRs which incurred a payment default within twelve months of the restructuring date during the three and nine months ended September 30, 2022.</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information pertaining to the aging analysis of contractually past due loans and nonaccrual loans at September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ind w:left="680"/>
              <w:spacing w:after="0"/>
              <w:rPr>
                <w:sz w:val="20"/>
                <w:szCs w:val="20"/>
                <w:color w:val="auto"/>
              </w:rPr>
            </w:pPr>
            <w:r>
              <w:rPr>
                <w:rFonts w:ascii="Arial" w:cs="Arial" w:eastAsia="Arial" w:hAnsi="Arial"/>
                <w:sz w:val="18"/>
                <w:szCs w:val="18"/>
                <w:color w:val="auto"/>
                <w:w w:val="94"/>
              </w:rPr>
              <w:t>September 30, 2023</w:t>
            </w: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195"/>
        </w:trPr>
        <w:tc>
          <w:tcPr>
            <w:tcW w:w="3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90"/>
              <w:spacing w:after="0" w:line="195" w:lineRule="exact"/>
              <w:rPr>
                <w:sz w:val="20"/>
                <w:szCs w:val="20"/>
                <w:color w:val="auto"/>
              </w:rPr>
            </w:pPr>
            <w:r>
              <w:rPr>
                <w:rFonts w:ascii="Arial" w:cs="Arial" w:eastAsia="Arial" w:hAnsi="Arial"/>
                <w:sz w:val="18"/>
                <w:szCs w:val="18"/>
                <w:color w:val="auto"/>
                <w:w w:val="91"/>
              </w:rPr>
              <w:t>30-59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90"/>
              <w:spacing w:after="0" w:line="195" w:lineRule="exact"/>
              <w:rPr>
                <w:sz w:val="20"/>
                <w:szCs w:val="20"/>
                <w:color w:val="auto"/>
              </w:rPr>
            </w:pPr>
            <w:r>
              <w:rPr>
                <w:rFonts w:ascii="Arial" w:cs="Arial" w:eastAsia="Arial" w:hAnsi="Arial"/>
                <w:sz w:val="18"/>
                <w:szCs w:val="18"/>
                <w:color w:val="auto"/>
                <w:w w:val="91"/>
              </w:rPr>
              <w:t>60-89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210"/>
              <w:spacing w:after="0"/>
              <w:rPr>
                <w:sz w:val="20"/>
                <w:szCs w:val="20"/>
                <w:color w:val="auto"/>
              </w:rPr>
            </w:pPr>
            <w:r>
              <w:rPr>
                <w:rFonts w:ascii="Arial" w:cs="Arial" w:eastAsia="Arial" w:hAnsi="Arial"/>
                <w:sz w:val="18"/>
                <w:szCs w:val="18"/>
                <w:color w:val="auto"/>
                <w:w w:val="87"/>
              </w:rPr>
              <w:t>Days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Days</w:t>
            </w:r>
          </w:p>
        </w:tc>
        <w:tc>
          <w:tcPr>
            <w:tcW w:w="10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90 Days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190"/>
              <w:spacing w:after="0"/>
              <w:rPr>
                <w:sz w:val="20"/>
                <w:szCs w:val="20"/>
                <w:color w:val="auto"/>
              </w:rPr>
            </w:pPr>
            <w:r>
              <w:rPr>
                <w:rFonts w:ascii="Arial" w:cs="Arial" w:eastAsia="Arial" w:hAnsi="Arial"/>
                <w:sz w:val="18"/>
                <w:szCs w:val="18"/>
                <w:color w:val="auto"/>
                <w:w w:val="83"/>
              </w:rPr>
              <w:t>Past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8"/>
                <w:szCs w:val="18"/>
                <w:color w:val="auto"/>
                <w:w w:val="83"/>
              </w:rPr>
              <w:t>Past</w:t>
            </w:r>
          </w:p>
        </w:tc>
        <w:tc>
          <w:tcPr>
            <w:tcW w:w="10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or More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color w:val="auto"/>
              </w:rPr>
              <w:t>Past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Non-</w:t>
            </w:r>
          </w:p>
        </w:tc>
      </w:tr>
      <w:tr>
        <w:trPr>
          <w:trHeight w:val="230"/>
        </w:trPr>
        <w:tc>
          <w:tcPr>
            <w:tcW w:w="3200" w:type="dxa"/>
            <w:vAlign w:val="bottom"/>
          </w:tcPr>
          <w:p>
            <w:pPr>
              <w:spacing w:after="0"/>
              <w:rPr>
                <w:sz w:val="20"/>
                <w:szCs w:val="20"/>
                <w:color w:val="auto"/>
              </w:rPr>
            </w:pPr>
            <w:r>
              <w:rPr>
                <w:rFonts w:ascii="Arial" w:cs="Arial" w:eastAsia="Arial" w:hAnsi="Arial"/>
                <w:sz w:val="18"/>
                <w:szCs w:val="18"/>
                <w:b w:val="1"/>
                <w:bCs w:val="1"/>
                <w:color w:val="auto"/>
              </w:rPr>
              <w:t>REAL ESTATE LOANS</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Past Due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Due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3"/>
              </w:rPr>
              <w:t>Current</w:t>
            </w:r>
          </w:p>
        </w:tc>
        <w:tc>
          <w:tcPr>
            <w:tcW w:w="120" w:type="dxa"/>
            <w:vAlign w:val="bottom"/>
          </w:tcPr>
          <w:p>
            <w:pPr>
              <w:spacing w:after="0"/>
              <w:rPr>
                <w:sz w:val="20"/>
                <w:szCs w:val="20"/>
                <w:color w:val="auto"/>
              </w:rPr>
            </w:pPr>
          </w:p>
        </w:tc>
        <w:tc>
          <w:tcPr>
            <w:tcW w:w="100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89"/>
              </w:rPr>
              <w:t>Receivable</w:t>
            </w:r>
          </w:p>
        </w:tc>
        <w:tc>
          <w:tcPr>
            <w:tcW w:w="10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70"/>
              <w:spacing w:after="0" w:line="230" w:lineRule="exact"/>
              <w:rPr>
                <w:sz w:val="20"/>
                <w:szCs w:val="20"/>
                <w:color w:val="auto"/>
              </w:rPr>
            </w:pPr>
            <w:r>
              <w:rPr>
                <w:rFonts w:ascii="Arial" w:cs="Arial" w:eastAsia="Arial" w:hAnsi="Arial"/>
                <w:sz w:val="16"/>
                <w:szCs w:val="16"/>
                <w:color w:val="auto"/>
              </w:rPr>
              <w:t xml:space="preserve">Accrual </w:t>
            </w:r>
            <w:r>
              <w:rPr>
                <w:rFonts w:ascii="Arial" w:cs="Arial" w:eastAsia="Arial" w:hAnsi="Arial"/>
                <w:sz w:val="26"/>
                <w:szCs w:val="26"/>
                <w:color w:val="auto"/>
                <w:vertAlign w:val="superscript"/>
              </w:rPr>
              <w:t>(1)</w:t>
            </w:r>
          </w:p>
        </w:tc>
      </w:tr>
      <w:tr>
        <w:trPr>
          <w:trHeight w:val="21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364,673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364,673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Construction and development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289,873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289,873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67,103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One-to-four-family</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540,364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540,670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306</w:t>
            </w: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Multi-family</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243,661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243,661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320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real estate loans</w:t>
            </w: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154</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318</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509</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1,505,471</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1,505,980</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1,428</w:t>
            </w: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CONSUMER LOANS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Indirect home improvement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559,815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562,650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1,668</w:t>
            </w: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73,325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73,887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Other consumer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0"/>
        </w:trPr>
        <w:tc>
          <w:tcPr>
            <w:tcW w:w="3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consumer loans</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1,903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636,678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640,084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2,077</w:t>
            </w:r>
          </w:p>
        </w:tc>
      </w:tr>
      <w:tr>
        <w:trPr>
          <w:trHeight w:val="210"/>
        </w:trPr>
        <w:tc>
          <w:tcPr>
            <w:tcW w:w="3200" w:type="dxa"/>
            <w:vAlign w:val="bottom"/>
          </w:tcPr>
          <w:p>
            <w:pPr>
              <w:spacing w:after="0"/>
              <w:rPr>
                <w:sz w:val="20"/>
                <w:szCs w:val="20"/>
                <w:color w:val="auto"/>
              </w:rPr>
            </w:pPr>
            <w:r>
              <w:rPr>
                <w:rFonts w:ascii="Arial" w:cs="Arial" w:eastAsia="Arial" w:hAnsi="Arial"/>
                <w:sz w:val="18"/>
                <w:szCs w:val="18"/>
                <w:b w:val="1"/>
                <w:bCs w:val="1"/>
                <w:color w:val="auto"/>
              </w:rPr>
              <w:t>COMMERCIAL BUSINESS LOANS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234,007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236,520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2,114</w:t>
            </w: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Warehouse lending</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23,489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23,489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3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commercial business loans</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257,496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260,009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2,114</w:t>
            </w:r>
          </w:p>
        </w:tc>
      </w:tr>
      <w:tr>
        <w:trPr>
          <w:trHeight w:val="210"/>
        </w:trPr>
        <w:tc>
          <w:tcPr>
            <w:tcW w:w="3200" w:type="dxa"/>
            <w:vAlign w:val="bottom"/>
          </w:tcPr>
          <w:p>
            <w:pPr>
              <w:ind w:left="500"/>
              <w:spacing w:after="0"/>
              <w:rPr>
                <w:sz w:val="20"/>
                <w:szCs w:val="20"/>
                <w:color w:val="auto"/>
              </w:rPr>
            </w:pPr>
            <w:r>
              <w:rPr>
                <w:rFonts w:ascii="Arial" w:cs="Arial" w:eastAsia="Arial" w:hAnsi="Arial"/>
                <w:sz w:val="18"/>
                <w:szCs w:val="18"/>
                <w:color w:val="auto"/>
              </w:rPr>
              <w:t>Total loans</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2,339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6,428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2,399,645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2"/>
              </w:rPr>
              <w:t>2,406,073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5,619</w:t>
            </w:r>
          </w:p>
        </w:tc>
      </w:tr>
      <w:tr>
        <w:trPr>
          <w:trHeight w:val="20"/>
        </w:trPr>
        <w:tc>
          <w:tcPr>
            <w:tcW w:w="3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3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ind w:left="700"/>
              <w:spacing w:after="0"/>
              <w:rPr>
                <w:sz w:val="20"/>
                <w:szCs w:val="20"/>
                <w:color w:val="auto"/>
              </w:rPr>
            </w:pPr>
            <w:r>
              <w:rPr>
                <w:rFonts w:ascii="Arial" w:cs="Arial" w:eastAsia="Arial" w:hAnsi="Arial"/>
                <w:sz w:val="18"/>
                <w:szCs w:val="18"/>
                <w:color w:val="auto"/>
                <w:w w:val="87"/>
              </w:rPr>
              <w:t>December 31, 2022</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95"/>
        </w:trPr>
        <w:tc>
          <w:tcPr>
            <w:tcW w:w="12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90"/>
              <w:spacing w:after="0" w:line="195" w:lineRule="exact"/>
              <w:rPr>
                <w:sz w:val="20"/>
                <w:szCs w:val="20"/>
                <w:color w:val="auto"/>
              </w:rPr>
            </w:pPr>
            <w:r>
              <w:rPr>
                <w:rFonts w:ascii="Arial" w:cs="Arial" w:eastAsia="Arial" w:hAnsi="Arial"/>
                <w:sz w:val="18"/>
                <w:szCs w:val="18"/>
                <w:color w:val="auto"/>
                <w:w w:val="91"/>
              </w:rPr>
              <w:t>30-59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90"/>
              <w:spacing w:after="0" w:line="195" w:lineRule="exact"/>
              <w:rPr>
                <w:sz w:val="20"/>
                <w:szCs w:val="20"/>
                <w:color w:val="auto"/>
              </w:rPr>
            </w:pPr>
            <w:r>
              <w:rPr>
                <w:rFonts w:ascii="Arial" w:cs="Arial" w:eastAsia="Arial" w:hAnsi="Arial"/>
                <w:sz w:val="18"/>
                <w:szCs w:val="18"/>
                <w:color w:val="auto"/>
                <w:w w:val="91"/>
              </w:rPr>
              <w:t>60-89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210"/>
              <w:spacing w:after="0"/>
              <w:rPr>
                <w:sz w:val="20"/>
                <w:szCs w:val="20"/>
                <w:color w:val="auto"/>
              </w:rPr>
            </w:pPr>
            <w:r>
              <w:rPr>
                <w:rFonts w:ascii="Arial" w:cs="Arial" w:eastAsia="Arial" w:hAnsi="Arial"/>
                <w:sz w:val="18"/>
                <w:szCs w:val="18"/>
                <w:color w:val="auto"/>
                <w:w w:val="87"/>
              </w:rPr>
              <w:t>Days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210"/>
              <w:spacing w:after="0"/>
              <w:rPr>
                <w:sz w:val="20"/>
                <w:szCs w:val="20"/>
                <w:color w:val="auto"/>
              </w:rPr>
            </w:pPr>
            <w:r>
              <w:rPr>
                <w:rFonts w:ascii="Arial" w:cs="Arial" w:eastAsia="Arial" w:hAnsi="Arial"/>
                <w:sz w:val="18"/>
                <w:szCs w:val="18"/>
                <w:color w:val="auto"/>
                <w:w w:val="87"/>
              </w:rPr>
              <w:t>Days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90 Days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190"/>
              <w:spacing w:after="0"/>
              <w:rPr>
                <w:sz w:val="20"/>
                <w:szCs w:val="20"/>
                <w:color w:val="auto"/>
              </w:rPr>
            </w:pPr>
            <w:r>
              <w:rPr>
                <w:rFonts w:ascii="Arial" w:cs="Arial" w:eastAsia="Arial" w:hAnsi="Arial"/>
                <w:sz w:val="18"/>
                <w:szCs w:val="18"/>
                <w:color w:val="auto"/>
                <w:w w:val="83"/>
              </w:rPr>
              <w:t>Past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190"/>
              <w:spacing w:after="0"/>
              <w:rPr>
                <w:sz w:val="20"/>
                <w:szCs w:val="20"/>
                <w:color w:val="auto"/>
              </w:rPr>
            </w:pPr>
            <w:r>
              <w:rPr>
                <w:rFonts w:ascii="Arial" w:cs="Arial" w:eastAsia="Arial" w:hAnsi="Arial"/>
                <w:sz w:val="18"/>
                <w:szCs w:val="18"/>
                <w:color w:val="auto"/>
                <w:w w:val="83"/>
              </w:rPr>
              <w:t>Past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or More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8"/>
                <w:szCs w:val="18"/>
                <w:color w:val="auto"/>
                <w:w w:val="83"/>
              </w:rPr>
              <w:t>Past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Non-</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REAL ESTATE LOANS</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Past Due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3"/>
              </w:rPr>
              <w:t>Current</w:t>
            </w:r>
          </w:p>
        </w:tc>
        <w:tc>
          <w:tcPr>
            <w:tcW w:w="120" w:type="dxa"/>
            <w:vAlign w:val="bottom"/>
          </w:tcPr>
          <w:p>
            <w:pPr>
              <w:spacing w:after="0"/>
              <w:rPr>
                <w:sz w:val="20"/>
                <w:szCs w:val="20"/>
                <w:color w:val="auto"/>
              </w:rPr>
            </w:pPr>
          </w:p>
        </w:tc>
        <w:tc>
          <w:tcPr>
            <w:tcW w:w="100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89"/>
              </w:rPr>
              <w:t>Receivable</w:t>
            </w:r>
          </w:p>
        </w:tc>
        <w:tc>
          <w:tcPr>
            <w:tcW w:w="10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70"/>
              <w:spacing w:after="0" w:line="230" w:lineRule="exact"/>
              <w:rPr>
                <w:sz w:val="20"/>
                <w:szCs w:val="20"/>
                <w:color w:val="auto"/>
              </w:rPr>
            </w:pPr>
            <w:r>
              <w:rPr>
                <w:rFonts w:ascii="Arial" w:cs="Arial" w:eastAsia="Arial" w:hAnsi="Arial"/>
                <w:sz w:val="16"/>
                <w:szCs w:val="16"/>
                <w:color w:val="auto"/>
              </w:rPr>
              <w:t xml:space="preserve">Accrual </w:t>
            </w:r>
            <w:r>
              <w:rPr>
                <w:rFonts w:ascii="Arial" w:cs="Arial" w:eastAsia="Arial" w:hAnsi="Arial"/>
                <w:sz w:val="26"/>
                <w:szCs w:val="26"/>
                <w:color w:val="auto"/>
                <w:vertAlign w:val="superscript"/>
              </w:rPr>
              <w:t>(1)</w:t>
            </w:r>
          </w:p>
        </w:tc>
      </w:tr>
      <w:tr>
        <w:trPr>
          <w:trHeight w:val="209"/>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334,059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334,059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gridSpan w:val="2"/>
          </w:tcPr>
          <w:p>
            <w:pPr>
              <w:ind w:left="180"/>
              <w:spacing w:after="0"/>
              <w:rPr>
                <w:sz w:val="20"/>
                <w:szCs w:val="20"/>
                <w:color w:val="auto"/>
              </w:rPr>
            </w:pPr>
            <w:r>
              <w:rPr>
                <w:rFonts w:ascii="Arial" w:cs="Arial" w:eastAsia="Arial" w:hAnsi="Arial"/>
                <w:sz w:val="18"/>
                <w:szCs w:val="18"/>
                <w:color w:val="auto"/>
              </w:rPr>
              <w:t>Construction and development</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342,591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342,591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55,238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55,387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16"/>
        </w:trPr>
        <w:tc>
          <w:tcPr>
            <w:tcW w:w="3500" w:type="dxa"/>
            <w:vAlign w:val="bottom"/>
            <w:gridSpan w:val="2"/>
          </w:tcPr>
          <w:p>
            <w:pPr>
              <w:ind w:left="180"/>
              <w:spacing w:after="0"/>
              <w:rPr>
                <w:sz w:val="20"/>
                <w:szCs w:val="20"/>
                <w:color w:val="auto"/>
              </w:rPr>
            </w:pPr>
            <w:r>
              <w:rPr>
                <w:rFonts w:ascii="Arial" w:cs="Arial" w:eastAsia="Arial" w:hAnsi="Arial"/>
                <w:sz w:val="18"/>
                <w:szCs w:val="18"/>
                <w:color w:val="auto"/>
              </w:rPr>
              <w:t>One-to-four-family</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469,022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469,485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920</w:t>
            </w:r>
          </w:p>
        </w:tc>
      </w:tr>
      <w:tr>
        <w:trPr>
          <w:trHeight w:val="21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Multi-family</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219,738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219,738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350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Total real estate loans</w:t>
            </w: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479</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612</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1,420,648</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1,421,260</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966</w:t>
            </w:r>
          </w:p>
        </w:tc>
      </w:tr>
      <w:tr>
        <w:trPr>
          <w:trHeight w:val="209"/>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CONSUMER LOANS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500" w:type="dxa"/>
            <w:vAlign w:val="bottom"/>
            <w:gridSpan w:val="2"/>
          </w:tcPr>
          <w:p>
            <w:pPr>
              <w:ind w:left="180"/>
              <w:spacing w:after="0"/>
              <w:rPr>
                <w:sz w:val="20"/>
                <w:szCs w:val="20"/>
                <w:color w:val="auto"/>
              </w:rPr>
            </w:pPr>
            <w:r>
              <w:rPr>
                <w:rFonts w:ascii="Arial" w:cs="Arial" w:eastAsia="Arial" w:hAnsi="Arial"/>
                <w:sz w:val="18"/>
                <w:szCs w:val="18"/>
                <w:color w:val="auto"/>
              </w:rPr>
              <w:t>Indirect home improvement</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492,426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495,941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1,076</w:t>
            </w:r>
          </w:p>
        </w:tc>
      </w:tr>
      <w:tr>
        <w:trPr>
          <w:trHeight w:val="21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Marine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70,567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r>
      <w:tr>
        <w:trPr>
          <w:trHeight w:val="216"/>
        </w:trPr>
        <w:tc>
          <w:tcPr>
            <w:tcW w:w="3500" w:type="dxa"/>
            <w:vAlign w:val="bottom"/>
            <w:gridSpan w:val="2"/>
          </w:tcPr>
          <w:p>
            <w:pPr>
              <w:ind w:left="180"/>
              <w:spacing w:after="0"/>
              <w:rPr>
                <w:sz w:val="20"/>
                <w:szCs w:val="20"/>
                <w:color w:val="auto"/>
              </w:rPr>
            </w:pPr>
            <w:r>
              <w:rPr>
                <w:rFonts w:ascii="Arial" w:cs="Arial" w:eastAsia="Arial" w:hAnsi="Arial"/>
                <w:sz w:val="18"/>
                <w:szCs w:val="18"/>
                <w:color w:val="auto"/>
              </w:rPr>
              <w:t>Other consumer</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3,064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r>
      <w:tr>
        <w:trPr>
          <w:trHeight w:val="209"/>
        </w:trPr>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consumer loans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2,980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4,710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564,862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569,572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1,352</w:t>
            </w:r>
          </w:p>
        </w:tc>
      </w:tr>
      <w:tr>
        <w:trPr>
          <w:trHeight w:val="210"/>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COMMERCIAL BUSINESS LOANS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194,173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196,791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6,334</w:t>
            </w:r>
          </w:p>
        </w:tc>
      </w:tr>
      <w:tr>
        <w:trPr>
          <w:trHeight w:val="216"/>
        </w:trPr>
        <w:tc>
          <w:tcPr>
            <w:tcW w:w="3500" w:type="dxa"/>
            <w:vAlign w:val="bottom"/>
            <w:gridSpan w:val="2"/>
          </w:tcPr>
          <w:p>
            <w:pPr>
              <w:ind w:left="180"/>
              <w:spacing w:after="0"/>
              <w:rPr>
                <w:sz w:val="20"/>
                <w:szCs w:val="20"/>
                <w:color w:val="auto"/>
              </w:rPr>
            </w:pPr>
            <w:r>
              <w:rPr>
                <w:rFonts w:ascii="Arial" w:cs="Arial" w:eastAsia="Arial" w:hAnsi="Arial"/>
                <w:sz w:val="18"/>
                <w:szCs w:val="18"/>
                <w:color w:val="auto"/>
              </w:rPr>
              <w:t>Warehouse lending</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31,229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31,229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commercial business loans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2,617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225,402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228,020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6,334</w:t>
            </w:r>
          </w:p>
        </w:tc>
      </w:tr>
      <w:tr>
        <w:trPr>
          <w:trHeight w:val="210"/>
        </w:trPr>
        <w:tc>
          <w:tcPr>
            <w:tcW w:w="3500" w:type="dxa"/>
            <w:vAlign w:val="bottom"/>
            <w:gridSpan w:val="2"/>
          </w:tcPr>
          <w:p>
            <w:pPr>
              <w:ind w:left="500"/>
              <w:spacing w:after="0"/>
              <w:rPr>
                <w:sz w:val="20"/>
                <w:szCs w:val="20"/>
                <w:color w:val="auto"/>
              </w:rPr>
            </w:pPr>
            <w:r>
              <w:rPr>
                <w:rFonts w:ascii="Arial" w:cs="Arial" w:eastAsia="Arial" w:hAnsi="Arial"/>
                <w:sz w:val="18"/>
                <w:szCs w:val="18"/>
                <w:color w:val="auto"/>
              </w:rPr>
              <w:t>Total loans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3,010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1,211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3,719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2,210,912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2"/>
              </w:rPr>
              <w:t>2,218,852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8,652</w:t>
            </w:r>
          </w:p>
        </w:tc>
      </w:tr>
      <w:tr>
        <w:trPr>
          <w:trHeight w:val="20"/>
        </w:trPr>
        <w:tc>
          <w:tcPr>
            <w:tcW w:w="1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Includes past due loans as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loans 90 days or more past due and still accruing interest at both September 30, 2023 and December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Indicators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the Company’s on-going monitoring of credit quality of the loan portfolio, management tracks certain credit quality indicators including trends related to (i) the risk grading of loans, (ii) the level of classified loans, (iii) net charge-offs, (iv) non-performing loans, and (v) the general economic conditions in the Company’s markets.</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utilizes a risk grading matrix to assign a risk grade to its real estate and commercial business loans. Loans are graded on a scale of 1 to 10, with loans in risk grades 1 to 6 considered “Pass” and loans in risk grades 7 to 10 are reported as classified loans in the Company’s ACL loan analysis.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 description of the 10 risk grades is as follows:</w:t>
      </w:r>
    </w:p>
    <w:p>
      <w:pPr>
        <w:spacing w:after="0" w:line="225" w:lineRule="exact"/>
        <w:rPr>
          <w:sz w:val="20"/>
          <w:szCs w:val="20"/>
          <w:color w:val="auto"/>
        </w:rPr>
      </w:pPr>
    </w:p>
    <w:p>
      <w:pPr>
        <w:ind w:left="400" w:hanging="325"/>
        <w:spacing w:after="0"/>
        <w:tabs>
          <w:tab w:leader="none" w:pos="40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Grades 1 and 2 - </w:t>
      </w:r>
      <w:r>
        <w:rPr>
          <w:rFonts w:ascii="Arial" w:cs="Arial" w:eastAsia="Arial" w:hAnsi="Arial"/>
          <w:sz w:val="18"/>
          <w:szCs w:val="18"/>
          <w:color w:val="auto"/>
        </w:rPr>
        <w:t>These grades include loans to very high-quality borrowers with excellent or desirable business credit.</w:t>
      </w:r>
    </w:p>
    <w:p>
      <w:pPr>
        <w:spacing w:after="0" w:line="225" w:lineRule="exact"/>
        <w:rPr>
          <w:rFonts w:ascii="Arial" w:cs="Arial" w:eastAsia="Arial" w:hAnsi="Arial"/>
          <w:sz w:val="18"/>
          <w:szCs w:val="18"/>
          <w:color w:val="auto"/>
        </w:rPr>
      </w:pPr>
    </w:p>
    <w:p>
      <w:pPr>
        <w:ind w:left="420" w:hanging="331"/>
        <w:spacing w:after="0"/>
        <w:tabs>
          <w:tab w:leader="none" w:pos="420" w:val="left"/>
        </w:tabs>
        <w:numPr>
          <w:ilvl w:val="2"/>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Grade 3 - </w:t>
      </w:r>
      <w:r>
        <w:rPr>
          <w:rFonts w:ascii="Arial" w:cs="Arial" w:eastAsia="Arial" w:hAnsi="Arial"/>
          <w:sz w:val="18"/>
          <w:szCs w:val="18"/>
          <w:color w:val="auto"/>
        </w:rPr>
        <w:t>This grade includes loans to borrowers of good business credit with moderate risk.</w:t>
      </w:r>
    </w:p>
    <w:p>
      <w:pPr>
        <w:spacing w:after="0" w:line="225" w:lineRule="exact"/>
        <w:rPr>
          <w:rFonts w:ascii="Arial" w:cs="Arial" w:eastAsia="Arial" w:hAnsi="Arial"/>
          <w:sz w:val="18"/>
          <w:szCs w:val="18"/>
          <w:color w:val="auto"/>
        </w:rPr>
      </w:pPr>
    </w:p>
    <w:p>
      <w:pPr>
        <w:ind w:left="400" w:hanging="325"/>
        <w:spacing w:after="0"/>
        <w:tabs>
          <w:tab w:leader="none" w:pos="40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Grades 4 and 5 - </w:t>
      </w:r>
      <w:r>
        <w:rPr>
          <w:rFonts w:ascii="Arial" w:cs="Arial" w:eastAsia="Arial" w:hAnsi="Arial"/>
          <w:sz w:val="18"/>
          <w:szCs w:val="18"/>
          <w:color w:val="auto"/>
        </w:rPr>
        <w:t>These grades include “Pass” grade loans to borrowers of average credit quality and risk.</w:t>
      </w:r>
    </w:p>
    <w:p>
      <w:pPr>
        <w:spacing w:after="0" w:line="225" w:lineRule="exact"/>
        <w:rPr>
          <w:rFonts w:ascii="Arial" w:cs="Arial" w:eastAsia="Arial" w:hAnsi="Arial"/>
          <w:sz w:val="18"/>
          <w:szCs w:val="18"/>
          <w:color w:val="auto"/>
        </w:rPr>
      </w:pPr>
    </w:p>
    <w:p>
      <w:pPr>
        <w:ind w:left="380" w:right="280" w:hanging="318"/>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Grade 6 - </w:t>
      </w:r>
      <w:r>
        <w:rPr>
          <w:rFonts w:ascii="Arial" w:cs="Arial" w:eastAsia="Arial" w:hAnsi="Arial"/>
          <w:sz w:val="18"/>
          <w:szCs w:val="18"/>
          <w:color w:val="auto"/>
        </w:rPr>
        <w:t>This grade includes loans on management’s “Watch” list and is intended to be utilized on a temporary basis for “Pass” grade 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where frequent and thorough monitoring is required due to credit weaknesses and where significant risk-modifying action is anticipated in the near term.</w:t>
      </w:r>
    </w:p>
    <w:p>
      <w:pPr>
        <w:spacing w:after="0" w:line="183" w:lineRule="exact"/>
        <w:rPr>
          <w:rFonts w:ascii="Arial" w:cs="Arial" w:eastAsia="Arial" w:hAnsi="Arial"/>
          <w:sz w:val="18"/>
          <w:szCs w:val="18"/>
          <w:color w:val="auto"/>
        </w:rPr>
      </w:pPr>
    </w:p>
    <w:p>
      <w:pPr>
        <w:ind w:left="380" w:right="460" w:hanging="318"/>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Grade 7 - </w:t>
      </w:r>
      <w:r>
        <w:rPr>
          <w:rFonts w:ascii="Arial" w:cs="Arial" w:eastAsia="Arial" w:hAnsi="Arial"/>
          <w:sz w:val="18"/>
          <w:szCs w:val="18"/>
          <w:color w:val="auto"/>
        </w:rPr>
        <w:t>This grade is for “Other Assets Especially Mentioned (“OAEM”)” or “Special Mention” in accordance with regulatory guidelines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borrowers where performance is poor or significantly less than expected.</w:t>
      </w:r>
    </w:p>
    <w:p>
      <w:pPr>
        <w:spacing w:after="0" w:line="170" w:lineRule="exact"/>
        <w:rPr>
          <w:rFonts w:ascii="Arial" w:cs="Arial" w:eastAsia="Arial" w:hAnsi="Arial"/>
          <w:sz w:val="18"/>
          <w:szCs w:val="18"/>
          <w:color w:val="auto"/>
        </w:rPr>
      </w:pPr>
    </w:p>
    <w:p>
      <w:pPr>
        <w:ind w:left="380" w:right="100" w:hanging="318"/>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Grade 8 - </w:t>
      </w:r>
      <w:r>
        <w:rPr>
          <w:rFonts w:ascii="Arial" w:cs="Arial" w:eastAsia="Arial" w:hAnsi="Arial"/>
          <w:sz w:val="18"/>
          <w:szCs w:val="18"/>
          <w:color w:val="auto"/>
        </w:rPr>
        <w:t>This grade includes “Substandard” loans in accordance with regulatory guidelines which represent an unacceptable business credit where a</w:t>
      </w:r>
      <w:r>
        <w:rPr>
          <w:rFonts w:ascii="Arial" w:cs="Arial" w:eastAsia="Arial" w:hAnsi="Arial"/>
          <w:sz w:val="18"/>
          <w:szCs w:val="18"/>
          <w:i w:val="1"/>
          <w:iCs w:val="1"/>
          <w:color w:val="auto"/>
        </w:rPr>
        <w:t xml:space="preserve"> </w:t>
      </w:r>
      <w:r>
        <w:rPr>
          <w:rFonts w:ascii="Arial" w:cs="Arial" w:eastAsia="Arial" w:hAnsi="Arial"/>
          <w:sz w:val="18"/>
          <w:szCs w:val="18"/>
          <w:color w:val="auto"/>
        </w:rPr>
        <w:t>loss is possible if loan weakness is not corrected.</w:t>
      </w:r>
    </w:p>
    <w:p>
      <w:pPr>
        <w:spacing w:after="0" w:line="170" w:lineRule="exact"/>
        <w:rPr>
          <w:rFonts w:ascii="Arial" w:cs="Arial" w:eastAsia="Arial" w:hAnsi="Arial"/>
          <w:sz w:val="18"/>
          <w:szCs w:val="18"/>
          <w:color w:val="auto"/>
        </w:rPr>
      </w:pPr>
    </w:p>
    <w:p>
      <w:pPr>
        <w:ind w:left="380" w:hanging="318"/>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Grade 9 - </w:t>
      </w:r>
      <w:r>
        <w:rPr>
          <w:rFonts w:ascii="Arial" w:cs="Arial" w:eastAsia="Arial" w:hAnsi="Arial"/>
          <w:sz w:val="18"/>
          <w:szCs w:val="18"/>
          <w:color w:val="auto"/>
        </w:rPr>
        <w:t>This grade includes “Doubtful” loans in accordance with regulatory guidelines where a loss is highly probable.</w:t>
      </w:r>
    </w:p>
    <w:p>
      <w:pPr>
        <w:spacing w:after="0" w:line="225" w:lineRule="exact"/>
        <w:rPr>
          <w:rFonts w:ascii="Arial" w:cs="Arial" w:eastAsia="Arial" w:hAnsi="Arial"/>
          <w:sz w:val="18"/>
          <w:szCs w:val="18"/>
          <w:color w:val="auto"/>
        </w:rPr>
      </w:pPr>
    </w:p>
    <w:p>
      <w:pPr>
        <w:ind w:left="380" w:right="40" w:hanging="318"/>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Grade 10 - </w:t>
      </w:r>
      <w:r>
        <w:rPr>
          <w:rFonts w:ascii="Arial" w:cs="Arial" w:eastAsia="Arial" w:hAnsi="Arial"/>
          <w:sz w:val="18"/>
          <w:szCs w:val="18"/>
          <w:color w:val="auto"/>
        </w:rPr>
        <w:t>This grade includes “Loss” loans in accordance with regulatory guidelines for which total loss is expected and when identified are charged</w:t>
      </w:r>
      <w:r>
        <w:rPr>
          <w:rFonts w:ascii="Arial" w:cs="Arial" w:eastAsia="Arial" w:hAnsi="Arial"/>
          <w:sz w:val="18"/>
          <w:szCs w:val="18"/>
          <w:i w:val="1"/>
          <w:iCs w:val="1"/>
          <w:color w:val="auto"/>
        </w:rPr>
        <w:t xml:space="preserve"> </w:t>
      </w:r>
      <w:r>
        <w:rPr>
          <w:rFonts w:ascii="Arial" w:cs="Arial" w:eastAsia="Arial" w:hAnsi="Arial"/>
          <w:sz w:val="18"/>
          <w:szCs w:val="18"/>
          <w:color w:val="auto"/>
        </w:rPr>
        <w:t>off.</w:t>
      </w:r>
    </w:p>
    <w:p>
      <w:pPr>
        <w:sectPr>
          <w:pgSz w:w="11900" w:h="16838" w:orient="portrait"/>
          <w:cols w:equalWidth="0" w:num="1">
            <w:col w:w="11240"/>
          </w:cols>
          <w:pgMar w:left="320" w:top="108"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Homogeneous loans are risk rated based upon the Federal Financial Institutions Examination Council’s Uniform Retail Credit Classification and Account Management Policy. Loans classified under this policy at the Company are consumer loans which include indirect home improvement, solar, marine, other consumer, and one-to-four-family first and second liens. Under the Uniform Retail Credit Classification Policy, loans that are current or less than 90 days past due are graded “Pass” and risk rated “4” or “5” internally. Loans that are past due more than 90 days are classified “Substandard” risk graded “8” internally until the loan has demonstrated consistent performance, typically six months of contractual payments. Closed-end loans that are 120 days past due and open-end loans that are 180 days past due are charged off based on the value of the collateral less cost to sell. Management may choose to conservatively risk rate credits even if paying in accordance with the loan’s repayment terms.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Commercial real estate, construction and development, multi-family and commercial business loans are evaluated individually for their risk classification and may be classified as “Substandard” even if current on their loan payment obligations. We regularly review our credits for accuracy of risk grades whenever we receive new information. Borrowers are generally required to submit financial information at regular intervals. Typically, commercial borrowers with lines of credit are required to submit financial information with reporting intervals ranging from monthly to annually depending on credit size, risk, and complexity. In addition, nonowner-occupied commercial real estate borrowers with loans exceeding a certain dollar threshold are usually required to submit rent rolls or property income statements annually. We monitor construction loans monthly. We also review loans graded “Watch” or worse, regardless of loan type, no less than quarterly.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risk rated loan balances by category as of the dates indicated. Term loans that were renewed or extended for periods longer than 90 days are presented as a new origination in the year of the most recent renewal or extension.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September 30, 2023</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23" w:lineRule="exact"/>
              <w:rPr>
                <w:sz w:val="20"/>
                <w:szCs w:val="20"/>
                <w:color w:val="auto"/>
              </w:rPr>
            </w:pPr>
            <w:r>
              <w:rPr>
                <w:rFonts w:ascii="Arial" w:cs="Arial" w:eastAsia="Arial" w:hAnsi="Arial"/>
                <w:sz w:val="14"/>
                <w:szCs w:val="14"/>
                <w:color w:val="auto"/>
                <w:w w:val="97"/>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auto"/>
              </w:rPr>
              <w:t>REAL ESTATE LOANS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gridSpan w:val="7"/>
            <w:vMerge w:val="restart"/>
          </w:tcPr>
          <w:p>
            <w:pPr>
              <w:jc w:val="right"/>
              <w:ind w:right="8"/>
              <w:spacing w:after="0"/>
              <w:rPr>
                <w:sz w:val="20"/>
                <w:szCs w:val="20"/>
                <w:color w:val="auto"/>
              </w:rPr>
            </w:pPr>
            <w:r>
              <w:rPr>
                <w:rFonts w:ascii="Arial" w:cs="Arial" w:eastAsia="Arial" w:hAnsi="Arial"/>
                <w:sz w:val="14"/>
                <w:szCs w:val="14"/>
                <w:color w:val="auto"/>
                <w:w w:val="96"/>
              </w:rPr>
              <w:t>Term Loans by Year of Origination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Arial" w:cs="Arial" w:eastAsia="Arial" w:hAnsi="Arial"/>
                <w:sz w:val="14"/>
                <w:szCs w:val="14"/>
                <w:color w:val="auto"/>
                <w:w w:val="94"/>
              </w:rPr>
              <w:t>Loans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28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7"/>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w w:val="94"/>
              </w:rPr>
              <w:t>Revolving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line="154" w:lineRule="exact"/>
              <w:rPr>
                <w:sz w:val="20"/>
                <w:szCs w:val="20"/>
                <w:color w:val="auto"/>
              </w:rPr>
            </w:pPr>
            <w:r>
              <w:rPr>
                <w:rFonts w:ascii="Arial" w:cs="Arial" w:eastAsia="Arial" w:hAnsi="Arial"/>
                <w:sz w:val="14"/>
                <w:szCs w:val="14"/>
                <w:color w:val="auto"/>
                <w:w w:val="92"/>
              </w:rPr>
              <w:t>Converted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20"/>
                <w:szCs w:val="20"/>
                <w:color w:val="auto"/>
              </w:rPr>
            </w:pPr>
            <w:r>
              <w:rPr>
                <w:rFonts w:ascii="Arial" w:cs="Arial" w:eastAsia="Arial" w:hAnsi="Arial"/>
                <w:sz w:val="14"/>
                <w:szCs w:val="14"/>
                <w:color w:val="auto"/>
              </w:rPr>
              <w:t>Commercial</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Prior</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Loans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91"/>
              </w:rPr>
              <w:t>to Term</w:t>
            </w:r>
          </w:p>
        </w:tc>
        <w:tc>
          <w:tcPr>
            <w:tcW w:w="10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w w:val="95"/>
              </w:rPr>
              <w:t>Total Loans</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Pass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41,310</w:t>
            </w:r>
          </w:p>
        </w:tc>
        <w:tc>
          <w:tcPr>
            <w:tcW w:w="2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91,503</w:t>
            </w:r>
          </w:p>
        </w:tc>
        <w:tc>
          <w:tcPr>
            <w:tcW w:w="36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62,998</w:t>
            </w:r>
          </w:p>
        </w:tc>
        <w:tc>
          <w:tcPr>
            <w:tcW w:w="2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46,486</w:t>
            </w:r>
          </w:p>
        </w:tc>
        <w:tc>
          <w:tcPr>
            <w:tcW w:w="2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28,149</w:t>
            </w:r>
          </w:p>
        </w:tc>
        <w:tc>
          <w:tcPr>
            <w:tcW w:w="2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63,178</w:t>
            </w:r>
          </w:p>
        </w:tc>
        <w:tc>
          <w:tcPr>
            <w:tcW w:w="2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2,373</w:t>
            </w:r>
          </w:p>
        </w:tc>
        <w:tc>
          <w:tcPr>
            <w:tcW w:w="2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328</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336,325</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Watch</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3,209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5,459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12,952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453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2,239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24,329</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Special mention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Substandard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1,658</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1,948</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3,606</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commercial</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44,519</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96,962</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75,950</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48,144</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29,015</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67,365</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2,390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328</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364,673</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color w:val="auto"/>
              </w:rPr>
              <w:t>Construction and development</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Pass</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76,516</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143,886</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51,430</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17,486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555</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289,873</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color w:val="auto"/>
              </w:rPr>
              <w:t>Total construction and development</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76,516</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143,886</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51,430</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17,486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555</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289,873</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Home equity</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Pass</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3,702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1,144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1,595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6,639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2,228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51,736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67,055</w:t>
            </w: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Substandard</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color w:val="auto"/>
              </w:rPr>
              <w:t>Total home equity</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3,702</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1,144</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1,595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6,639</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2,265</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51,747</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67,103</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Home equity gross charge-offs</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color w:val="auto"/>
              </w:rPr>
              <w:t>One-to-four-family</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85,810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164,378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124,098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80,260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31,569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50,992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537,582</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Watch</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Substandard</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869</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2,219</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3,088</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color w:val="auto"/>
              </w:rPr>
              <w:t>Total one-to-four-family</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85,810</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165,247</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124,098</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80,260</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31,569</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53,211</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475</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540,670</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Multi-family</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Pass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4,478</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34,134</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91,253</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47,666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38,198</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27,932</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243,661</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multi-family</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4,478</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34,134</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91,253</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47,666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38,198</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27,932</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243,661</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color w:val="auto"/>
              </w:rPr>
              <w:t>Total real estate loans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215,025</w:t>
            </w:r>
          </w:p>
        </w:tc>
        <w:tc>
          <w:tcPr>
            <w:tcW w:w="2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441,373</w:t>
            </w:r>
          </w:p>
        </w:tc>
        <w:tc>
          <w:tcPr>
            <w:tcW w:w="36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344,326</w:t>
            </w:r>
          </w:p>
        </w:tc>
        <w:tc>
          <w:tcPr>
            <w:tcW w:w="2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200,195</w:t>
            </w:r>
          </w:p>
        </w:tc>
        <w:tc>
          <w:tcPr>
            <w:tcW w:w="2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line="142" w:lineRule="exact"/>
              <w:rPr>
                <w:sz w:val="20"/>
                <w:szCs w:val="20"/>
                <w:color w:val="auto"/>
              </w:rPr>
            </w:pPr>
            <w:r>
              <w:rPr>
                <w:rFonts w:ascii="Arial" w:cs="Arial" w:eastAsia="Arial" w:hAnsi="Arial"/>
                <w:sz w:val="14"/>
                <w:szCs w:val="14"/>
                <w:color w:val="auto"/>
              </w:rPr>
              <w:t>98,793</w:t>
            </w:r>
          </w:p>
        </w:tc>
        <w:tc>
          <w:tcPr>
            <w:tcW w:w="2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151,328</w:t>
            </w:r>
          </w:p>
        </w:tc>
        <w:tc>
          <w:tcPr>
            <w:tcW w:w="20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line="142" w:lineRule="exact"/>
              <w:rPr>
                <w:sz w:val="20"/>
                <w:szCs w:val="20"/>
                <w:color w:val="auto"/>
              </w:rPr>
            </w:pPr>
            <w:r>
              <w:rPr>
                <w:rFonts w:ascii="Arial" w:cs="Arial" w:eastAsia="Arial" w:hAnsi="Arial"/>
                <w:sz w:val="14"/>
                <w:szCs w:val="14"/>
                <w:color w:val="auto"/>
              </w:rPr>
              <w:t>54,137</w:t>
            </w:r>
          </w:p>
        </w:tc>
        <w:tc>
          <w:tcPr>
            <w:tcW w:w="20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line="142" w:lineRule="exact"/>
              <w:rPr>
                <w:sz w:val="20"/>
                <w:szCs w:val="20"/>
                <w:color w:val="auto"/>
              </w:rPr>
            </w:pPr>
            <w:r>
              <w:rPr>
                <w:rFonts w:ascii="Arial" w:cs="Arial" w:eastAsia="Arial" w:hAnsi="Arial"/>
                <w:sz w:val="14"/>
                <w:szCs w:val="14"/>
                <w:color w:val="auto"/>
              </w:rPr>
              <w:t>803</w:t>
            </w:r>
          </w:p>
        </w:tc>
        <w:tc>
          <w:tcPr>
            <w:tcW w:w="2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line="142" w:lineRule="exact"/>
              <w:rPr>
                <w:sz w:val="20"/>
                <w:szCs w:val="20"/>
                <w:color w:val="auto"/>
              </w:rPr>
            </w:pPr>
            <w:r>
              <w:rPr>
                <w:rFonts w:ascii="Arial" w:cs="Arial" w:eastAsia="Arial" w:hAnsi="Arial"/>
                <w:sz w:val="14"/>
                <w:szCs w:val="14"/>
                <w:color w:val="auto"/>
                <w:w w:val="99"/>
              </w:rPr>
              <w:t>1,505,980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September 30, 2023</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23" w:lineRule="exact"/>
              <w:rPr>
                <w:sz w:val="20"/>
                <w:szCs w:val="20"/>
                <w:color w:val="auto"/>
              </w:rPr>
            </w:pPr>
            <w:r>
              <w:rPr>
                <w:rFonts w:ascii="Arial" w:cs="Arial" w:eastAsia="Arial" w:hAnsi="Arial"/>
                <w:sz w:val="14"/>
                <w:szCs w:val="14"/>
                <w:color w:val="auto"/>
                <w:w w:val="97"/>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auto"/>
              </w:rPr>
              <w:t>CONSUMER LOANS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gridSpan w:val="7"/>
            <w:vMerge w:val="restart"/>
          </w:tcPr>
          <w:p>
            <w:pPr>
              <w:jc w:val="right"/>
              <w:ind w:right="8"/>
              <w:spacing w:after="0"/>
              <w:rPr>
                <w:sz w:val="20"/>
                <w:szCs w:val="20"/>
                <w:color w:val="auto"/>
              </w:rPr>
            </w:pPr>
            <w:r>
              <w:rPr>
                <w:rFonts w:ascii="Arial" w:cs="Arial" w:eastAsia="Arial" w:hAnsi="Arial"/>
                <w:sz w:val="14"/>
                <w:szCs w:val="14"/>
                <w:color w:val="auto"/>
                <w:w w:val="96"/>
              </w:rPr>
              <w:t>Term Loans by Year of Origination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Arial" w:cs="Arial" w:eastAsia="Arial" w:hAnsi="Arial"/>
                <w:sz w:val="14"/>
                <w:szCs w:val="14"/>
                <w:color w:val="auto"/>
                <w:w w:val="94"/>
              </w:rPr>
              <w:t>Loans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28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7"/>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center"/>
              <w:ind w:right="108"/>
              <w:spacing w:after="0"/>
              <w:rPr>
                <w:sz w:val="20"/>
                <w:szCs w:val="20"/>
                <w:color w:val="auto"/>
              </w:rPr>
            </w:pPr>
            <w:r>
              <w:rPr>
                <w:rFonts w:ascii="Arial" w:cs="Arial" w:eastAsia="Arial" w:hAnsi="Arial"/>
                <w:sz w:val="14"/>
                <w:szCs w:val="14"/>
                <w:color w:val="auto"/>
                <w:w w:val="97"/>
              </w:rPr>
              <w:t>Revolving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line="154" w:lineRule="exact"/>
              <w:rPr>
                <w:sz w:val="20"/>
                <w:szCs w:val="20"/>
                <w:color w:val="auto"/>
              </w:rPr>
            </w:pPr>
            <w:r>
              <w:rPr>
                <w:rFonts w:ascii="Arial" w:cs="Arial" w:eastAsia="Arial" w:hAnsi="Arial"/>
                <w:sz w:val="14"/>
                <w:szCs w:val="14"/>
                <w:color w:val="auto"/>
                <w:w w:val="92"/>
              </w:rPr>
              <w:t>Converted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20"/>
                <w:szCs w:val="20"/>
                <w:color w:val="auto"/>
              </w:rPr>
            </w:pPr>
            <w:r>
              <w:rPr>
                <w:rFonts w:ascii="Arial" w:cs="Arial" w:eastAsia="Arial" w:hAnsi="Arial"/>
                <w:sz w:val="14"/>
                <w:szCs w:val="14"/>
                <w:color w:val="auto"/>
              </w:rPr>
              <w:t>Indirect home improvement</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Prior</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4"/>
              </w:rPr>
              <w:t>Loans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91"/>
              </w:rPr>
              <w:t>to Term</w:t>
            </w:r>
          </w:p>
        </w:tc>
        <w:tc>
          <w:tcPr>
            <w:tcW w:w="10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w w:val="95"/>
              </w:rPr>
              <w:t>Total Loans</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Pass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140,778</w:t>
            </w:r>
          </w:p>
        </w:tc>
        <w:tc>
          <w:tcPr>
            <w:tcW w:w="280" w:type="dxa"/>
            <w:vAlign w:val="bottom"/>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224,259</w:t>
            </w:r>
          </w:p>
        </w:tc>
        <w:tc>
          <w:tcPr>
            <w:tcW w:w="360" w:type="dxa"/>
            <w:vAlign w:val="bottom"/>
            <w:gridSpan w:val="3"/>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99,785</w:t>
            </w:r>
          </w:p>
        </w:tc>
        <w:tc>
          <w:tcPr>
            <w:tcW w:w="280" w:type="dxa"/>
            <w:vAlign w:val="bottom"/>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38,229</w:t>
            </w:r>
          </w:p>
        </w:tc>
        <w:tc>
          <w:tcPr>
            <w:tcW w:w="2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25,370</w:t>
            </w:r>
          </w:p>
        </w:tc>
        <w:tc>
          <w:tcPr>
            <w:tcW w:w="2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32,555</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6</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560,982</w:t>
            </w: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Substandard</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149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360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213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235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1,668</w:t>
            </w: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indirect home improvement</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140,927</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224,801</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100,145</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38,442</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25,605</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32,724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562,650</w:t>
            </w:r>
          </w:p>
        </w:tc>
        <w:tc>
          <w:tcPr>
            <w:tcW w:w="0" w:type="dxa"/>
            <w:vAlign w:val="bottom"/>
          </w:tcPr>
          <w:p>
            <w:pPr>
              <w:spacing w:after="0"/>
              <w:rPr>
                <w:sz w:val="1"/>
                <w:szCs w:val="1"/>
                <w:color w:val="auto"/>
              </w:rPr>
            </w:pPr>
          </w:p>
        </w:tc>
      </w:tr>
      <w:tr>
        <w:trPr>
          <w:trHeight w:val="123"/>
        </w:trPr>
        <w:tc>
          <w:tcPr>
            <w:tcW w:w="2280" w:type="dxa"/>
            <w:vAlign w:val="bottom"/>
          </w:tcPr>
          <w:p>
            <w:pPr>
              <w:spacing w:after="0" w:line="123" w:lineRule="exact"/>
              <w:rPr>
                <w:sz w:val="20"/>
                <w:szCs w:val="20"/>
                <w:color w:val="auto"/>
              </w:rPr>
            </w:pPr>
            <w:r>
              <w:rPr>
                <w:rFonts w:ascii="Arial" w:cs="Arial" w:eastAsia="Arial" w:hAnsi="Arial"/>
                <w:sz w:val="14"/>
                <w:szCs w:val="14"/>
                <w:color w:val="auto"/>
              </w:rPr>
              <w:t>Indirect home improvement gross</w:t>
            </w:r>
          </w:p>
        </w:tc>
        <w:tc>
          <w:tcPr>
            <w:tcW w:w="16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834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1,972</w:t>
            </w:r>
          </w:p>
        </w:tc>
        <w:tc>
          <w:tcPr>
            <w:tcW w:w="0" w:type="dxa"/>
            <w:vAlign w:val="bottom"/>
          </w:tcPr>
          <w:p>
            <w:pPr>
              <w:spacing w:after="0"/>
              <w:rPr>
                <w:sz w:val="1"/>
                <w:szCs w:val="1"/>
                <w:color w:val="auto"/>
              </w:rPr>
            </w:pPr>
          </w:p>
        </w:tc>
      </w:tr>
      <w:tr>
        <w:trPr>
          <w:trHeight w:val="154"/>
        </w:trPr>
        <w:tc>
          <w:tcPr>
            <w:tcW w:w="2280" w:type="dxa"/>
            <w:vAlign w:val="bottom"/>
          </w:tcPr>
          <w:p>
            <w:pPr>
              <w:spacing w:after="0" w:line="154" w:lineRule="exact"/>
              <w:rPr>
                <w:sz w:val="20"/>
                <w:szCs w:val="20"/>
                <w:color w:val="auto"/>
              </w:rPr>
            </w:pPr>
            <w:r>
              <w:rPr>
                <w:rFonts w:ascii="Arial" w:cs="Arial" w:eastAsia="Arial" w:hAnsi="Arial"/>
                <w:sz w:val="14"/>
                <w:szCs w:val="14"/>
                <w:color w:val="auto"/>
              </w:rPr>
              <w:t>charge-offs</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Marine</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Pass</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12,050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24,527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10,329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13,623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5,407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7,545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73,481</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Substandard</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Arial" w:cs="Arial" w:eastAsia="Arial" w:hAnsi="Arial"/>
                <w:sz w:val="14"/>
                <w:szCs w:val="14"/>
                <w:color w:val="auto"/>
              </w:rPr>
              <w:t>Total marine</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12,050</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24,527</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10,354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13,623</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5,494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7,839</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73,887</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Marine gross charge-offs</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182</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color w:val="auto"/>
              </w:rPr>
              <w:t>Other consumer</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2,195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3,544</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Substandard</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other consumer</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220</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635</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199</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209</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2,198</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3,547</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color w:val="auto"/>
              </w:rPr>
              <w:t>Other consumer gross charge-offs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90</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consumer loans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153,197</w:t>
            </w:r>
          </w:p>
        </w:tc>
        <w:tc>
          <w:tcPr>
            <w:tcW w:w="280" w:type="dxa"/>
            <w:vAlign w:val="bottom"/>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249,963</w:t>
            </w:r>
          </w:p>
        </w:tc>
        <w:tc>
          <w:tcPr>
            <w:tcW w:w="360" w:type="dxa"/>
            <w:vAlign w:val="bottom"/>
            <w:gridSpan w:val="3"/>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110,698</w:t>
            </w:r>
          </w:p>
        </w:tc>
        <w:tc>
          <w:tcPr>
            <w:tcW w:w="280" w:type="dxa"/>
            <w:vAlign w:val="bottom"/>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52,146</w:t>
            </w:r>
          </w:p>
        </w:tc>
        <w:tc>
          <w:tcPr>
            <w:tcW w:w="2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31,104</w:t>
            </w:r>
          </w:p>
        </w:tc>
        <w:tc>
          <w:tcPr>
            <w:tcW w:w="2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40,772</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2,204</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640,084</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September 30, 2023</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auto"/>
              </w:rPr>
              <w:t>COMMERCIAL</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23" w:lineRule="exact"/>
              <w:rPr>
                <w:sz w:val="20"/>
                <w:szCs w:val="20"/>
                <w:color w:val="auto"/>
              </w:rPr>
            </w:pPr>
            <w:r>
              <w:rPr>
                <w:rFonts w:ascii="Arial" w:cs="Arial" w:eastAsia="Arial" w:hAnsi="Arial"/>
                <w:sz w:val="14"/>
                <w:szCs w:val="14"/>
                <w:color w:val="auto"/>
                <w:w w:val="97"/>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4"/>
              </w:rPr>
              <w:t>Loans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20"/>
                <w:szCs w:val="20"/>
                <w:color w:val="auto"/>
              </w:rPr>
            </w:pPr>
            <w:r>
              <w:rPr>
                <w:rFonts w:ascii="Arial" w:cs="Arial" w:eastAsia="Arial" w:hAnsi="Arial"/>
                <w:sz w:val="14"/>
                <w:szCs w:val="14"/>
                <w:b w:val="1"/>
                <w:bCs w:val="1"/>
                <w:color w:val="auto"/>
              </w:rPr>
              <w:t>BUSINESS LOANS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ind w:right="8"/>
              <w:spacing w:after="0"/>
              <w:rPr>
                <w:sz w:val="20"/>
                <w:szCs w:val="20"/>
                <w:color w:val="auto"/>
              </w:rPr>
            </w:pPr>
            <w:r>
              <w:rPr>
                <w:rFonts w:ascii="Arial" w:cs="Arial" w:eastAsia="Arial" w:hAnsi="Arial"/>
                <w:sz w:val="14"/>
                <w:szCs w:val="14"/>
                <w:color w:val="auto"/>
                <w:w w:val="96"/>
              </w:rPr>
              <w:t>Term Loans by Year of Origination</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92"/>
              </w:rPr>
              <w:t>Converted</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108"/>
              <w:spacing w:after="0" w:line="123" w:lineRule="exact"/>
              <w:rPr>
                <w:sz w:val="20"/>
                <w:szCs w:val="20"/>
                <w:color w:val="auto"/>
              </w:rPr>
            </w:pPr>
            <w:r>
              <w:rPr>
                <w:rFonts w:ascii="Arial" w:cs="Arial" w:eastAsia="Arial" w:hAnsi="Arial"/>
                <w:sz w:val="14"/>
                <w:szCs w:val="14"/>
                <w:color w:val="auto"/>
                <w:w w:val="97"/>
              </w:rPr>
              <w:t>Revolving</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20"/>
                <w:szCs w:val="20"/>
                <w:color w:val="auto"/>
              </w:rPr>
            </w:pPr>
            <w:r>
              <w:rPr>
                <w:rFonts w:ascii="Arial" w:cs="Arial" w:eastAsia="Arial" w:hAnsi="Arial"/>
                <w:sz w:val="14"/>
                <w:szCs w:val="14"/>
                <w:color w:val="auto"/>
              </w:rPr>
              <w:t>Commercial and industrial</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Prior</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4"/>
              </w:rPr>
              <w:t>Loans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91"/>
              </w:rPr>
              <w:t>to Term</w:t>
            </w:r>
          </w:p>
        </w:tc>
        <w:tc>
          <w:tcPr>
            <w:tcW w:w="10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w w:val="95"/>
              </w:rPr>
              <w:t>Total Loans</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Pass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13,252</w:t>
            </w:r>
          </w:p>
        </w:tc>
        <w:tc>
          <w:tcPr>
            <w:tcW w:w="280" w:type="dxa"/>
            <w:vAlign w:val="bottom"/>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31,185</w:t>
            </w:r>
          </w:p>
        </w:tc>
        <w:tc>
          <w:tcPr>
            <w:tcW w:w="360" w:type="dxa"/>
            <w:vAlign w:val="bottom"/>
            <w:gridSpan w:val="3"/>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22,174</w:t>
            </w:r>
          </w:p>
        </w:tc>
        <w:tc>
          <w:tcPr>
            <w:tcW w:w="280" w:type="dxa"/>
            <w:vAlign w:val="bottom"/>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12,181</w:t>
            </w:r>
          </w:p>
        </w:tc>
        <w:tc>
          <w:tcPr>
            <w:tcW w:w="2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5,401</w:t>
            </w:r>
          </w:p>
        </w:tc>
        <w:tc>
          <w:tcPr>
            <w:tcW w:w="2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10,999</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111,899</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879</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207,970</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Watch</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259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1,436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2,507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9,726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15,041</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Special mention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542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2,362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3,167</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Substandard</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3,105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1,557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1,435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1,766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2,306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10,342</w:t>
            </w: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commercial and industrial</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16,616</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31,185</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25,167</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16,123</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7,709</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12,548</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126,293</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879</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236,520</w:t>
            </w:r>
          </w:p>
        </w:tc>
        <w:tc>
          <w:tcPr>
            <w:tcW w:w="0" w:type="dxa"/>
            <w:vAlign w:val="bottom"/>
          </w:tcPr>
          <w:p>
            <w:pPr>
              <w:spacing w:after="0"/>
              <w:rPr>
                <w:sz w:val="1"/>
                <w:szCs w:val="1"/>
                <w:color w:val="auto"/>
              </w:rPr>
            </w:pPr>
          </w:p>
        </w:tc>
      </w:tr>
      <w:tr>
        <w:trPr>
          <w:trHeight w:val="123"/>
        </w:trPr>
        <w:tc>
          <w:tcPr>
            <w:tcW w:w="2280" w:type="dxa"/>
            <w:vAlign w:val="bottom"/>
          </w:tcPr>
          <w:p>
            <w:pPr>
              <w:spacing w:after="0" w:line="123" w:lineRule="exact"/>
              <w:rPr>
                <w:sz w:val="20"/>
                <w:szCs w:val="20"/>
                <w:color w:val="auto"/>
              </w:rPr>
            </w:pPr>
            <w:r>
              <w:rPr>
                <w:rFonts w:ascii="Arial" w:cs="Arial" w:eastAsia="Arial" w:hAnsi="Arial"/>
                <w:sz w:val="14"/>
                <w:szCs w:val="14"/>
                <w:color w:val="auto"/>
              </w:rPr>
              <w:t>Commercial and industrial gross</w:t>
            </w:r>
          </w:p>
        </w:tc>
        <w:tc>
          <w:tcPr>
            <w:tcW w:w="16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4"/>
        </w:trPr>
        <w:tc>
          <w:tcPr>
            <w:tcW w:w="2280" w:type="dxa"/>
            <w:vAlign w:val="bottom"/>
          </w:tcPr>
          <w:p>
            <w:pPr>
              <w:spacing w:after="0" w:line="154" w:lineRule="exact"/>
              <w:rPr>
                <w:sz w:val="20"/>
                <w:szCs w:val="20"/>
                <w:color w:val="auto"/>
              </w:rPr>
            </w:pPr>
            <w:r>
              <w:rPr>
                <w:rFonts w:ascii="Arial" w:cs="Arial" w:eastAsia="Arial" w:hAnsi="Arial"/>
                <w:sz w:val="14"/>
                <w:szCs w:val="14"/>
                <w:color w:val="auto"/>
              </w:rPr>
              <w:t>charge-offs</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Warehouse lending</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Pass</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22,267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22,267</w:t>
            </w:r>
          </w:p>
        </w:tc>
        <w:tc>
          <w:tcPr>
            <w:tcW w:w="0" w:type="dxa"/>
            <w:vAlign w:val="bottom"/>
          </w:tcPr>
          <w:p>
            <w:pPr>
              <w:spacing w:after="0"/>
              <w:rPr>
                <w:sz w:val="1"/>
                <w:szCs w:val="1"/>
                <w:color w:val="auto"/>
              </w:rPr>
            </w:pPr>
          </w:p>
        </w:tc>
      </w:tr>
      <w:tr>
        <w:trPr>
          <w:trHeight w:val="149"/>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Watch</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1,222</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color w:val="auto"/>
              </w:rPr>
              <w:t>Total warehouse lending</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23,489</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23,489</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commercial business loans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16,616</w:t>
            </w:r>
          </w:p>
        </w:tc>
        <w:tc>
          <w:tcPr>
            <w:tcW w:w="280" w:type="dxa"/>
            <w:vAlign w:val="bottom"/>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31,185</w:t>
            </w:r>
          </w:p>
        </w:tc>
        <w:tc>
          <w:tcPr>
            <w:tcW w:w="360" w:type="dxa"/>
            <w:vAlign w:val="bottom"/>
            <w:gridSpan w:val="3"/>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25,167</w:t>
            </w:r>
          </w:p>
        </w:tc>
        <w:tc>
          <w:tcPr>
            <w:tcW w:w="280" w:type="dxa"/>
            <w:vAlign w:val="bottom"/>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16,123</w:t>
            </w:r>
          </w:p>
        </w:tc>
        <w:tc>
          <w:tcPr>
            <w:tcW w:w="2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7,709</w:t>
            </w:r>
          </w:p>
        </w:tc>
        <w:tc>
          <w:tcPr>
            <w:tcW w:w="2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12,548</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149,782</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879</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260,009</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LOANS RECEIVABLE,</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GROSS</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Pass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378,116</w:t>
            </w:r>
          </w:p>
        </w:tc>
        <w:tc>
          <w:tcPr>
            <w:tcW w:w="2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715,651</w:t>
            </w:r>
          </w:p>
        </w:tc>
        <w:tc>
          <w:tcPr>
            <w:tcW w:w="360" w:type="dxa"/>
            <w:vAlign w:val="bottom"/>
            <w:gridSpan w:val="3"/>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463,861</w:t>
            </w:r>
          </w:p>
        </w:tc>
        <w:tc>
          <w:tcPr>
            <w:tcW w:w="2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262,651</w:t>
            </w:r>
          </w:p>
        </w:tc>
        <w:tc>
          <w:tcPr>
            <w:tcW w:w="2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134,110</w:t>
            </w:r>
          </w:p>
        </w:tc>
        <w:tc>
          <w:tcPr>
            <w:tcW w:w="2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196,193</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190,476</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1,682</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9"/>
              </w:rPr>
              <w:t>2,342,740</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Watch</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3,468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14,388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2,507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3,352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10,965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40,592</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Special mention</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955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2,362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3,580</w:t>
            </w: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Substandard</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3,254</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1,411</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1,942</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3,306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2,088</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4,840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2,320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19,161</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color w:val="auto"/>
              </w:rPr>
              <w:t>Total loans receivable, gross</w:t>
            </w: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rPr>
              <w:t>384,838</w:t>
            </w: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722,521</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rPr>
              <w:t>480,191</w:t>
            </w: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rPr>
              <w:t>268,464</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rPr>
              <w:t>137,606</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gridSpan w:val="2"/>
          </w:tcPr>
          <w:p>
            <w:pPr>
              <w:jc w:val="right"/>
              <w:ind w:right="100"/>
              <w:spacing w:after="0" w:line="129" w:lineRule="exact"/>
              <w:rPr>
                <w:sz w:val="20"/>
                <w:szCs w:val="20"/>
                <w:color w:val="auto"/>
              </w:rPr>
            </w:pPr>
            <w:r>
              <w:rPr>
                <w:rFonts w:ascii="Arial" w:cs="Arial" w:eastAsia="Arial" w:hAnsi="Arial"/>
                <w:sz w:val="14"/>
                <w:szCs w:val="14"/>
                <w:color w:val="auto"/>
              </w:rPr>
              <w:t>204,648</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rPr>
              <w:t>206,123</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rPr>
              <w:t>1,682</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w w:val="99"/>
              </w:rPr>
              <w:t>2,406,073</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gross charge-offs</w:t>
            </w: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883</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587</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160</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415</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2,426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December 31, 2022</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23" w:lineRule="exact"/>
              <w:rPr>
                <w:sz w:val="20"/>
                <w:szCs w:val="20"/>
                <w:color w:val="auto"/>
              </w:rPr>
            </w:pPr>
            <w:r>
              <w:rPr>
                <w:rFonts w:ascii="Arial" w:cs="Arial" w:eastAsia="Arial" w:hAnsi="Arial"/>
                <w:sz w:val="14"/>
                <w:szCs w:val="14"/>
                <w:color w:val="auto"/>
                <w:w w:val="97"/>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4"/>
              </w:rPr>
              <w:t>Loans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20"/>
                <w:szCs w:val="20"/>
                <w:color w:val="auto"/>
              </w:rPr>
            </w:pPr>
            <w:r>
              <w:rPr>
                <w:rFonts w:ascii="Arial" w:cs="Arial" w:eastAsia="Arial" w:hAnsi="Arial"/>
                <w:sz w:val="14"/>
                <w:szCs w:val="14"/>
                <w:b w:val="1"/>
                <w:bCs w:val="1"/>
                <w:color w:val="auto"/>
              </w:rPr>
              <w:t>REAL ESTATE LOANS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ind w:right="8"/>
              <w:spacing w:after="0"/>
              <w:rPr>
                <w:sz w:val="20"/>
                <w:szCs w:val="20"/>
                <w:color w:val="auto"/>
              </w:rPr>
            </w:pPr>
            <w:r>
              <w:rPr>
                <w:rFonts w:ascii="Arial" w:cs="Arial" w:eastAsia="Arial" w:hAnsi="Arial"/>
                <w:sz w:val="14"/>
                <w:szCs w:val="14"/>
                <w:color w:val="auto"/>
                <w:w w:val="96"/>
              </w:rPr>
              <w:t>Term Loans by Year of Origination</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92"/>
              </w:rPr>
              <w:t>Converted</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108"/>
              <w:spacing w:after="0" w:line="123" w:lineRule="exact"/>
              <w:rPr>
                <w:sz w:val="20"/>
                <w:szCs w:val="20"/>
                <w:color w:val="auto"/>
              </w:rPr>
            </w:pPr>
            <w:r>
              <w:rPr>
                <w:rFonts w:ascii="Arial" w:cs="Arial" w:eastAsia="Arial" w:hAnsi="Arial"/>
                <w:sz w:val="14"/>
                <w:szCs w:val="14"/>
                <w:color w:val="auto"/>
                <w:w w:val="97"/>
              </w:rPr>
              <w:t>Revolving</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20"/>
                <w:szCs w:val="20"/>
                <w:color w:val="auto"/>
              </w:rPr>
            </w:pPr>
            <w:r>
              <w:rPr>
                <w:rFonts w:ascii="Arial" w:cs="Arial" w:eastAsia="Arial" w:hAnsi="Arial"/>
                <w:sz w:val="14"/>
                <w:szCs w:val="14"/>
                <w:color w:val="auto"/>
              </w:rPr>
              <w:t>Commercial</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2021</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Prior</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4"/>
              </w:rPr>
              <w:t>Loans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91"/>
              </w:rPr>
              <w:t>to Term</w:t>
            </w:r>
          </w:p>
        </w:tc>
        <w:tc>
          <w:tcPr>
            <w:tcW w:w="10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w w:val="95"/>
              </w:rPr>
              <w:t>Total Loans</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Pass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86,189</w:t>
            </w:r>
          </w:p>
        </w:tc>
        <w:tc>
          <w:tcPr>
            <w:tcW w:w="280" w:type="dxa"/>
            <w:vAlign w:val="bottom"/>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76,030</w:t>
            </w:r>
          </w:p>
        </w:tc>
        <w:tc>
          <w:tcPr>
            <w:tcW w:w="360" w:type="dxa"/>
            <w:vAlign w:val="bottom"/>
            <w:gridSpan w:val="3"/>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46,125</w:t>
            </w:r>
          </w:p>
        </w:tc>
        <w:tc>
          <w:tcPr>
            <w:tcW w:w="280" w:type="dxa"/>
            <w:vAlign w:val="bottom"/>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38,930</w:t>
            </w:r>
          </w:p>
        </w:tc>
        <w:tc>
          <w:tcPr>
            <w:tcW w:w="2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14,101</w:t>
            </w:r>
          </w:p>
        </w:tc>
        <w:tc>
          <w:tcPr>
            <w:tcW w:w="2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55,271</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316,646</w:t>
            </w: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Watch</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9,504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373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9,877</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Special mention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2,113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2,113</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Substandard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581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4,842</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5,423</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commercial</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95,693</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76,030</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46,498</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41,043</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14,682</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60,113</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334,059</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color w:val="auto"/>
              </w:rPr>
              <w:t>Construction and development</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Pass</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193,084</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118,724</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21,966</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8,379</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438</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342,591</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color w:val="auto"/>
              </w:rPr>
              <w:t>Total construction and development</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193,084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118,724</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21,966</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8,379</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438</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342,591</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Home equity</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Pass</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4,978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1,696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6,818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1,203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1,572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39,063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55,341</w:t>
            </w: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Substandard</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color w:val="auto"/>
              </w:rPr>
              <w:t>Total home equity</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4,978</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1,696</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6,818</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1,216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1,605</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39,063</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55,387</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One-to-four-family</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Pass</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166,388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129,282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82,461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31,878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15,837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40,526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199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466,571</w:t>
            </w: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Substandard</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1,941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973</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2,914</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color w:val="auto"/>
              </w:rPr>
              <w:t>Total one-to-four-family</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166,388</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129,282</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82,461</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31,878</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17,778</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41,499</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199</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469,485</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Multi-family</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Pass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41,041</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63,353</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48,376</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38,805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4,176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23,987</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219,738</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multi-family</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41,041</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63,353</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48,376</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38,805</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4,176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23,987</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219,738</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color w:val="auto"/>
              </w:rPr>
              <w:t>Total real estate loans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501,184</w:t>
            </w:r>
          </w:p>
        </w:tc>
        <w:tc>
          <w:tcPr>
            <w:tcW w:w="280" w:type="dxa"/>
            <w:vAlign w:val="bottom"/>
            <w:gridSpan w:val="2"/>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389,085</w:t>
            </w:r>
          </w:p>
        </w:tc>
        <w:tc>
          <w:tcPr>
            <w:tcW w:w="360" w:type="dxa"/>
            <w:vAlign w:val="bottom"/>
            <w:gridSpan w:val="3"/>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206,119</w:t>
            </w:r>
          </w:p>
        </w:tc>
        <w:tc>
          <w:tcPr>
            <w:tcW w:w="280" w:type="dxa"/>
            <w:vAlign w:val="bottom"/>
            <w:gridSpan w:val="2"/>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120,116</w:t>
            </w:r>
          </w:p>
        </w:tc>
        <w:tc>
          <w:tcPr>
            <w:tcW w:w="260" w:type="dxa"/>
            <w:vAlign w:val="bottom"/>
            <w:gridSpan w:val="2"/>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line="142" w:lineRule="exact"/>
              <w:rPr>
                <w:sz w:val="20"/>
                <w:szCs w:val="20"/>
                <w:color w:val="auto"/>
              </w:rPr>
            </w:pPr>
            <w:r>
              <w:rPr>
                <w:rFonts w:ascii="Arial" w:cs="Arial" w:eastAsia="Arial" w:hAnsi="Arial"/>
                <w:sz w:val="14"/>
                <w:szCs w:val="14"/>
                <w:color w:val="auto"/>
              </w:rPr>
              <w:t>37,852</w:t>
            </w:r>
          </w:p>
        </w:tc>
        <w:tc>
          <w:tcPr>
            <w:tcW w:w="260" w:type="dxa"/>
            <w:vAlign w:val="bottom"/>
            <w:gridSpan w:val="2"/>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line="142" w:lineRule="exact"/>
              <w:rPr>
                <w:sz w:val="20"/>
                <w:szCs w:val="20"/>
                <w:color w:val="auto"/>
              </w:rPr>
            </w:pPr>
            <w:r>
              <w:rPr>
                <w:rFonts w:ascii="Arial" w:cs="Arial" w:eastAsia="Arial" w:hAnsi="Arial"/>
                <w:sz w:val="14"/>
                <w:szCs w:val="14"/>
                <w:color w:val="auto"/>
              </w:rPr>
              <w:t>127,642</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line="142" w:lineRule="exact"/>
              <w:rPr>
                <w:sz w:val="20"/>
                <w:szCs w:val="20"/>
                <w:color w:val="auto"/>
              </w:rPr>
            </w:pPr>
            <w:r>
              <w:rPr>
                <w:rFonts w:ascii="Arial" w:cs="Arial" w:eastAsia="Arial" w:hAnsi="Arial"/>
                <w:sz w:val="14"/>
                <w:szCs w:val="14"/>
                <w:color w:val="auto"/>
              </w:rPr>
              <w:t>39,063</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line="142" w:lineRule="exact"/>
              <w:rPr>
                <w:sz w:val="20"/>
                <w:szCs w:val="20"/>
                <w:color w:val="auto"/>
              </w:rPr>
            </w:pPr>
            <w:r>
              <w:rPr>
                <w:rFonts w:ascii="Arial" w:cs="Arial" w:eastAsia="Arial" w:hAnsi="Arial"/>
                <w:sz w:val="14"/>
                <w:szCs w:val="14"/>
                <w:color w:val="auto"/>
              </w:rPr>
              <w:t>199</w:t>
            </w:r>
          </w:p>
        </w:tc>
        <w:tc>
          <w:tcPr>
            <w:tcW w:w="2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line="142" w:lineRule="exact"/>
              <w:rPr>
                <w:sz w:val="20"/>
                <w:szCs w:val="20"/>
                <w:color w:val="auto"/>
              </w:rPr>
            </w:pPr>
            <w:r>
              <w:rPr>
                <w:rFonts w:ascii="Arial" w:cs="Arial" w:eastAsia="Arial" w:hAnsi="Arial"/>
                <w:sz w:val="14"/>
                <w:szCs w:val="14"/>
                <w:color w:val="auto"/>
                <w:w w:val="99"/>
              </w:rPr>
              <w:t>1,421,260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December 31, 2022</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23" w:lineRule="exact"/>
              <w:rPr>
                <w:sz w:val="20"/>
                <w:szCs w:val="20"/>
                <w:color w:val="auto"/>
              </w:rPr>
            </w:pPr>
            <w:r>
              <w:rPr>
                <w:rFonts w:ascii="Arial" w:cs="Arial" w:eastAsia="Arial" w:hAnsi="Arial"/>
                <w:sz w:val="14"/>
                <w:szCs w:val="14"/>
                <w:color w:val="auto"/>
                <w:w w:val="97"/>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4"/>
              </w:rPr>
              <w:t>Loans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20"/>
                <w:szCs w:val="20"/>
                <w:color w:val="auto"/>
              </w:rPr>
            </w:pPr>
            <w:r>
              <w:rPr>
                <w:rFonts w:ascii="Arial" w:cs="Arial" w:eastAsia="Arial" w:hAnsi="Arial"/>
                <w:sz w:val="14"/>
                <w:szCs w:val="14"/>
                <w:b w:val="1"/>
                <w:bCs w:val="1"/>
                <w:color w:val="auto"/>
              </w:rPr>
              <w:t>CONSUMER LOANS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ind w:right="8"/>
              <w:spacing w:after="0"/>
              <w:rPr>
                <w:sz w:val="20"/>
                <w:szCs w:val="20"/>
                <w:color w:val="auto"/>
              </w:rPr>
            </w:pPr>
            <w:r>
              <w:rPr>
                <w:rFonts w:ascii="Arial" w:cs="Arial" w:eastAsia="Arial" w:hAnsi="Arial"/>
                <w:sz w:val="14"/>
                <w:szCs w:val="14"/>
                <w:color w:val="auto"/>
                <w:w w:val="96"/>
              </w:rPr>
              <w:t>Term Loans by Year of Origination</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92"/>
              </w:rPr>
              <w:t>Converted</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108"/>
              <w:spacing w:after="0" w:line="123" w:lineRule="exact"/>
              <w:rPr>
                <w:sz w:val="20"/>
                <w:szCs w:val="20"/>
                <w:color w:val="auto"/>
              </w:rPr>
            </w:pPr>
            <w:r>
              <w:rPr>
                <w:rFonts w:ascii="Arial" w:cs="Arial" w:eastAsia="Arial" w:hAnsi="Arial"/>
                <w:sz w:val="14"/>
                <w:szCs w:val="14"/>
                <w:color w:val="auto"/>
                <w:w w:val="97"/>
              </w:rPr>
              <w:t>Revolving</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20"/>
                <w:szCs w:val="20"/>
                <w:color w:val="auto"/>
              </w:rPr>
            </w:pPr>
            <w:r>
              <w:rPr>
                <w:rFonts w:ascii="Arial" w:cs="Arial" w:eastAsia="Arial" w:hAnsi="Arial"/>
                <w:sz w:val="14"/>
                <w:szCs w:val="14"/>
                <w:color w:val="auto"/>
              </w:rPr>
              <w:t>Indirect home improvement</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2021</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Prior</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4"/>
              </w:rPr>
              <w:t>Loans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91"/>
              </w:rPr>
              <w:t>to Term</w:t>
            </w:r>
          </w:p>
        </w:tc>
        <w:tc>
          <w:tcPr>
            <w:tcW w:w="10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w w:val="95"/>
              </w:rPr>
              <w:t>Total Loans</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Pass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253,495</w:t>
            </w:r>
          </w:p>
        </w:tc>
        <w:tc>
          <w:tcPr>
            <w:tcW w:w="280" w:type="dxa"/>
            <w:vAlign w:val="bottom"/>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123,264</w:t>
            </w:r>
          </w:p>
        </w:tc>
        <w:tc>
          <w:tcPr>
            <w:tcW w:w="360" w:type="dxa"/>
            <w:vAlign w:val="bottom"/>
            <w:gridSpan w:val="3"/>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46,476</w:t>
            </w:r>
          </w:p>
        </w:tc>
        <w:tc>
          <w:tcPr>
            <w:tcW w:w="280" w:type="dxa"/>
            <w:vAlign w:val="bottom"/>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31,251</w:t>
            </w:r>
          </w:p>
        </w:tc>
        <w:tc>
          <w:tcPr>
            <w:tcW w:w="2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18,165</w:t>
            </w:r>
          </w:p>
        </w:tc>
        <w:tc>
          <w:tcPr>
            <w:tcW w:w="2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22,205</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9</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494,865</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Substandard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347</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213</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137</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62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169</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148</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indirect home improvement</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253,842</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123,477</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46,613</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31,313</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18,334</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22,353</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495,941</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color w:val="auto"/>
              </w:rPr>
              <w:t>Marine</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27,904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11,762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15,139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6,224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5,415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3,856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70,300</w:t>
            </w: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Substandard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151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61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55</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marine</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27,904</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11,762</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15,139</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6,375</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5,476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3,911</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70,567</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color w:val="auto"/>
              </w:rPr>
              <w:t>Other consumer</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792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1,251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3,055</w:t>
            </w: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Substandard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other consumer</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793</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759</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116</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1,254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3,064</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color w:val="auto"/>
              </w:rPr>
              <w:t>Total consumer loans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282,539</w:t>
            </w:r>
          </w:p>
        </w:tc>
        <w:tc>
          <w:tcPr>
            <w:tcW w:w="280" w:type="dxa"/>
            <w:vAlign w:val="bottom"/>
            <w:gridSpan w:val="2"/>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135,998</w:t>
            </w:r>
          </w:p>
        </w:tc>
        <w:tc>
          <w:tcPr>
            <w:tcW w:w="360" w:type="dxa"/>
            <w:vAlign w:val="bottom"/>
            <w:gridSpan w:val="3"/>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61,868</w:t>
            </w:r>
          </w:p>
        </w:tc>
        <w:tc>
          <w:tcPr>
            <w:tcW w:w="280" w:type="dxa"/>
            <w:vAlign w:val="bottom"/>
            <w:gridSpan w:val="2"/>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37,736</w:t>
            </w:r>
          </w:p>
        </w:tc>
        <w:tc>
          <w:tcPr>
            <w:tcW w:w="260" w:type="dxa"/>
            <w:vAlign w:val="bottom"/>
            <w:gridSpan w:val="2"/>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line="142" w:lineRule="exact"/>
              <w:rPr>
                <w:sz w:val="20"/>
                <w:szCs w:val="20"/>
                <w:color w:val="auto"/>
              </w:rPr>
            </w:pPr>
            <w:r>
              <w:rPr>
                <w:rFonts w:ascii="Arial" w:cs="Arial" w:eastAsia="Arial" w:hAnsi="Arial"/>
                <w:sz w:val="14"/>
                <w:szCs w:val="14"/>
                <w:color w:val="auto"/>
              </w:rPr>
              <w:t>23,824</w:t>
            </w:r>
          </w:p>
        </w:tc>
        <w:tc>
          <w:tcPr>
            <w:tcW w:w="260" w:type="dxa"/>
            <w:vAlign w:val="bottom"/>
            <w:gridSpan w:val="2"/>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line="142" w:lineRule="exact"/>
              <w:rPr>
                <w:sz w:val="20"/>
                <w:szCs w:val="20"/>
                <w:color w:val="auto"/>
              </w:rPr>
            </w:pPr>
            <w:r>
              <w:rPr>
                <w:rFonts w:ascii="Arial" w:cs="Arial" w:eastAsia="Arial" w:hAnsi="Arial"/>
                <w:sz w:val="14"/>
                <w:szCs w:val="14"/>
                <w:color w:val="auto"/>
              </w:rPr>
              <w:t>26,344</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line="142" w:lineRule="exact"/>
              <w:rPr>
                <w:sz w:val="20"/>
                <w:szCs w:val="20"/>
                <w:color w:val="auto"/>
              </w:rPr>
            </w:pPr>
            <w:r>
              <w:rPr>
                <w:rFonts w:ascii="Arial" w:cs="Arial" w:eastAsia="Arial" w:hAnsi="Arial"/>
                <w:sz w:val="14"/>
                <w:szCs w:val="14"/>
                <w:color w:val="auto"/>
              </w:rPr>
              <w:t>1,263</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line="142" w:lineRule="exact"/>
              <w:rPr>
                <w:sz w:val="20"/>
                <w:szCs w:val="20"/>
                <w:color w:val="auto"/>
              </w:rPr>
            </w:pPr>
            <w:r>
              <w:rPr>
                <w:rFonts w:ascii="Arial" w:cs="Arial" w:eastAsia="Arial" w:hAnsi="Arial"/>
                <w:sz w:val="14"/>
                <w:szCs w:val="14"/>
                <w:color w:val="auto"/>
              </w:rPr>
              <w:t>569,572</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December 31, 2022</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auto"/>
              </w:rPr>
              <w:t>COMMERCIAL</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23" w:lineRule="exact"/>
              <w:rPr>
                <w:sz w:val="20"/>
                <w:szCs w:val="20"/>
                <w:color w:val="auto"/>
              </w:rPr>
            </w:pPr>
            <w:r>
              <w:rPr>
                <w:rFonts w:ascii="Arial" w:cs="Arial" w:eastAsia="Arial" w:hAnsi="Arial"/>
                <w:sz w:val="14"/>
                <w:szCs w:val="14"/>
                <w:color w:val="auto"/>
                <w:w w:val="97"/>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4"/>
              </w:rPr>
              <w:t>Loans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20"/>
                <w:szCs w:val="20"/>
                <w:color w:val="auto"/>
              </w:rPr>
            </w:pPr>
            <w:r>
              <w:rPr>
                <w:rFonts w:ascii="Arial" w:cs="Arial" w:eastAsia="Arial" w:hAnsi="Arial"/>
                <w:sz w:val="14"/>
                <w:szCs w:val="14"/>
                <w:b w:val="1"/>
                <w:bCs w:val="1"/>
                <w:color w:val="auto"/>
              </w:rPr>
              <w:t>BUSINESS LOANS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ind w:right="8"/>
              <w:spacing w:after="0"/>
              <w:rPr>
                <w:sz w:val="20"/>
                <w:szCs w:val="20"/>
                <w:color w:val="auto"/>
              </w:rPr>
            </w:pPr>
            <w:r>
              <w:rPr>
                <w:rFonts w:ascii="Arial" w:cs="Arial" w:eastAsia="Arial" w:hAnsi="Arial"/>
                <w:sz w:val="14"/>
                <w:szCs w:val="14"/>
                <w:color w:val="auto"/>
                <w:w w:val="96"/>
              </w:rPr>
              <w:t>Term Loans by Year of Origination</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92"/>
              </w:rPr>
              <w:t>Converted</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108"/>
              <w:spacing w:after="0" w:line="123" w:lineRule="exact"/>
              <w:rPr>
                <w:sz w:val="20"/>
                <w:szCs w:val="20"/>
                <w:color w:val="auto"/>
              </w:rPr>
            </w:pPr>
            <w:r>
              <w:rPr>
                <w:rFonts w:ascii="Arial" w:cs="Arial" w:eastAsia="Arial" w:hAnsi="Arial"/>
                <w:sz w:val="14"/>
                <w:szCs w:val="14"/>
                <w:color w:val="auto"/>
                <w:w w:val="97"/>
              </w:rPr>
              <w:t>Revolving</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20"/>
                <w:szCs w:val="20"/>
                <w:color w:val="auto"/>
              </w:rPr>
            </w:pPr>
            <w:r>
              <w:rPr>
                <w:rFonts w:ascii="Arial" w:cs="Arial" w:eastAsia="Arial" w:hAnsi="Arial"/>
                <w:sz w:val="14"/>
                <w:szCs w:val="14"/>
                <w:color w:val="auto"/>
              </w:rPr>
              <w:t>Commercial and industrial</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2021</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Prior</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4"/>
              </w:rPr>
              <w:t>Loans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91"/>
              </w:rPr>
              <w:t>to Term</w:t>
            </w:r>
          </w:p>
        </w:tc>
        <w:tc>
          <w:tcPr>
            <w:tcW w:w="10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w w:val="95"/>
              </w:rPr>
              <w:t>Total Loans</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Pass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24,337</w:t>
            </w:r>
          </w:p>
        </w:tc>
        <w:tc>
          <w:tcPr>
            <w:tcW w:w="280" w:type="dxa"/>
            <w:vAlign w:val="bottom"/>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22,561</w:t>
            </w:r>
          </w:p>
        </w:tc>
        <w:tc>
          <w:tcPr>
            <w:tcW w:w="360" w:type="dxa"/>
            <w:vAlign w:val="bottom"/>
            <w:gridSpan w:val="3"/>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12,461</w:t>
            </w:r>
          </w:p>
        </w:tc>
        <w:tc>
          <w:tcPr>
            <w:tcW w:w="280" w:type="dxa"/>
            <w:vAlign w:val="bottom"/>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3,940</w:t>
            </w:r>
          </w:p>
        </w:tc>
        <w:tc>
          <w:tcPr>
            <w:tcW w:w="2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3,074</w:t>
            </w:r>
          </w:p>
        </w:tc>
        <w:tc>
          <w:tcPr>
            <w:tcW w:w="2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7,701</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104,524</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178,598</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Watch</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2,932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1,327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6,132</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Special mention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963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1,597</w:t>
            </w: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Substandard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1,586</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1,265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2,291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190</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3,739</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1,093</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300</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10,464</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commercial and industrial</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24,337</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25,274</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16,658</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6,865</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3,264</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12,186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107,907</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300</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196,791</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color w:val="auto"/>
              </w:rPr>
              <w:t>Warehouse lending</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31,227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31,227</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Watch</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warehouse lending</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31,229</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31,229</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color w:val="auto"/>
              </w:rPr>
              <w:t>Total commercial business loans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24,337</w:t>
            </w:r>
          </w:p>
        </w:tc>
        <w:tc>
          <w:tcPr>
            <w:tcW w:w="280" w:type="dxa"/>
            <w:vAlign w:val="bottom"/>
            <w:gridSpan w:val="2"/>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25,274</w:t>
            </w:r>
          </w:p>
        </w:tc>
        <w:tc>
          <w:tcPr>
            <w:tcW w:w="360" w:type="dxa"/>
            <w:vAlign w:val="bottom"/>
            <w:gridSpan w:val="3"/>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16,658</w:t>
            </w:r>
          </w:p>
        </w:tc>
        <w:tc>
          <w:tcPr>
            <w:tcW w:w="280" w:type="dxa"/>
            <w:vAlign w:val="bottom"/>
            <w:gridSpan w:val="2"/>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6,865</w:t>
            </w:r>
          </w:p>
        </w:tc>
        <w:tc>
          <w:tcPr>
            <w:tcW w:w="260" w:type="dxa"/>
            <w:vAlign w:val="bottom"/>
            <w:gridSpan w:val="2"/>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line="142" w:lineRule="exact"/>
              <w:rPr>
                <w:sz w:val="20"/>
                <w:szCs w:val="20"/>
                <w:color w:val="auto"/>
              </w:rPr>
            </w:pPr>
            <w:r>
              <w:rPr>
                <w:rFonts w:ascii="Arial" w:cs="Arial" w:eastAsia="Arial" w:hAnsi="Arial"/>
                <w:sz w:val="14"/>
                <w:szCs w:val="14"/>
                <w:color w:val="auto"/>
              </w:rPr>
              <w:t>3,264</w:t>
            </w:r>
          </w:p>
        </w:tc>
        <w:tc>
          <w:tcPr>
            <w:tcW w:w="260" w:type="dxa"/>
            <w:vAlign w:val="bottom"/>
            <w:gridSpan w:val="2"/>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line="142" w:lineRule="exact"/>
              <w:rPr>
                <w:sz w:val="20"/>
                <w:szCs w:val="20"/>
                <w:color w:val="auto"/>
              </w:rPr>
            </w:pPr>
            <w:r>
              <w:rPr>
                <w:rFonts w:ascii="Arial" w:cs="Arial" w:eastAsia="Arial" w:hAnsi="Arial"/>
                <w:sz w:val="14"/>
                <w:szCs w:val="14"/>
                <w:color w:val="auto"/>
              </w:rPr>
              <w:t>12,186</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line="142" w:lineRule="exact"/>
              <w:rPr>
                <w:sz w:val="20"/>
                <w:szCs w:val="20"/>
                <w:color w:val="auto"/>
              </w:rPr>
            </w:pPr>
            <w:r>
              <w:rPr>
                <w:rFonts w:ascii="Arial" w:cs="Arial" w:eastAsia="Arial" w:hAnsi="Arial"/>
                <w:sz w:val="14"/>
                <w:szCs w:val="14"/>
                <w:color w:val="auto"/>
              </w:rPr>
              <w:t>139,136</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line="142" w:lineRule="exact"/>
              <w:rPr>
                <w:sz w:val="20"/>
                <w:szCs w:val="20"/>
                <w:color w:val="auto"/>
              </w:rPr>
            </w:pPr>
            <w:r>
              <w:rPr>
                <w:rFonts w:ascii="Arial" w:cs="Arial" w:eastAsia="Arial" w:hAnsi="Arial"/>
                <w:sz w:val="14"/>
                <w:szCs w:val="14"/>
                <w:color w:val="auto"/>
              </w:rPr>
              <w:t>300</w:t>
            </w:r>
          </w:p>
        </w:tc>
        <w:tc>
          <w:tcPr>
            <w:tcW w:w="2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line="142" w:lineRule="exact"/>
              <w:rPr>
                <w:sz w:val="20"/>
                <w:szCs w:val="20"/>
                <w:color w:val="auto"/>
              </w:rPr>
            </w:pPr>
            <w:r>
              <w:rPr>
                <w:rFonts w:ascii="Arial" w:cs="Arial" w:eastAsia="Arial" w:hAnsi="Arial"/>
                <w:sz w:val="14"/>
                <w:szCs w:val="14"/>
                <w:color w:val="auto"/>
              </w:rPr>
              <w:t>228,020</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80" w:type="dxa"/>
            <w:vAlign w:val="bottom"/>
          </w:tcPr>
          <w:p>
            <w:pPr>
              <w:spacing w:after="0" w:line="126" w:lineRule="exact"/>
              <w:rPr>
                <w:sz w:val="20"/>
                <w:szCs w:val="20"/>
                <w:color w:val="auto"/>
              </w:rPr>
            </w:pPr>
            <w:r>
              <w:rPr>
                <w:rFonts w:ascii="Arial" w:cs="Arial" w:eastAsia="Arial" w:hAnsi="Arial"/>
                <w:sz w:val="14"/>
                <w:szCs w:val="14"/>
                <w:b w:val="1"/>
                <w:bCs w:val="1"/>
                <w:color w:val="auto"/>
              </w:rPr>
              <w:t>TOTAL LOANS RECEIVABLE,</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Pass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798,208</w:t>
            </w:r>
          </w:p>
        </w:tc>
        <w:tc>
          <w:tcPr>
            <w:tcW w:w="2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547,426</w:t>
            </w:r>
          </w:p>
        </w:tc>
        <w:tc>
          <w:tcPr>
            <w:tcW w:w="360" w:type="dxa"/>
            <w:vAlign w:val="bottom"/>
            <w:gridSpan w:val="3"/>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279,938</w:t>
            </w:r>
          </w:p>
        </w:tc>
        <w:tc>
          <w:tcPr>
            <w:tcW w:w="2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159,466</w:t>
            </w:r>
          </w:p>
        </w:tc>
        <w:tc>
          <w:tcPr>
            <w:tcW w:w="2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61,985</w:t>
            </w:r>
          </w:p>
        </w:tc>
        <w:tc>
          <w:tcPr>
            <w:tcW w:w="2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155,636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176,074</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199</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9"/>
              </w:rPr>
              <w:t>2,178,932</w:t>
            </w: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Watch</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9,504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3,305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1,329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16,011</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Special mention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2,747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963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3,710</w:t>
            </w: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Arial" w:cs="Arial" w:eastAsia="Arial" w:hAnsi="Arial"/>
                <w:sz w:val="14"/>
                <w:szCs w:val="14"/>
                <w:color w:val="auto"/>
              </w:rPr>
              <w:t>Substandard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348</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1,804</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1,402</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2,504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2,955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9,790</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1,096</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300</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20,199</w:t>
            </w:r>
          </w:p>
        </w:tc>
        <w:tc>
          <w:tcPr>
            <w:tcW w:w="0" w:type="dxa"/>
            <w:vAlign w:val="bottom"/>
          </w:tcPr>
          <w:p>
            <w:pPr>
              <w:spacing w:after="0"/>
              <w:rPr>
                <w:sz w:val="1"/>
                <w:szCs w:val="1"/>
                <w:color w:val="auto"/>
              </w:rPr>
            </w:pPr>
          </w:p>
        </w:tc>
      </w:tr>
      <w:tr>
        <w:trPr>
          <w:trHeight w:val="18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loans receivable, gross</w:t>
            </w: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808,060</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550,357</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284,645</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164,717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64,940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166,172</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179,462</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499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w w:val="99"/>
              </w:rPr>
              <w:t>2,218,852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amortized cost basis of loans on nonaccrual status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1"/>
              </w:rPr>
              <w:t>September 30, 2023</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4"/>
              </w:rPr>
              <w:t>December 31, 2022</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23"/>
        </w:trPr>
        <w:tc>
          <w:tcPr>
            <w:tcW w:w="3940" w:type="dxa"/>
            <w:vAlign w:val="bottom"/>
          </w:tcPr>
          <w:p>
            <w:pPr>
              <w:spacing w:after="0"/>
              <w:rPr>
                <w:sz w:val="10"/>
                <w:szCs w:val="10"/>
                <w:color w:val="auto"/>
              </w:rPr>
            </w:pPr>
          </w:p>
        </w:tc>
        <w:tc>
          <w:tcPr>
            <w:tcW w:w="1160" w:type="dxa"/>
            <w:vAlign w:val="bottom"/>
            <w:gridSpan w:val="2"/>
          </w:tcPr>
          <w:p>
            <w:pPr>
              <w:jc w:val="right"/>
              <w:ind w:right="88"/>
              <w:spacing w:after="0" w:line="123" w:lineRule="exact"/>
              <w:rPr>
                <w:sz w:val="20"/>
                <w:szCs w:val="20"/>
                <w:color w:val="auto"/>
              </w:rPr>
            </w:pPr>
            <w:r>
              <w:rPr>
                <w:rFonts w:ascii="Arial" w:cs="Arial" w:eastAsia="Arial" w:hAnsi="Arial"/>
                <w:sz w:val="14"/>
                <w:szCs w:val="14"/>
                <w:color w:val="auto"/>
                <w:w w:val="98"/>
              </w:rPr>
              <w:t>Nonaccrual with</w:t>
            </w:r>
          </w:p>
        </w:tc>
        <w:tc>
          <w:tcPr>
            <w:tcW w:w="120" w:type="dxa"/>
            <w:vAlign w:val="bottom"/>
          </w:tcPr>
          <w:p>
            <w:pPr>
              <w:spacing w:after="0"/>
              <w:rPr>
                <w:sz w:val="10"/>
                <w:szCs w:val="10"/>
                <w:color w:val="auto"/>
              </w:rPr>
            </w:pPr>
          </w:p>
        </w:tc>
        <w:tc>
          <w:tcPr>
            <w:tcW w:w="1140" w:type="dxa"/>
            <w:vAlign w:val="bottom"/>
            <w:gridSpan w:val="2"/>
          </w:tcPr>
          <w:p>
            <w:pPr>
              <w:jc w:val="center"/>
              <w:ind w:right="48"/>
              <w:spacing w:after="0" w:line="123" w:lineRule="exact"/>
              <w:rPr>
                <w:sz w:val="20"/>
                <w:szCs w:val="20"/>
                <w:color w:val="auto"/>
              </w:rPr>
            </w:pPr>
            <w:r>
              <w:rPr>
                <w:rFonts w:ascii="Arial" w:cs="Arial" w:eastAsia="Arial" w:hAnsi="Arial"/>
                <w:sz w:val="14"/>
                <w:szCs w:val="14"/>
                <w:color w:val="auto"/>
                <w:w w:val="94"/>
              </w:rPr>
              <w:t>Nonaccrual with</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ind w:right="388"/>
              <w:spacing w:after="0" w:line="123"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0"/>
                <w:szCs w:val="10"/>
                <w:color w:val="auto"/>
              </w:rPr>
            </w:pPr>
          </w:p>
        </w:tc>
        <w:tc>
          <w:tcPr>
            <w:tcW w:w="110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Nonaccrual with</w:t>
            </w:r>
          </w:p>
        </w:tc>
        <w:tc>
          <w:tcPr>
            <w:tcW w:w="120" w:type="dxa"/>
            <w:vAlign w:val="bottom"/>
          </w:tcPr>
          <w:p>
            <w:pPr>
              <w:spacing w:after="0"/>
              <w:rPr>
                <w:sz w:val="10"/>
                <w:szCs w:val="10"/>
                <w:color w:val="auto"/>
              </w:rPr>
            </w:pPr>
          </w:p>
        </w:tc>
        <w:tc>
          <w:tcPr>
            <w:tcW w:w="110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Nonaccrual with</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right"/>
              <w:ind w:right="388"/>
              <w:spacing w:after="0" w:line="123" w:lineRule="exact"/>
              <w:rPr>
                <w:sz w:val="20"/>
                <w:szCs w:val="20"/>
                <w:color w:val="auto"/>
              </w:rPr>
            </w:pPr>
            <w:r>
              <w:rPr>
                <w:rFonts w:ascii="Arial" w:cs="Arial" w:eastAsia="Arial" w:hAnsi="Arial"/>
                <w:sz w:val="14"/>
                <w:szCs w:val="14"/>
                <w:color w:val="auto"/>
              </w:rPr>
              <w:t>Total</w:t>
            </w:r>
          </w:p>
        </w:tc>
      </w:tr>
      <w:tr>
        <w:trPr>
          <w:trHeight w:val="167"/>
        </w:trPr>
        <w:tc>
          <w:tcPr>
            <w:tcW w:w="3940" w:type="dxa"/>
            <w:vAlign w:val="bottom"/>
          </w:tcPr>
          <w:p>
            <w:pPr>
              <w:spacing w:after="0"/>
              <w:rPr>
                <w:sz w:val="20"/>
                <w:szCs w:val="20"/>
                <w:color w:val="auto"/>
              </w:rPr>
            </w:pPr>
            <w:r>
              <w:rPr>
                <w:rFonts w:ascii="Arial" w:cs="Arial" w:eastAsia="Arial" w:hAnsi="Arial"/>
                <w:sz w:val="14"/>
                <w:szCs w:val="14"/>
                <w:b w:val="1"/>
                <w:bCs w:val="1"/>
                <w:color w:val="auto"/>
              </w:rPr>
              <w:t>REAL ESTATE LOANS</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No ACL</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color w:val="auto"/>
              </w:rPr>
              <w:t>ACL</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8"/>
              </w:rPr>
              <w:t>Nonaccrual</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No ACL</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ACL</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5"/>
              </w:rPr>
              <w:t>Nonaccrual</w:t>
            </w:r>
          </w:p>
        </w:tc>
      </w:tr>
      <w:tr>
        <w:trPr>
          <w:trHeight w:val="142"/>
        </w:trPr>
        <w:tc>
          <w:tcPr>
            <w:tcW w:w="394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Commercial</w:t>
            </w:r>
          </w:p>
        </w:tc>
        <w:tc>
          <w:tcPr>
            <w:tcW w:w="1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1,074</w:t>
            </w:r>
          </w:p>
        </w:tc>
        <w:tc>
          <w:tcPr>
            <w:tcW w:w="3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1,074</w:t>
            </w:r>
          </w:p>
        </w:tc>
        <w:tc>
          <w:tcPr>
            <w:tcW w:w="26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r>
      <w:tr>
        <w:trPr>
          <w:trHeight w:val="148"/>
        </w:trPr>
        <w:tc>
          <w:tcPr>
            <w:tcW w:w="3940" w:type="dxa"/>
            <w:vAlign w:val="bottom"/>
          </w:tcPr>
          <w:p>
            <w:pPr>
              <w:ind w:left="180"/>
              <w:spacing w:after="0" w:line="149" w:lineRule="exact"/>
              <w:rPr>
                <w:sz w:val="20"/>
                <w:szCs w:val="20"/>
                <w:color w:val="auto"/>
              </w:rPr>
            </w:pPr>
            <w:r>
              <w:rPr>
                <w:rFonts w:ascii="Arial" w:cs="Arial" w:eastAsia="Arial" w:hAnsi="Arial"/>
                <w:sz w:val="14"/>
                <w:szCs w:val="14"/>
                <w:color w:val="auto"/>
              </w:rPr>
              <w:t>Home equity</w:t>
            </w:r>
          </w:p>
        </w:tc>
        <w:tc>
          <w:tcPr>
            <w:tcW w:w="18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46</w:t>
            </w:r>
          </w:p>
        </w:tc>
      </w:tr>
      <w:tr>
        <w:trPr>
          <w:trHeight w:val="149"/>
        </w:trPr>
        <w:tc>
          <w:tcPr>
            <w:tcW w:w="3940" w:type="dxa"/>
            <w:vAlign w:val="bottom"/>
            <w:tcBorders>
              <w:bottom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One-to-four-family</w:t>
            </w:r>
          </w:p>
        </w:tc>
        <w:tc>
          <w:tcPr>
            <w:tcW w:w="1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306</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306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920</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920</w:t>
            </w:r>
          </w:p>
        </w:tc>
      </w:tr>
      <w:tr>
        <w:trPr>
          <w:trHeight w:val="142"/>
        </w:trPr>
        <w:tc>
          <w:tcPr>
            <w:tcW w:w="39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1,428</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1,428</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966</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966</w:t>
            </w:r>
          </w:p>
        </w:tc>
      </w:tr>
      <w:tr>
        <w:trPr>
          <w:trHeight w:val="142"/>
        </w:trPr>
        <w:tc>
          <w:tcPr>
            <w:tcW w:w="39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CONSUMER LOANS</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8"/>
        </w:trPr>
        <w:tc>
          <w:tcPr>
            <w:tcW w:w="3940" w:type="dxa"/>
            <w:vAlign w:val="bottom"/>
          </w:tcPr>
          <w:p>
            <w:pPr>
              <w:ind w:left="180"/>
              <w:spacing w:after="0" w:line="149" w:lineRule="exact"/>
              <w:rPr>
                <w:sz w:val="20"/>
                <w:szCs w:val="20"/>
                <w:color w:val="auto"/>
              </w:rPr>
            </w:pPr>
            <w:r>
              <w:rPr>
                <w:rFonts w:ascii="Arial" w:cs="Arial" w:eastAsia="Arial" w:hAnsi="Arial"/>
                <w:sz w:val="14"/>
                <w:szCs w:val="14"/>
                <w:color w:val="auto"/>
              </w:rPr>
              <w:t>Indirect home improvement</w:t>
            </w:r>
          </w:p>
        </w:tc>
        <w:tc>
          <w:tcPr>
            <w:tcW w:w="18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1,668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1,668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1,076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1,076</w:t>
            </w:r>
          </w:p>
        </w:tc>
      </w:tr>
      <w:tr>
        <w:trPr>
          <w:trHeight w:val="149"/>
        </w:trPr>
        <w:tc>
          <w:tcPr>
            <w:tcW w:w="39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Marine</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406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267</w:t>
            </w:r>
          </w:p>
        </w:tc>
      </w:tr>
      <w:tr>
        <w:trPr>
          <w:trHeight w:val="148"/>
        </w:trPr>
        <w:tc>
          <w:tcPr>
            <w:tcW w:w="3940" w:type="dxa"/>
            <w:vAlign w:val="bottom"/>
          </w:tcPr>
          <w:p>
            <w:pPr>
              <w:ind w:left="180"/>
              <w:spacing w:after="0" w:line="149" w:lineRule="exact"/>
              <w:rPr>
                <w:sz w:val="20"/>
                <w:szCs w:val="20"/>
                <w:color w:val="auto"/>
              </w:rPr>
            </w:pPr>
            <w:r>
              <w:rPr>
                <w:rFonts w:ascii="Arial" w:cs="Arial" w:eastAsia="Arial" w:hAnsi="Arial"/>
                <w:sz w:val="14"/>
                <w:szCs w:val="14"/>
                <w:color w:val="auto"/>
              </w:rPr>
              <w:t>Other consumer</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9</w:t>
            </w:r>
          </w:p>
        </w:tc>
      </w:tr>
      <w:tr>
        <w:trPr>
          <w:trHeight w:val="142"/>
        </w:trPr>
        <w:tc>
          <w:tcPr>
            <w:tcW w:w="39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2,077</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2,077</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1,352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1,352</w:t>
            </w:r>
          </w:p>
        </w:tc>
      </w:tr>
      <w:tr>
        <w:trPr>
          <w:trHeight w:val="142"/>
        </w:trPr>
        <w:tc>
          <w:tcPr>
            <w:tcW w:w="3940" w:type="dxa"/>
            <w:vAlign w:val="bottom"/>
          </w:tcPr>
          <w:p>
            <w:pPr>
              <w:spacing w:after="0" w:line="142" w:lineRule="exact"/>
              <w:rPr>
                <w:sz w:val="20"/>
                <w:szCs w:val="20"/>
                <w:color w:val="auto"/>
              </w:rPr>
            </w:pPr>
            <w:r>
              <w:rPr>
                <w:rFonts w:ascii="Arial" w:cs="Arial" w:eastAsia="Arial" w:hAnsi="Arial"/>
                <w:sz w:val="14"/>
                <w:szCs w:val="14"/>
                <w:b w:val="1"/>
                <w:bCs w:val="1"/>
                <w:color w:val="auto"/>
              </w:rPr>
              <w:t>COMMERCIAL BUSINESS LOANS</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3940" w:type="dxa"/>
            <w:vAlign w:val="bottom"/>
            <w:tcBorders>
              <w:bottom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Commercial and industrial</w:t>
            </w:r>
          </w:p>
        </w:tc>
        <w:tc>
          <w:tcPr>
            <w:tcW w:w="1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2,114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2,114</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6,334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6,334</w:t>
            </w:r>
          </w:p>
        </w:tc>
      </w:tr>
      <w:tr>
        <w:trPr>
          <w:trHeight w:val="142"/>
        </w:trPr>
        <w:tc>
          <w:tcPr>
            <w:tcW w:w="394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rPr>
              <w:t>1,428</w:t>
            </w:r>
          </w:p>
        </w:tc>
        <w:tc>
          <w:tcPr>
            <w:tcW w:w="12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29"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rPr>
              <w:t>4,191</w:t>
            </w:r>
          </w:p>
        </w:tc>
        <w:tc>
          <w:tcPr>
            <w:tcW w:w="1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rPr>
              <w:t>5,619</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rPr>
              <w:t>966</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rPr>
              <w:t>7,686</w:t>
            </w:r>
          </w:p>
        </w:tc>
        <w:tc>
          <w:tcPr>
            <w:tcW w:w="120" w:type="dxa"/>
            <w:vAlign w:val="bottom"/>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rPr>
              <w:t>8,652</w:t>
            </w:r>
          </w:p>
        </w:tc>
      </w:tr>
      <w:tr>
        <w:trPr>
          <w:trHeight w:val="20"/>
        </w:trPr>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interest income on a cash basis for nonaccrual loans of $55,000 and $144,000 during the three months ended September 30, 2023 and 2022, and $164,000 and $370,000 during the nine months ended September 30, 2023 and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amortized cost basis of collateral dependent loans by class of loans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color w:val="auto"/>
              </w:rPr>
              <w:t>September 30, 2023</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1"/>
              </w:rPr>
              <w:t>December 31, 2022</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23"/>
        </w:trPr>
        <w:tc>
          <w:tcPr>
            <w:tcW w:w="3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gridSpan w:val="2"/>
          </w:tcPr>
          <w:p>
            <w:pPr>
              <w:jc w:val="right"/>
              <w:ind w:right="88"/>
              <w:spacing w:after="0" w:line="123" w:lineRule="exact"/>
              <w:rPr>
                <w:sz w:val="20"/>
                <w:szCs w:val="20"/>
                <w:color w:val="auto"/>
              </w:rPr>
            </w:pPr>
            <w:r>
              <w:rPr>
                <w:rFonts w:ascii="Arial" w:cs="Arial" w:eastAsia="Arial" w:hAnsi="Arial"/>
                <w:sz w:val="14"/>
                <w:szCs w:val="14"/>
                <w:color w:val="auto"/>
                <w:w w:val="99"/>
              </w:rPr>
              <w:t>Commercial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ind w:right="128"/>
              <w:spacing w:after="0" w:line="123" w:lineRule="exact"/>
              <w:rPr>
                <w:sz w:val="20"/>
                <w:szCs w:val="20"/>
                <w:color w:val="auto"/>
              </w:rPr>
            </w:pPr>
            <w:r>
              <w:rPr>
                <w:rFonts w:ascii="Arial" w:cs="Arial" w:eastAsia="Arial" w:hAnsi="Arial"/>
                <w:sz w:val="14"/>
                <w:szCs w:val="14"/>
                <w:color w:val="auto"/>
                <w:w w:val="89"/>
              </w:rPr>
              <w:t>Residential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48"/>
              <w:spacing w:after="0" w:line="123" w:lineRule="exact"/>
              <w:rPr>
                <w:sz w:val="20"/>
                <w:szCs w:val="20"/>
                <w:color w:val="auto"/>
              </w:rPr>
            </w:pPr>
            <w:r>
              <w:rPr>
                <w:rFonts w:ascii="Arial" w:cs="Arial" w:eastAsia="Arial" w:hAnsi="Arial"/>
                <w:sz w:val="14"/>
                <w:szCs w:val="14"/>
                <w:color w:val="auto"/>
                <w:w w:val="91"/>
              </w:rPr>
              <w:t>Other</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8"/>
              <w:spacing w:after="0" w:line="123" w:lineRule="exact"/>
              <w:rPr>
                <w:sz w:val="20"/>
                <w:szCs w:val="20"/>
                <w:color w:val="auto"/>
              </w:rPr>
            </w:pPr>
            <w:r>
              <w:rPr>
                <w:rFonts w:ascii="Arial" w:cs="Arial" w:eastAsia="Arial" w:hAnsi="Arial"/>
                <w:sz w:val="14"/>
                <w:szCs w:val="14"/>
                <w:color w:val="auto"/>
                <w:w w:val="98"/>
              </w:rPr>
              <w:t>Residential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1"/>
              </w:rPr>
              <w:t>Other</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8"/>
        </w:trPr>
        <w:tc>
          <w:tcPr>
            <w:tcW w:w="3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4"/>
              </w:rPr>
              <w:t>Non-Real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Non-Real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7"/>
        </w:trPr>
        <w:tc>
          <w:tcPr>
            <w:tcW w:w="3300" w:type="dxa"/>
            <w:vAlign w:val="bottom"/>
          </w:tcPr>
          <w:p>
            <w:pPr>
              <w:spacing w:after="0"/>
              <w:rPr>
                <w:sz w:val="20"/>
                <w:szCs w:val="20"/>
                <w:color w:val="auto"/>
              </w:rPr>
            </w:pPr>
            <w:r>
              <w:rPr>
                <w:rFonts w:ascii="Arial" w:cs="Arial" w:eastAsia="Arial" w:hAnsi="Arial"/>
                <w:sz w:val="14"/>
                <w:szCs w:val="14"/>
                <w:b w:val="1"/>
                <w:bCs w:val="1"/>
                <w:color w:val="auto"/>
              </w:rPr>
              <w:t>REAL ESTATE LOANS</w:t>
            </w:r>
          </w:p>
        </w:tc>
        <w:tc>
          <w:tcPr>
            <w:tcW w:w="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88"/>
              </w:rPr>
              <w:t>Real Estate</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88"/>
              </w:rPr>
              <w:t>Real Estate</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w w:val="90"/>
              </w:rPr>
              <w:t>Estate</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w w:val="93"/>
              </w:rPr>
              <w:t>Real Estate</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90"/>
              </w:rPr>
              <w:t>Estate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Total</w:t>
            </w:r>
          </w:p>
        </w:tc>
      </w:tr>
      <w:tr>
        <w:trPr>
          <w:trHeight w:val="142"/>
        </w:trPr>
        <w:tc>
          <w:tcPr>
            <w:tcW w:w="330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Commercial</w:t>
            </w: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1,074</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1,074</w:t>
            </w:r>
          </w:p>
        </w:tc>
        <w:tc>
          <w:tcPr>
            <w:tcW w:w="420" w:type="dxa"/>
            <w:vAlign w:val="bottom"/>
            <w:gridSpan w:val="2"/>
            <w:shd w:val="clear" w:color="auto" w:fill="CCEEFF"/>
          </w:tcPr>
          <w:p>
            <w:pPr>
              <w:jc w:val="right"/>
              <w:ind w:right="175"/>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r>
      <w:tr>
        <w:trPr>
          <w:trHeight w:val="148"/>
        </w:trPr>
        <w:tc>
          <w:tcPr>
            <w:tcW w:w="3300" w:type="dxa"/>
            <w:vAlign w:val="bottom"/>
          </w:tcPr>
          <w:p>
            <w:pPr>
              <w:ind w:left="180"/>
              <w:spacing w:after="0" w:line="149" w:lineRule="exact"/>
              <w:rPr>
                <w:sz w:val="20"/>
                <w:szCs w:val="20"/>
                <w:color w:val="auto"/>
              </w:rPr>
            </w:pPr>
            <w:r>
              <w:rPr>
                <w:rFonts w:ascii="Arial" w:cs="Arial" w:eastAsia="Arial" w:hAnsi="Arial"/>
                <w:sz w:val="14"/>
                <w:szCs w:val="14"/>
                <w:color w:val="auto"/>
              </w:rPr>
              <w:t>Home equity</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46</w:t>
            </w:r>
          </w:p>
        </w:tc>
      </w:tr>
      <w:tr>
        <w:trPr>
          <w:trHeight w:val="149"/>
        </w:trPr>
        <w:tc>
          <w:tcPr>
            <w:tcW w:w="3300" w:type="dxa"/>
            <w:vAlign w:val="bottom"/>
            <w:tcBorders>
              <w:bottom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One-to-four-family</w:t>
            </w:r>
          </w:p>
        </w:tc>
        <w:tc>
          <w:tcPr>
            <w:tcW w:w="9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306</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306</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920</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920</w:t>
            </w:r>
          </w:p>
        </w:tc>
      </w:tr>
      <w:tr>
        <w:trPr>
          <w:trHeight w:val="142"/>
        </w:trPr>
        <w:tc>
          <w:tcPr>
            <w:tcW w:w="3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48"/>
              <w:spacing w:after="0" w:line="142" w:lineRule="exact"/>
              <w:rPr>
                <w:sz w:val="20"/>
                <w:szCs w:val="20"/>
                <w:color w:val="auto"/>
              </w:rPr>
            </w:pPr>
            <w:r>
              <w:rPr>
                <w:rFonts w:ascii="Arial" w:cs="Arial" w:eastAsia="Arial" w:hAnsi="Arial"/>
                <w:sz w:val="14"/>
                <w:szCs w:val="14"/>
                <w:color w:val="auto"/>
              </w:rPr>
              <w:t>1,074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48"/>
              <w:spacing w:after="0" w:line="142" w:lineRule="exact"/>
              <w:rPr>
                <w:sz w:val="20"/>
                <w:szCs w:val="20"/>
                <w:color w:val="auto"/>
              </w:rPr>
            </w:pPr>
            <w:r>
              <w:rPr>
                <w:rFonts w:ascii="Arial" w:cs="Arial" w:eastAsia="Arial" w:hAnsi="Arial"/>
                <w:sz w:val="14"/>
                <w:szCs w:val="14"/>
                <w:color w:val="auto"/>
              </w:rPr>
              <w:t>354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2" w:lineRule="exact"/>
              <w:rPr>
                <w:sz w:val="20"/>
                <w:szCs w:val="20"/>
                <w:color w:val="auto"/>
              </w:rPr>
            </w:pPr>
            <w:r>
              <w:rPr>
                <w:rFonts w:ascii="Arial" w:cs="Arial" w:eastAsia="Arial" w:hAnsi="Arial"/>
                <w:sz w:val="14"/>
                <w:szCs w:val="14"/>
                <w:color w:val="auto"/>
              </w:rPr>
              <w:t>1,428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966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2" w:lineRule="exact"/>
              <w:rPr>
                <w:sz w:val="20"/>
                <w:szCs w:val="20"/>
                <w:color w:val="auto"/>
              </w:rPr>
            </w:pPr>
            <w:r>
              <w:rPr>
                <w:rFonts w:ascii="Arial" w:cs="Arial" w:eastAsia="Arial" w:hAnsi="Arial"/>
                <w:sz w:val="14"/>
                <w:szCs w:val="14"/>
                <w:color w:val="auto"/>
              </w:rPr>
              <w:t>966</w:t>
            </w:r>
          </w:p>
        </w:tc>
      </w:tr>
      <w:tr>
        <w:trPr>
          <w:trHeight w:val="142"/>
        </w:trPr>
        <w:tc>
          <w:tcPr>
            <w:tcW w:w="33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CONSUMER LOANS</w:t>
            </w:r>
          </w:p>
        </w:tc>
        <w:tc>
          <w:tcPr>
            <w:tcW w:w="9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49"/>
        </w:trPr>
        <w:tc>
          <w:tcPr>
            <w:tcW w:w="3300" w:type="dxa"/>
            <w:vAlign w:val="bottom"/>
          </w:tcPr>
          <w:p>
            <w:pPr>
              <w:ind w:left="180"/>
              <w:spacing w:after="0" w:line="149" w:lineRule="exact"/>
              <w:rPr>
                <w:sz w:val="20"/>
                <w:szCs w:val="20"/>
                <w:color w:val="auto"/>
              </w:rPr>
            </w:pPr>
            <w:r>
              <w:rPr>
                <w:rFonts w:ascii="Arial" w:cs="Arial" w:eastAsia="Arial" w:hAnsi="Arial"/>
                <w:sz w:val="14"/>
                <w:szCs w:val="14"/>
                <w:color w:val="auto"/>
              </w:rPr>
              <w:t>Indirect home improvement</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1,668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1,668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1,076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1,076</w:t>
            </w:r>
          </w:p>
        </w:tc>
      </w:tr>
      <w:tr>
        <w:trPr>
          <w:trHeight w:val="148"/>
        </w:trPr>
        <w:tc>
          <w:tcPr>
            <w:tcW w:w="3300" w:type="dxa"/>
            <w:vAlign w:val="bottom"/>
            <w:tcBorders>
              <w:bottom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Marine</w:t>
            </w:r>
          </w:p>
        </w:tc>
        <w:tc>
          <w:tcPr>
            <w:tcW w:w="9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406</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406</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267</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267</w:t>
            </w:r>
          </w:p>
        </w:tc>
      </w:tr>
      <w:tr>
        <w:trPr>
          <w:trHeight w:val="142"/>
        </w:trPr>
        <w:tc>
          <w:tcPr>
            <w:tcW w:w="3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2,074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2,074</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1,343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1,343</w:t>
            </w:r>
          </w:p>
        </w:tc>
      </w:tr>
      <w:tr>
        <w:trPr>
          <w:trHeight w:val="142"/>
        </w:trPr>
        <w:tc>
          <w:tcPr>
            <w:tcW w:w="33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COMMERCIAL BUSINESS LOANS</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8"/>
        </w:trPr>
        <w:tc>
          <w:tcPr>
            <w:tcW w:w="3300" w:type="dxa"/>
            <w:vAlign w:val="bottom"/>
          </w:tcPr>
          <w:p>
            <w:pPr>
              <w:ind w:left="180"/>
              <w:spacing w:after="0" w:line="149" w:lineRule="exact"/>
              <w:rPr>
                <w:sz w:val="20"/>
                <w:szCs w:val="20"/>
                <w:color w:val="auto"/>
              </w:rPr>
            </w:pPr>
            <w:r>
              <w:rPr>
                <w:rFonts w:ascii="Arial" w:cs="Arial" w:eastAsia="Arial" w:hAnsi="Arial"/>
                <w:sz w:val="14"/>
                <w:szCs w:val="14"/>
                <w:color w:val="auto"/>
              </w:rPr>
              <w:t>Commercial and industrial</w:t>
            </w:r>
          </w:p>
        </w:tc>
        <w:tc>
          <w:tcPr>
            <w:tcW w:w="9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2,114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2,114</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6,334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6,334</w:t>
            </w:r>
          </w:p>
        </w:tc>
      </w:tr>
      <w:tr>
        <w:trPr>
          <w:trHeight w:val="182"/>
        </w:trPr>
        <w:tc>
          <w:tcPr>
            <w:tcW w:w="33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w:t>
            </w: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1,074</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354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4,188</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5,616</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966</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7,677</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8,643</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color w:val="auto"/>
        </w:rPr>
        <w:t>–</w:t>
      </w:r>
      <w:r>
        <w:rPr>
          <w:rFonts w:ascii="Arial" w:cs="Arial" w:eastAsia="Arial" w:hAnsi="Arial"/>
          <w:sz w:val="18"/>
          <w:szCs w:val="18"/>
          <w:b w:val="1"/>
          <w:bCs w:val="1"/>
          <w:color w:val="auto"/>
        </w:rPr>
        <w:t xml:space="preserve"> SERVICING RIGHTS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Loans serviced for others are not included on the Consolidated Balance Sheets. The unpaid principal balance of permanent loans serviced for others was $2.83 billion and $2.78 billion at September 30, 2023 and December 31,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mortgage servicing rights (“MSR”) activity at or for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240" w:type="dxa"/>
            <w:vAlign w:val="bottom"/>
            <w:gridSpan w:val="7"/>
          </w:tcPr>
          <w:p>
            <w:pPr>
              <w:jc w:val="right"/>
              <w:ind w:right="420"/>
              <w:spacing w:after="0"/>
              <w:rPr>
                <w:sz w:val="20"/>
                <w:szCs w:val="20"/>
                <w:color w:val="auto"/>
              </w:rPr>
            </w:pPr>
            <w:r>
              <w:rPr>
                <w:rFonts w:ascii="Arial" w:cs="Arial" w:eastAsia="Arial" w:hAnsi="Arial"/>
                <w:sz w:val="18"/>
                <w:szCs w:val="18"/>
                <w:color w:val="auto"/>
              </w:rPr>
              <w:t>At or For the Three Months Ended</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4"/>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2022</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at the lower of cost or fair value</w:t>
            </w:r>
          </w:p>
        </w:tc>
        <w:tc>
          <w:tcPr>
            <w:tcW w:w="41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17,627</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18,516</w:t>
            </w:r>
          </w:p>
        </w:tc>
        <w:tc>
          <w:tcPr>
            <w:tcW w:w="0" w:type="dxa"/>
            <w:vAlign w:val="bottom"/>
          </w:tcPr>
          <w:p>
            <w:pPr>
              <w:spacing w:after="0"/>
              <w:rPr>
                <w:sz w:val="1"/>
                <w:szCs w:val="1"/>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3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MSR amortized</w:t>
            </w:r>
          </w:p>
        </w:tc>
        <w:tc>
          <w:tcPr>
            <w:tcW w:w="3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tcPr>
          <w:p>
            <w:pPr>
              <w:ind w:left="660"/>
              <w:spacing w:after="0"/>
              <w:rPr>
                <w:sz w:val="20"/>
                <w:szCs w:val="20"/>
                <w:color w:val="auto"/>
              </w:rPr>
            </w:pPr>
            <w:r>
              <w:rPr>
                <w:rFonts w:ascii="Arial" w:cs="Arial" w:eastAsia="Arial" w:hAnsi="Arial"/>
                <w:sz w:val="18"/>
                <w:szCs w:val="18"/>
                <w:color w:val="auto"/>
              </w:rPr>
              <w:t>Ending balance, at the lower of cost or fair value</w:t>
            </w:r>
          </w:p>
        </w:tc>
        <w:tc>
          <w:tcPr>
            <w:tcW w:w="316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17,657</w:t>
            </w:r>
          </w:p>
        </w:tc>
        <w:tc>
          <w:tcPr>
            <w:tcW w:w="10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18,470</w:t>
            </w:r>
          </w:p>
        </w:tc>
        <w:tc>
          <w:tcPr>
            <w:tcW w:w="100" w:type="dxa"/>
            <w:vAlign w:val="bottom"/>
            <w:tcBorders>
              <w:top w:val="single" w:sz="8" w:color="CCEEFF"/>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160" w:type="dxa"/>
            <w:vAlign w:val="bottom"/>
            <w:vMerge w:val="restart"/>
          </w:tcPr>
          <w:p>
            <w:pPr>
              <w:jc w:val="right"/>
              <w:ind w:right="2190"/>
              <w:spacing w:after="0"/>
              <w:rPr>
                <w:sz w:val="20"/>
                <w:szCs w:val="20"/>
                <w:color w:val="auto"/>
              </w:rPr>
            </w:pPr>
            <w:r>
              <w:rPr>
                <w:rFonts w:ascii="Arial" w:cs="Arial" w:eastAsia="Arial" w:hAnsi="Arial"/>
                <w:sz w:val="18"/>
                <w:szCs w:val="18"/>
                <w:color w:val="auto"/>
              </w:rPr>
              <w:t>26</w:t>
            </w: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4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Beginning balance, at the lower of cost or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MSR amortized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Recovery of servicing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jc w:val="right"/>
        <w:ind w:right="3120"/>
        <w:spacing w:after="0"/>
        <w:rPr>
          <w:sz w:val="20"/>
          <w:szCs w:val="20"/>
          <w:color w:val="auto"/>
        </w:rPr>
      </w:pPr>
      <w:r>
        <w:rPr>
          <w:rFonts w:ascii="Arial" w:cs="Arial" w:eastAsia="Arial" w:hAnsi="Arial"/>
          <w:sz w:val="18"/>
          <w:szCs w:val="18"/>
          <w:color w:val="auto"/>
        </w:rPr>
        <w:t>Ending balance, at the lower of cost or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At or For the Nine Months Ended</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r>
      <w:tr>
        <w:trPr>
          <w:trHeight w:val="195"/>
        </w:trPr>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18,017</w:t>
            </w:r>
          </w:p>
        </w:tc>
        <w:tc>
          <w:tcPr>
            <w:tcW w:w="100" w:type="dxa"/>
            <w:vAlign w:val="bottom"/>
          </w:tcPr>
          <w:p>
            <w:pPr>
              <w:spacing w:after="0"/>
              <w:rPr>
                <w:sz w:val="16"/>
                <w:szCs w:val="16"/>
                <w:color w:val="auto"/>
              </w:rPr>
            </w:pP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16,970</w:t>
            </w:r>
          </w:p>
        </w:tc>
      </w:tr>
      <w:tr>
        <w:trPr>
          <w:trHeight w:val="216"/>
        </w:trPr>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4,935</w:t>
            </w:r>
          </w:p>
        </w:tc>
      </w:tr>
      <w:tr>
        <w:trPr>
          <w:trHeight w:val="216"/>
        </w:trPr>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(3,436)</w:t>
            </w:r>
          </w:p>
        </w:tc>
      </w:tr>
      <w:tr>
        <w:trPr>
          <w:trHeight w:val="230"/>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10"/>
        </w:trPr>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17,657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18,470</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125" w:right="339" w:bottom="1440" w:gutter="0" w:footer="0" w:header="0"/>
        </w:sectPr>
      </w:pP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servicing rights’ assets was $38.9 million and $35.5 million at September 30, 2023 and December 31, 2022, respectively. Fair value adjustments to servicing rights are mainly due to market-based assumptions associated with discounted cash flows, loan prepayment speeds, and changes in interest rates. A significant change in prepayments of the loans in the servicing portfolio could result in significant changes in the valuation adjustments, thus creating potential volatility in the carrying amount of servicing rights.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valuation assumptions used in determining the fair value of MSR at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color w:val="auto"/>
                <w:w w:val="95"/>
              </w:rPr>
              <w:t>At September 30,</w:t>
            </w:r>
          </w:p>
        </w:tc>
        <w:tc>
          <w:tcPr>
            <w:tcW w:w="120" w:type="dxa"/>
            <w:vAlign w:val="bottom"/>
          </w:tcPr>
          <w:p>
            <w:pPr>
              <w:spacing w:after="0"/>
              <w:rPr>
                <w:sz w:val="18"/>
                <w:szCs w:val="18"/>
                <w:color w:val="auto"/>
              </w:rPr>
            </w:pPr>
          </w:p>
        </w:tc>
        <w:tc>
          <w:tcPr>
            <w:tcW w:w="1600" w:type="dxa"/>
            <w:vAlign w:val="bottom"/>
          </w:tcPr>
          <w:p>
            <w:pPr>
              <w:jc w:val="center"/>
              <w:ind w:right="70"/>
              <w:spacing w:after="0"/>
              <w:rPr>
                <w:sz w:val="20"/>
                <w:szCs w:val="20"/>
                <w:color w:val="auto"/>
              </w:rPr>
            </w:pPr>
            <w:r>
              <w:rPr>
                <w:rFonts w:ascii="Arial" w:cs="Arial" w:eastAsia="Arial" w:hAnsi="Arial"/>
                <w:sz w:val="18"/>
                <w:szCs w:val="18"/>
                <w:color w:val="auto"/>
                <w:w w:val="91"/>
              </w:rPr>
              <w:t>At December 31,</w:t>
            </w: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Key assumptions:</w:t>
            </w:r>
          </w:p>
        </w:tc>
        <w:tc>
          <w:tcPr>
            <w:tcW w:w="16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2022</w:t>
            </w:r>
          </w:p>
        </w:tc>
      </w:tr>
      <w:tr>
        <w:trPr>
          <w:trHeight w:val="209"/>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discount rate</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72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w w:val="87"/>
              </w:rPr>
              <w:t>9.6%</w:t>
            </w: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Conditional prepayment rate (“CPR”)</w:t>
            </w:r>
          </w:p>
        </w:tc>
        <w:tc>
          <w:tcPr>
            <w:tcW w:w="1600" w:type="dxa"/>
            <w:vAlign w:val="bottom"/>
          </w:tcPr>
          <w:p>
            <w:pPr>
              <w:jc w:val="right"/>
              <w:spacing w:after="0"/>
              <w:rPr>
                <w:sz w:val="20"/>
                <w:szCs w:val="20"/>
                <w:color w:val="auto"/>
              </w:rPr>
            </w:pPr>
            <w:r>
              <w:rPr>
                <w:rFonts w:ascii="Arial" w:cs="Arial" w:eastAsia="Arial" w:hAnsi="Arial"/>
                <w:sz w:val="18"/>
                <w:szCs w:val="18"/>
                <w:color w:val="auto"/>
              </w:rPr>
              <w:t>6.3%</w:t>
            </w:r>
          </w:p>
        </w:tc>
        <w:tc>
          <w:tcPr>
            <w:tcW w:w="1720" w:type="dxa"/>
            <w:vAlign w:val="bottom"/>
            <w:gridSpan w:val="2"/>
          </w:tcPr>
          <w:p>
            <w:pPr>
              <w:ind w:left="1340"/>
              <w:spacing w:after="0"/>
              <w:rPr>
                <w:sz w:val="20"/>
                <w:szCs w:val="20"/>
                <w:color w:val="auto"/>
              </w:rPr>
            </w:pPr>
            <w:r>
              <w:rPr>
                <w:rFonts w:ascii="Arial" w:cs="Arial" w:eastAsia="Arial" w:hAnsi="Arial"/>
                <w:sz w:val="18"/>
                <w:szCs w:val="18"/>
                <w:color w:val="auto"/>
                <w:w w:val="87"/>
              </w:rPr>
              <w:t>8.2%</w:t>
            </w: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life in years</w:t>
            </w: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8.8</w:t>
            </w:r>
          </w:p>
        </w:tc>
        <w:tc>
          <w:tcPr>
            <w:tcW w:w="172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7.8</w:t>
            </w: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Key economic assumptions of the current fair value for single family MSR are presented in the table below. Also presented is the sensitivity to market rate changes for the par rate coupon for a conventional one-to-four-family FNMA, FHLMC, GNMA, or FHLB serviced home loan. The table below references a 50 basis point and 100 basis point adverse rate change and the impact on prepayment speeds and discount rates at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September 30, 2023</w:t>
            </w:r>
          </w:p>
        </w:tc>
        <w:tc>
          <w:tcPr>
            <w:tcW w:w="120" w:type="dxa"/>
            <w:vAlign w:val="bottom"/>
          </w:tcPr>
          <w:p>
            <w:pPr>
              <w:spacing w:after="0"/>
              <w:rPr>
                <w:sz w:val="20"/>
                <w:szCs w:val="20"/>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December 31, 2022</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Aggregate portfolio principal balance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2,825,752</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2,783,458</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Weighted average rate of loans in servicing portfolio</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03"/>
        </w:trPr>
        <w:tc>
          <w:tcPr>
            <w:tcW w:w="4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0.5% Adverse Rate</w:t>
            </w:r>
          </w:p>
        </w:tc>
        <w:tc>
          <w:tcPr>
            <w:tcW w:w="12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1.0% Adverse Rate</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At September 30, 2023</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ind w:left="240"/>
              <w:spacing w:after="0"/>
              <w:rPr>
                <w:sz w:val="20"/>
                <w:szCs w:val="20"/>
                <w:color w:val="auto"/>
              </w:rPr>
            </w:pPr>
            <w:r>
              <w:rPr>
                <w:rFonts w:ascii="Arial" w:cs="Arial" w:eastAsia="Arial" w:hAnsi="Arial"/>
                <w:sz w:val="18"/>
                <w:szCs w:val="18"/>
                <w:color w:val="auto"/>
              </w:rPr>
              <w:t>Base</w:t>
            </w:r>
          </w:p>
        </w:tc>
        <w:tc>
          <w:tcPr>
            <w:tcW w:w="26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color w:val="auto"/>
              </w:rPr>
              <w:t>Change</w:t>
            </w:r>
          </w:p>
        </w:tc>
      </w:tr>
      <w:tr>
        <w:trPr>
          <w:trHeight w:val="210"/>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Conditional prepayment rate</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Fair value MSR</w:t>
            </w:r>
          </w:p>
        </w:tc>
        <w:tc>
          <w:tcPr>
            <w:tcW w:w="1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38,858</w:t>
            </w:r>
          </w:p>
        </w:tc>
        <w:tc>
          <w:tcPr>
            <w:tcW w:w="1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38,411</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37,752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MSR</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Fair value MSR</w:t>
            </w:r>
          </w:p>
        </w:tc>
        <w:tc>
          <w:tcPr>
            <w:tcW w:w="1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38,858</w:t>
            </w:r>
          </w:p>
        </w:tc>
        <w:tc>
          <w:tcPr>
            <w:tcW w:w="1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37,978</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37,133</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MSR</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418"/>
        </w:trPr>
        <w:tc>
          <w:tcPr>
            <w:tcW w:w="4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0.5% Adverse Rate</w:t>
            </w:r>
          </w:p>
        </w:tc>
        <w:tc>
          <w:tcPr>
            <w:tcW w:w="12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1.0% Adverse Rate</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At December 31, 2022</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ind w:left="240"/>
              <w:spacing w:after="0"/>
              <w:rPr>
                <w:sz w:val="20"/>
                <w:szCs w:val="20"/>
                <w:color w:val="auto"/>
              </w:rPr>
            </w:pPr>
            <w:r>
              <w:rPr>
                <w:rFonts w:ascii="Arial" w:cs="Arial" w:eastAsia="Arial" w:hAnsi="Arial"/>
                <w:sz w:val="18"/>
                <w:szCs w:val="18"/>
                <w:color w:val="auto"/>
              </w:rPr>
              <w:t>Base</w:t>
            </w:r>
          </w:p>
        </w:tc>
        <w:tc>
          <w:tcPr>
            <w:tcW w:w="26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color w:val="auto"/>
              </w:rPr>
              <w:t>Change</w:t>
            </w:r>
          </w:p>
        </w:tc>
      </w:tr>
      <w:tr>
        <w:trPr>
          <w:trHeight w:val="210"/>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Conditional prepayment rate</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Fair value MSR</w:t>
            </w:r>
          </w:p>
        </w:tc>
        <w:tc>
          <w:tcPr>
            <w:tcW w:w="1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35,478</w:t>
            </w:r>
          </w:p>
        </w:tc>
        <w:tc>
          <w:tcPr>
            <w:tcW w:w="1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34,997</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34,188</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MSR</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Fair value MSR</w:t>
            </w:r>
          </w:p>
        </w:tc>
        <w:tc>
          <w:tcPr>
            <w:tcW w:w="1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35,478</w:t>
            </w:r>
          </w:p>
        </w:tc>
        <w:tc>
          <w:tcPr>
            <w:tcW w:w="1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34,715</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33,984</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MSR</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4660" w:type="dxa"/>
            <w:vAlign w:val="bottom"/>
          </w:tcPr>
          <w:p>
            <w:pPr>
              <w:spacing w:after="0"/>
              <w:rPr>
                <w:sz w:val="24"/>
                <w:szCs w:val="24"/>
                <w:color w:val="auto"/>
              </w:rPr>
            </w:pP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46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sensitivities are hypothetical and should be used with caution as the tables above demonstrate the Company’s methodology for estimating the fair value of MSR which is extremely sensitive to changes in key assumptions. For example, actual prepayment experience may differ and any difference may have a material effect on the fair value of MSR. Changes in fair value resulting from changes in assumptions generally cannot be extrapolated because the relationship of the change in the assumption to the change in fair value may not be linear. Also, in these tables, the effects of a variation in a particular assumption on the fair value of MSR is calculated without changing any other assumption; in reality, changes in one factor may be associated with changes in another (for example, decreases in market interest rates may provide an incentive to refinance, however, this may also indicate a slowing economy and an increase in the unemployment rate, which reduces the number of borrowers who qualify for refinancing), which may magnify or counteract the sensitivities. Thus, any measurement of the fair value of MSR is limited by the conditions existing and assumptions made at a particular point in time. Those assumptions may not be appropriate if they are applied to a different time.</w:t>
      </w:r>
    </w:p>
    <w:p>
      <w:pPr>
        <w:spacing w:after="0" w:line="1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recorded $1.8 million of gross contractually specified servicing fees, late fees, and other ancillary fees resulting from servicing of loans for both the three months ended September 30, 2023 and 2022, and $5.4 million and $5.3 million for the nine months ended September 30, 2023 and 2022, respectively. The income, net of MSR amortization, is reported in “Service charges and fee income” on the Consolidated Statements of Income.</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color w:val="auto"/>
        </w:rPr>
        <w:t>–</w:t>
      </w:r>
      <w:r>
        <w:rPr>
          <w:rFonts w:ascii="Arial" w:cs="Arial" w:eastAsia="Arial" w:hAnsi="Arial"/>
          <w:sz w:val="18"/>
          <w:szCs w:val="18"/>
          <w:b w:val="1"/>
          <w:bCs w:val="1"/>
          <w:color w:val="auto"/>
        </w:rPr>
        <w:t xml:space="preserve"> DERIVATIVES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predominant derivative and hedging activities involve interest rate swaps related to certain borrowings, brokered deposits, investment securities, forward sales contracts, and commitments to extend credit associated with mortgage banking activities. Generally, these instruments help the Company manage exposure to market risk. Market risk represents the possibility that economic value or net interest income will be adversely affected by fluctuations in external factors such as market-driven interest rates and prices or other economic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Banking Derivatives Not Designated as Hedges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regularly enters into commitments to originate and sell loans held for sale. The Company has exposure to movements in interest rates associated with written interest rate lock commitments with potential borrowers to originate one-to four-family loans that are intended to be sold and for closed one-to-four-family mortgage loans held for sale for which fair value accounting has been elected, that are awaiting sale and delivery into the secondary market. The Company economically hedges the risk of changing interest rates associated with these mortgage loan commitments by entering into forward sales contracts to sell one-to-four-family mortgage loans or into contracts to sell forward To-Be-Announced (“TBA”) mortgage-backed securities. These commitments and contracts are considered derivatives but have not been designated as hedging instruments for reporting purposes under U.S. GAAP. Rather, they are accounted for as free-standing derivatives, or economic hedges, with changes in the fair value of the derivatives reported in noninterest income or noninterest expense. The Bank recognizes all derivative instruments as either “Other assets” or “Other liabilities” on the Consolidated Balance Sheets and measures those instruments at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Swaps Not Designated as Hedges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also enters into derivative contracts, which consist of interest rate swaps, to facilitate the needs of clients desiring to manage interest rate risk. These swaps are not designated as accounting hedges under ASC 815, Derivatives and Hedging. To economically hedge the interest rate risk associated with offering this product, the Company simultaneously enters into derivative contracts with third parties to offset the customer contracts such that the Company minimizes its net risk exposure resulting from such transactions. The derivative contracts are structured such that the notional amounts reduce over time to generally match the expected amortization of the underlying loans. These derivatives are not speculative and arise from a service provided to clients.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 has entered into interest rate swaps to reduce the exposure to variability in interest-related cash outflows related to brokered deposits. These derivative instruments are designated as cash flow hedges. Changes to the amount of interest payment cash flows for the hedged transactions attributable to a change in credit risk are excluded from management’s assessment of hedge effectiveness. The Bank tests hedging effectiveness on a quarterly basis. The accumulated other comprehensive income is subsequently reclassified into earnings in the period that the hedged forecasted transaction affects earnings. The Bank has not recorded any hedge ineffectiveness since inception.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Bank expects that approximately $5.1 million will be reclassified from accumulated other comprehensive loss as a decrease to interest expense over the next 12 months related to these cash flow hedges.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exposed to changes in the fair value of certain of its pools of prepayable fixed-rate assets due to changes in benchmark interest rates. The Company uses interest rate swaps to manage its exposure to changes in fair value on these instruments attributable to changes in the designated benchmark interest rate, the SOFR. Interest rate swaps designated as fair value hedges involve the receipt of variable-rate amounts from a counterparty in exchange for the Company making fixed-rate payments over the life of the agreements without the exchange of the underlying notional amount. For derivatives designated and that qualify as fair value hedges, the gain or loss on the derivative as well as the offsetting loss or gain on the hedged item attributable to the hedged risk are recognized in interest income.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amounts were recorded on the balance sheet related to cumulative-basis adjustment for fair value hedges for the dates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jc w:val="center"/>
              <w:ind w:right="10"/>
              <w:spacing w:after="0"/>
              <w:rPr>
                <w:sz w:val="20"/>
                <w:szCs w:val="20"/>
                <w:color w:val="auto"/>
              </w:rPr>
            </w:pPr>
            <w:r>
              <w:rPr>
                <w:rFonts w:ascii="Arial" w:cs="Arial" w:eastAsia="Arial" w:hAnsi="Arial"/>
                <w:sz w:val="18"/>
                <w:szCs w:val="18"/>
                <w:color w:val="auto"/>
                <w:w w:val="93"/>
              </w:rPr>
              <w:t>Cumulative Amount of Fair</w:t>
            </w: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jc w:val="center"/>
              <w:ind w:right="230"/>
              <w:spacing w:after="0"/>
              <w:rPr>
                <w:sz w:val="20"/>
                <w:szCs w:val="20"/>
                <w:color w:val="auto"/>
              </w:rPr>
            </w:pPr>
            <w:r>
              <w:rPr>
                <w:rFonts w:ascii="Arial" w:cs="Arial" w:eastAsia="Arial" w:hAnsi="Arial"/>
                <w:sz w:val="18"/>
                <w:szCs w:val="18"/>
                <w:color w:val="auto"/>
                <w:w w:val="92"/>
              </w:rPr>
              <w:t>Hedging Adjustment</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Line item in the statement of financial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jc w:val="center"/>
              <w:ind w:right="230"/>
              <w:spacing w:after="0"/>
              <w:rPr>
                <w:sz w:val="20"/>
                <w:szCs w:val="20"/>
                <w:color w:val="auto"/>
              </w:rPr>
            </w:pPr>
            <w:r>
              <w:rPr>
                <w:rFonts w:ascii="Arial" w:cs="Arial" w:eastAsia="Arial" w:hAnsi="Arial"/>
                <w:sz w:val="18"/>
                <w:szCs w:val="18"/>
                <w:color w:val="auto"/>
                <w:w w:val="94"/>
              </w:rPr>
              <w:t>Included in</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position in which the hedged Item is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jc w:val="right"/>
              <w:ind w:right="210"/>
              <w:spacing w:after="0"/>
              <w:rPr>
                <w:sz w:val="20"/>
                <w:szCs w:val="20"/>
                <w:color w:val="auto"/>
              </w:rPr>
            </w:pPr>
            <w:r>
              <w:rPr>
                <w:rFonts w:ascii="Arial" w:cs="Arial" w:eastAsia="Arial" w:hAnsi="Arial"/>
                <w:sz w:val="18"/>
                <w:szCs w:val="18"/>
                <w:color w:val="auto"/>
                <w:w w:val="96"/>
              </w:rPr>
              <w:t>Carrying Amount of the</w:t>
            </w:r>
          </w:p>
        </w:tc>
        <w:tc>
          <w:tcPr>
            <w:tcW w:w="120" w:type="dxa"/>
            <w:vAlign w:val="bottom"/>
          </w:tcPr>
          <w:p>
            <w:pPr>
              <w:spacing w:after="0"/>
              <w:rPr>
                <w:sz w:val="18"/>
                <w:szCs w:val="18"/>
                <w:color w:val="auto"/>
              </w:rPr>
            </w:pPr>
          </w:p>
        </w:tc>
        <w:tc>
          <w:tcPr>
            <w:tcW w:w="2220" w:type="dxa"/>
            <w:vAlign w:val="bottom"/>
            <w:gridSpan w:val="2"/>
          </w:tcPr>
          <w:p>
            <w:pPr>
              <w:jc w:val="center"/>
              <w:ind w:right="10"/>
              <w:spacing w:after="0"/>
              <w:rPr>
                <w:sz w:val="20"/>
                <w:szCs w:val="20"/>
                <w:color w:val="auto"/>
              </w:rPr>
            </w:pPr>
            <w:r>
              <w:rPr>
                <w:rFonts w:ascii="Arial" w:cs="Arial" w:eastAsia="Arial" w:hAnsi="Arial"/>
                <w:sz w:val="18"/>
                <w:szCs w:val="18"/>
                <w:color w:val="auto"/>
                <w:w w:val="92"/>
              </w:rPr>
              <w:t>the Carrying Amount of the</w:t>
            </w:r>
          </w:p>
        </w:tc>
      </w:tr>
      <w:tr>
        <w:trPr>
          <w:trHeight w:val="230"/>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included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Hedged Assets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6"/>
              </w:rPr>
              <w:t>Hedged Assets</w:t>
            </w: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line="216" w:lineRule="exact"/>
              <w:rPr>
                <w:sz w:val="20"/>
                <w:szCs w:val="20"/>
                <w:color w:val="auto"/>
              </w:rPr>
            </w:pPr>
            <w:r>
              <w:rPr>
                <w:rFonts w:ascii="Arial" w:cs="Arial" w:eastAsia="Arial" w:hAnsi="Arial"/>
                <w:sz w:val="16"/>
                <w:szCs w:val="16"/>
                <w:color w:val="auto"/>
              </w:rPr>
              <w:t xml:space="preserve">Investment securities </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53,984</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6,016</w:t>
            </w: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r>
        <w:trPr>
          <w:trHeight w:val="249"/>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53,984</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6,016</w:t>
            </w:r>
          </w:p>
        </w:tc>
      </w:tr>
      <w:tr>
        <w:trPr>
          <w:trHeight w:val="197"/>
        </w:trPr>
        <w:tc>
          <w:tcPr>
            <w:tcW w:w="6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line="216" w:lineRule="exact"/>
              <w:rPr>
                <w:sz w:val="20"/>
                <w:szCs w:val="20"/>
                <w:color w:val="auto"/>
              </w:rPr>
            </w:pPr>
            <w:r>
              <w:rPr>
                <w:rFonts w:ascii="Arial" w:cs="Arial" w:eastAsia="Arial" w:hAnsi="Arial"/>
                <w:sz w:val="16"/>
                <w:szCs w:val="16"/>
                <w:color w:val="auto"/>
              </w:rPr>
              <w:t xml:space="preserve">Investment securities </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55,893</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4,107</w:t>
            </w: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55,893</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4,107</w:t>
            </w:r>
          </w:p>
        </w:tc>
      </w:tr>
      <w:tr>
        <w:trPr>
          <w:trHeight w:val="20"/>
        </w:trPr>
        <w:tc>
          <w:tcPr>
            <w:tcW w:w="6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03" w:lineRule="exact"/>
        <w:rPr>
          <w:sz w:val="20"/>
          <w:szCs w:val="20"/>
          <w:color w:val="auto"/>
        </w:rPr>
      </w:pPr>
    </w:p>
    <w:p>
      <w:pPr>
        <w:ind w:left="340" w:right="80" w:hanging="332"/>
        <w:spacing w:after="0" w:line="25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amounts include the amortized cost basis of closed portfolios used in designated hedging relationships in which the hedged item is the last layer expected to be remaining at the end of the hedging relationship. At September 30, 2023, the amortized cost basis of the closed portfolios used in these hedging relationships was $237.8 million; the cumulative basis adjustments associated with these hedging relationships was $6.0 million; and the amounts of the designated hedged items was $60.0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summarize the Company’s derivative instruments at the dates indicated. The Company has master netting agreements with derivative dealers with which it does business, but reflects gross assets and liabilities as “Other assets” and “Other liabilities,” respectively, on the Consolidated Balance Sheets,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93"/>
              </w:rPr>
              <w:t>September 30, 2023</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vMerge w:val="restart"/>
          </w:tcPr>
          <w:p>
            <w:pPr>
              <w:jc w:val="right"/>
              <w:ind w:right="450"/>
              <w:spacing w:after="0"/>
              <w:rPr>
                <w:sz w:val="20"/>
                <w:szCs w:val="20"/>
                <w:color w:val="auto"/>
              </w:rPr>
            </w:pPr>
            <w:r>
              <w:rPr>
                <w:rFonts w:ascii="Arial" w:cs="Arial" w:eastAsia="Arial" w:hAnsi="Arial"/>
                <w:sz w:val="18"/>
                <w:szCs w:val="18"/>
                <w:color w:val="auto"/>
              </w:rPr>
              <w:t>Notional</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Fair Value</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Arial" w:cs="Arial" w:eastAsia="Arial" w:hAnsi="Arial"/>
                <w:sz w:val="18"/>
                <w:szCs w:val="18"/>
                <w:color w:val="auto"/>
              </w:rPr>
              <w:t>Cash flow hedges:</w:t>
            </w:r>
          </w:p>
        </w:tc>
        <w:tc>
          <w:tcPr>
            <w:tcW w:w="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Asset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swaps - brokered deposits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200,000</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8,402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Fair value hedges: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swaps - securities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Non-hedging derivatives: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Fallout adjusted interest rate lock commitments with customers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26,982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Mandatory and best effort forward commitments with investors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5,919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Forward TBA mortgage-backed securities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Customer swap positions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Dealer offsets to customer swap positions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w w:val="97"/>
              </w:rPr>
              <w:t>December 31, 2022</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vMerge w:val="restart"/>
          </w:tcPr>
          <w:p>
            <w:pPr>
              <w:jc w:val="right"/>
              <w:ind w:right="450"/>
              <w:spacing w:after="0"/>
              <w:rPr>
                <w:sz w:val="20"/>
                <w:szCs w:val="20"/>
                <w:color w:val="auto"/>
              </w:rPr>
            </w:pPr>
            <w:r>
              <w:rPr>
                <w:rFonts w:ascii="Arial" w:cs="Arial" w:eastAsia="Arial" w:hAnsi="Arial"/>
                <w:sz w:val="18"/>
                <w:szCs w:val="18"/>
                <w:color w:val="auto"/>
              </w:rPr>
              <w:t>Notional</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Fair Value</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Arial" w:cs="Arial" w:eastAsia="Arial" w:hAnsi="Arial"/>
                <w:sz w:val="18"/>
                <w:szCs w:val="18"/>
                <w:color w:val="auto"/>
              </w:rPr>
              <w:t>Cash flow hedges:</w:t>
            </w:r>
          </w:p>
        </w:tc>
        <w:tc>
          <w:tcPr>
            <w:tcW w:w="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Asset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swaps - brokered deposits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90,000</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5,780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Fair value hedges: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swaps - securities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Non-hedging derivatives: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Fallout adjusted interest rate lock commitments with customers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Mandatory and best effort forward commitments with investors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4,558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Forward TBA mortgage-backed securities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effect of fair value and cash flow hedge accounting on the Consolidated Statements of Income for the three and nine months ended September 30, 2023 and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89"/>
              </w:rPr>
              <w:t>Three Months Ended September 30,</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2023</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2022</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190"/>
              <w:spacing w:after="0" w:line="195" w:lineRule="exact"/>
              <w:rPr>
                <w:sz w:val="20"/>
                <w:szCs w:val="20"/>
                <w:color w:val="auto"/>
              </w:rPr>
            </w:pPr>
            <w:r>
              <w:rPr>
                <w:rFonts w:ascii="Arial" w:cs="Arial" w:eastAsia="Arial" w:hAnsi="Arial"/>
                <w:sz w:val="18"/>
                <w:szCs w:val="18"/>
                <w:color w:val="auto"/>
                <w:w w:val="89"/>
              </w:rPr>
              <w:t>Interest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19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19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70"/>
              <w:spacing w:after="0" w:line="195" w:lineRule="exact"/>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color w:val="auto"/>
                <w:w w:val="85"/>
              </w:rPr>
              <w:t>Expense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85"/>
              </w:rPr>
              <w:t>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1"/>
              </w:rPr>
              <w:t>Deposits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1"/>
              </w:rPr>
              <w:t>Securities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1"/>
              </w:rPr>
              <w:t>Deposits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Securities</w:t>
            </w: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6"/>
              </w:rPr>
              <w:t>Total amounts presented on the Consolidated Statements of Income</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10,462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2,596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gains (losses) on fair value hedging relationships: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swaps - securities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340"/>
              <w:spacing w:after="0"/>
              <w:rPr>
                <w:sz w:val="20"/>
                <w:szCs w:val="20"/>
                <w:color w:val="auto"/>
              </w:rPr>
            </w:pPr>
            <w:r>
              <w:rPr>
                <w:rFonts w:ascii="Arial" w:cs="Arial" w:eastAsia="Arial" w:hAnsi="Arial"/>
                <w:sz w:val="18"/>
                <w:szCs w:val="18"/>
                <w:color w:val="auto"/>
              </w:rPr>
              <w:t>Recognized on hedged items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8"/>
              </w:rPr>
              <w:t>Recognized on derivatives designated as hedging instruments</w:t>
            </w:r>
          </w:p>
        </w:tc>
        <w:tc>
          <w:tcPr>
            <w:tcW w:w="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10"/>
        </w:trPr>
        <w:tc>
          <w:tcPr>
            <w:tcW w:w="5260" w:type="dxa"/>
            <w:vAlign w:val="bottom"/>
          </w:tcPr>
          <w:p>
            <w:pPr>
              <w:ind w:left="500"/>
              <w:spacing w:after="0"/>
              <w:rPr>
                <w:sz w:val="20"/>
                <w:szCs w:val="20"/>
                <w:color w:val="auto"/>
              </w:rPr>
            </w:pPr>
            <w:r>
              <w:rPr>
                <w:rFonts w:ascii="Arial" w:cs="Arial" w:eastAsia="Arial" w:hAnsi="Arial"/>
                <w:sz w:val="18"/>
                <w:szCs w:val="18"/>
                <w:color w:val="auto"/>
              </w:rPr>
              <w:t>Net income (expense) recognized on fair value hedges</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556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gain on cash flow hedging relationships: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Interest rate swaps - brokered deposits and borrowings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Realized gains (pre-tax) reclassified from AOCI into net income</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tcPr>
          <w:p>
            <w:pPr>
              <w:ind w:left="500"/>
              <w:spacing w:after="0"/>
              <w:rPr>
                <w:sz w:val="20"/>
                <w:szCs w:val="20"/>
                <w:color w:val="auto"/>
              </w:rPr>
            </w:pPr>
            <w:r>
              <w:rPr>
                <w:rFonts w:ascii="Arial" w:cs="Arial" w:eastAsia="Arial" w:hAnsi="Arial"/>
                <w:sz w:val="18"/>
                <w:szCs w:val="18"/>
                <w:color w:val="auto"/>
              </w:rPr>
              <w:t>Net income recognized on cash flow hedges</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1,446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20" w:type="dxa"/>
            <w:vAlign w:val="bottom"/>
            <w:vMerge w:val="restart"/>
          </w:tcPr>
          <w:p>
            <w:pPr>
              <w:jc w:val="right"/>
              <w:ind w:right="170"/>
              <w:spacing w:after="0"/>
              <w:rPr>
                <w:sz w:val="20"/>
                <w:szCs w:val="20"/>
                <w:color w:val="auto"/>
              </w:rPr>
            </w:pPr>
            <w:r>
              <w:rPr>
                <w:rFonts w:ascii="Arial" w:cs="Arial" w:eastAsia="Arial" w:hAnsi="Arial"/>
                <w:sz w:val="18"/>
                <w:szCs w:val="18"/>
                <w:color w:val="auto"/>
              </w:rPr>
              <w:t>30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79"/>
        </w:trPr>
        <w:tc>
          <w:tcPr>
            <w:tcW w:w="1280" w:type="dxa"/>
            <w:vAlign w:val="bottom"/>
            <w:tcBorders>
              <w:top w:val="single" w:sz="8" w:color="0000EE"/>
            </w:tcBorders>
          </w:tcPr>
          <w:p>
            <w:pPr>
              <w:spacing w:after="0"/>
              <w:rPr>
                <w:sz w:val="24"/>
                <w:szCs w:val="24"/>
                <w:color w:val="auto"/>
              </w:rPr>
            </w:pPr>
          </w:p>
        </w:tc>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w w:val="91"/>
              </w:rPr>
              <w:t>Nine Months Ended September 30,</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2023</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2022</w:t>
            </w:r>
          </w:p>
        </w:tc>
        <w:tc>
          <w:tcPr>
            <w:tcW w:w="1080" w:type="dxa"/>
            <w:vAlign w:val="bottom"/>
            <w:tcBorders>
              <w:bottom w:val="single" w:sz="8" w:color="auto"/>
            </w:tcBorders>
          </w:tcPr>
          <w:p>
            <w:pPr>
              <w:spacing w:after="0"/>
              <w:rPr>
                <w:sz w:val="18"/>
                <w:szCs w:val="18"/>
                <w:color w:val="auto"/>
              </w:rPr>
            </w:pPr>
          </w:p>
        </w:tc>
      </w:tr>
      <w:tr>
        <w:trPr>
          <w:trHeight w:val="195"/>
        </w:trPr>
        <w:tc>
          <w:tcPr>
            <w:tcW w:w="12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190"/>
              <w:spacing w:after="0" w:line="195" w:lineRule="exact"/>
              <w:rPr>
                <w:sz w:val="20"/>
                <w:szCs w:val="20"/>
                <w:color w:val="auto"/>
              </w:rPr>
            </w:pPr>
            <w:r>
              <w:rPr>
                <w:rFonts w:ascii="Arial" w:cs="Arial" w:eastAsia="Arial" w:hAnsi="Arial"/>
                <w:sz w:val="18"/>
                <w:szCs w:val="18"/>
                <w:color w:val="auto"/>
                <w:w w:val="89"/>
              </w:rPr>
              <w:t>Interest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19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19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70"/>
              <w:spacing w:after="0" w:line="195" w:lineRule="exact"/>
              <w:rPr>
                <w:sz w:val="20"/>
                <w:szCs w:val="20"/>
                <w:color w:val="auto"/>
              </w:rPr>
            </w:pPr>
            <w:r>
              <w:rPr>
                <w:rFonts w:ascii="Arial" w:cs="Arial" w:eastAsia="Arial" w:hAnsi="Arial"/>
                <w:sz w:val="18"/>
                <w:szCs w:val="18"/>
                <w:color w:val="auto"/>
                <w:w w:val="89"/>
              </w:rPr>
              <w:t>Interest</w:t>
            </w: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color w:val="auto"/>
                <w:w w:val="85"/>
              </w:rPr>
              <w:t>Expense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85"/>
              </w:rPr>
              <w:t>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1"/>
              </w:rPr>
              <w:t>Income</w:t>
            </w:r>
          </w:p>
        </w:tc>
      </w:tr>
      <w:tr>
        <w:trPr>
          <w:trHeight w:val="230"/>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1"/>
              </w:rPr>
              <w:t>Deposits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1"/>
              </w:rPr>
              <w:t>Securities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1"/>
              </w:rPr>
              <w:t>Deposits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Securities</w:t>
            </w: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amounts presented on the Consolidated Statements of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24,696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8,667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5,438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4,990</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Net gains (losses) on fair value hedging relationships: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swaps - securities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Recognized on hedged items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(4,316)</w:t>
            </w:r>
          </w:p>
        </w:tc>
      </w:tr>
      <w:tr>
        <w:trPr>
          <w:trHeight w:val="216"/>
        </w:trPr>
        <w:tc>
          <w:tcPr>
            <w:tcW w:w="59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Recognized on derivatives designated as hedging instruments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4,144</w:t>
            </w:r>
          </w:p>
        </w:tc>
      </w:tr>
      <w:tr>
        <w:trPr>
          <w:trHeight w:val="210"/>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Net income (expense) recognized on fair value hedges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1,212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gain on cash flow hedging relationships: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Interest rate swaps - brokered deposits and borrowings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Realized gains (pre-tax) reclassified from AOCI into net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3,624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09"/>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Net income recognized on cash flow hedges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3,624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the fair value of the non-hedging derivatives recognized in “Noninterest income” on the Consolidated Statements of Income and included in gain on sale of loans resulted in net losses of $107,000 and net gains of $34,000 for the three months ended September 30, 2023 and 2022, and net gains of $266,000 and net losses of $1.7 million for the nine months ended September 30, 2023 and 2022, respectively.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tables present a summary of amounts outstanding in derivative financial instruments including those entered into in connection with the same counter-party under master netting agreements at the dates indicated. While these agreements are typically over-collateralized, GAAP requires disclosures in this table to limit the amount of such collateral to the amount of the related asset or liability for each counter-party.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Net Amounts of</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3"/>
              </w:rPr>
              <w:t>Gross Amounts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Assets</w:t>
            </w:r>
          </w:p>
        </w:tc>
        <w:tc>
          <w:tcPr>
            <w:tcW w:w="140" w:type="dxa"/>
            <w:vAlign w:val="bottom"/>
          </w:tcPr>
          <w:p>
            <w:pPr>
              <w:spacing w:after="0"/>
              <w:rPr>
                <w:sz w:val="12"/>
                <w:szCs w:val="12"/>
                <w:color w:val="auto"/>
              </w:rPr>
            </w:pPr>
          </w:p>
        </w:tc>
        <w:tc>
          <w:tcPr>
            <w:tcW w:w="2640" w:type="dxa"/>
            <w:vAlign w:val="bottom"/>
            <w:gridSpan w:val="6"/>
          </w:tcPr>
          <w:p>
            <w:pPr>
              <w:jc w:val="center"/>
              <w:ind w:left="748"/>
              <w:spacing w:after="0" w:line="149" w:lineRule="exact"/>
              <w:rPr>
                <w:sz w:val="20"/>
                <w:szCs w:val="20"/>
                <w:color w:val="auto"/>
              </w:rPr>
            </w:pPr>
            <w:r>
              <w:rPr>
                <w:rFonts w:ascii="Arial" w:cs="Arial" w:eastAsia="Arial" w:hAnsi="Arial"/>
                <w:sz w:val="14"/>
                <w:szCs w:val="14"/>
                <w:color w:val="auto"/>
                <w:w w:val="94"/>
              </w:rPr>
              <w:t>Gross Amounts Not Offset</w:t>
            </w:r>
          </w:p>
        </w:tc>
        <w:tc>
          <w:tcPr>
            <w:tcW w:w="1080" w:type="dxa"/>
            <w:vAlign w:val="bottom"/>
          </w:tcPr>
          <w:p>
            <w:pPr>
              <w:spacing w:after="0"/>
              <w:rPr>
                <w:sz w:val="12"/>
                <w:szCs w:val="12"/>
                <w:color w:val="auto"/>
              </w:rPr>
            </w:pPr>
          </w:p>
        </w:tc>
      </w:tr>
      <w:tr>
        <w:trPr>
          <w:trHeight w:val="167"/>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right="128"/>
              <w:spacing w:after="0"/>
              <w:rPr>
                <w:sz w:val="20"/>
                <w:szCs w:val="20"/>
                <w:color w:val="auto"/>
              </w:rPr>
            </w:pPr>
            <w:r>
              <w:rPr>
                <w:rFonts w:ascii="Arial" w:cs="Arial" w:eastAsia="Arial" w:hAnsi="Arial"/>
                <w:sz w:val="14"/>
                <w:szCs w:val="14"/>
                <w:color w:val="auto"/>
                <w:w w:val="93"/>
              </w:rPr>
              <w:t>Gross Amounts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128"/>
              <w:spacing w:after="0"/>
              <w:rPr>
                <w:sz w:val="20"/>
                <w:szCs w:val="20"/>
                <w:color w:val="auto"/>
              </w:rPr>
            </w:pPr>
            <w:r>
              <w:rPr>
                <w:rFonts w:ascii="Arial" w:cs="Arial" w:eastAsia="Arial" w:hAnsi="Arial"/>
                <w:sz w:val="14"/>
                <w:szCs w:val="14"/>
                <w:color w:val="auto"/>
                <w:w w:val="95"/>
              </w:rPr>
              <w:t>Offset in the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Presented in the</w:t>
            </w:r>
          </w:p>
        </w:tc>
        <w:tc>
          <w:tcPr>
            <w:tcW w:w="14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7"/>
          </w:tcPr>
          <w:p>
            <w:pPr>
              <w:jc w:val="center"/>
              <w:ind w:right="168"/>
              <w:spacing w:after="0"/>
              <w:rPr>
                <w:sz w:val="20"/>
                <w:szCs w:val="20"/>
                <w:color w:val="auto"/>
              </w:rPr>
            </w:pPr>
            <w:r>
              <w:rPr>
                <w:rFonts w:ascii="Arial" w:cs="Arial" w:eastAsia="Arial" w:hAnsi="Arial"/>
                <w:sz w:val="14"/>
                <w:szCs w:val="14"/>
                <w:color w:val="auto"/>
                <w:w w:val="93"/>
              </w:rPr>
              <w:t>in the Statement of Financial Position</w:t>
            </w:r>
          </w:p>
        </w:tc>
      </w:tr>
      <w:tr>
        <w:trPr>
          <w:trHeight w:val="123"/>
        </w:trPr>
        <w:tc>
          <w:tcPr>
            <w:tcW w:w="3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center"/>
              <w:ind w:right="148"/>
              <w:spacing w:after="0" w:line="123" w:lineRule="exact"/>
              <w:rPr>
                <w:sz w:val="20"/>
                <w:szCs w:val="20"/>
                <w:color w:val="auto"/>
              </w:rPr>
            </w:pPr>
            <w:r>
              <w:rPr>
                <w:rFonts w:ascii="Arial" w:cs="Arial" w:eastAsia="Arial" w:hAnsi="Arial"/>
                <w:sz w:val="14"/>
                <w:szCs w:val="14"/>
                <w:color w:val="auto"/>
                <w:w w:val="93"/>
              </w:rPr>
              <w:t>of Recognized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center"/>
              <w:ind w:right="128"/>
              <w:spacing w:after="0" w:line="123" w:lineRule="exact"/>
              <w:rPr>
                <w:sz w:val="20"/>
                <w:szCs w:val="20"/>
                <w:color w:val="auto"/>
              </w:rPr>
            </w:pPr>
            <w:r>
              <w:rPr>
                <w:rFonts w:ascii="Arial" w:cs="Arial" w:eastAsia="Arial" w:hAnsi="Arial"/>
                <w:sz w:val="14"/>
                <w:szCs w:val="14"/>
                <w:color w:val="auto"/>
                <w:w w:val="90"/>
              </w:rPr>
              <w:t>Statement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90"/>
              </w:rPr>
              <w:t>Statement of</w:t>
            </w:r>
          </w:p>
        </w:tc>
        <w:tc>
          <w:tcPr>
            <w:tcW w:w="140" w:type="dxa"/>
            <w:vAlign w:val="bottom"/>
          </w:tcPr>
          <w:p>
            <w:pPr>
              <w:spacing w:after="0"/>
              <w:rPr>
                <w:sz w:val="10"/>
                <w:szCs w:val="10"/>
                <w:color w:val="auto"/>
              </w:rPr>
            </w:pPr>
          </w:p>
        </w:tc>
        <w:tc>
          <w:tcPr>
            <w:tcW w:w="1080" w:type="dxa"/>
            <w:vAlign w:val="bottom"/>
          </w:tcPr>
          <w:p>
            <w:pPr>
              <w:jc w:val="center"/>
              <w:ind w:right="188"/>
              <w:spacing w:after="0" w:line="123" w:lineRule="exact"/>
              <w:rPr>
                <w:sz w:val="20"/>
                <w:szCs w:val="20"/>
                <w:color w:val="auto"/>
              </w:rPr>
            </w:pPr>
            <w:r>
              <w:rPr>
                <w:rFonts w:ascii="Arial" w:cs="Arial" w:eastAsia="Arial" w:hAnsi="Arial"/>
                <w:sz w:val="14"/>
                <w:szCs w:val="14"/>
                <w:color w:val="auto"/>
                <w:w w:val="96"/>
              </w:rPr>
              <w:t>Financial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center"/>
              <w:ind w:right="128"/>
              <w:spacing w:after="0" w:line="123" w:lineRule="exact"/>
              <w:rPr>
                <w:sz w:val="20"/>
                <w:szCs w:val="20"/>
                <w:color w:val="auto"/>
              </w:rPr>
            </w:pPr>
            <w:r>
              <w:rPr>
                <w:rFonts w:ascii="Arial" w:cs="Arial" w:eastAsia="Arial" w:hAnsi="Arial"/>
                <w:sz w:val="14"/>
                <w:szCs w:val="14"/>
                <w:color w:val="auto"/>
                <w:w w:val="91"/>
              </w:rPr>
              <w:t>Cash Collateral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67"/>
        </w:trPr>
        <w:tc>
          <w:tcPr>
            <w:tcW w:w="3160" w:type="dxa"/>
            <w:vAlign w:val="bottom"/>
          </w:tcPr>
          <w:p>
            <w:pPr>
              <w:spacing w:after="0"/>
              <w:rPr>
                <w:sz w:val="20"/>
                <w:szCs w:val="20"/>
                <w:color w:val="auto"/>
              </w:rPr>
            </w:pPr>
            <w:r>
              <w:rPr>
                <w:rFonts w:ascii="Arial" w:cs="Arial" w:eastAsia="Arial" w:hAnsi="Arial"/>
                <w:sz w:val="14"/>
                <w:szCs w:val="14"/>
                <w:color w:val="auto"/>
              </w:rPr>
              <w:t>Offsetting of derivative assets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right="128"/>
              <w:spacing w:after="0"/>
              <w:rPr>
                <w:sz w:val="20"/>
                <w:szCs w:val="20"/>
                <w:color w:val="auto"/>
              </w:rPr>
            </w:pPr>
            <w:r>
              <w:rPr>
                <w:rFonts w:ascii="Arial" w:cs="Arial" w:eastAsia="Arial" w:hAnsi="Arial"/>
                <w:sz w:val="14"/>
                <w:szCs w:val="14"/>
                <w:color w:val="auto"/>
                <w:w w:val="90"/>
              </w:rPr>
              <w:t>Assets</w:t>
            </w:r>
          </w:p>
        </w:tc>
        <w:tc>
          <w:tcPr>
            <w:tcW w:w="120" w:type="dxa"/>
            <w:vAlign w:val="bottom"/>
          </w:tcPr>
          <w:p>
            <w:pPr>
              <w:spacing w:after="0"/>
              <w:rPr>
                <w:sz w:val="14"/>
                <w:szCs w:val="14"/>
                <w:color w:val="auto"/>
              </w:rPr>
            </w:pPr>
          </w:p>
        </w:tc>
        <w:tc>
          <w:tcPr>
            <w:tcW w:w="1240" w:type="dxa"/>
            <w:vAlign w:val="bottom"/>
            <w:gridSpan w:val="2"/>
          </w:tcPr>
          <w:p>
            <w:pPr>
              <w:jc w:val="center"/>
              <w:ind w:right="48"/>
              <w:spacing w:after="0"/>
              <w:rPr>
                <w:sz w:val="20"/>
                <w:szCs w:val="20"/>
                <w:color w:val="auto"/>
              </w:rPr>
            </w:pPr>
            <w:r>
              <w:rPr>
                <w:rFonts w:ascii="Arial" w:cs="Arial" w:eastAsia="Arial" w:hAnsi="Arial"/>
                <w:sz w:val="14"/>
                <w:szCs w:val="14"/>
                <w:color w:val="auto"/>
                <w:w w:val="94"/>
              </w:rPr>
              <w:t>Financial Position</w:t>
            </w:r>
          </w:p>
        </w:tc>
        <w:tc>
          <w:tcPr>
            <w:tcW w:w="120" w:type="dxa"/>
            <w:vAlign w:val="bottom"/>
          </w:tcPr>
          <w:p>
            <w:pPr>
              <w:spacing w:after="0"/>
              <w:rPr>
                <w:sz w:val="14"/>
                <w:szCs w:val="1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Financial Position</w:t>
            </w:r>
          </w:p>
        </w:tc>
        <w:tc>
          <w:tcPr>
            <w:tcW w:w="140" w:type="dxa"/>
            <w:vAlign w:val="bottom"/>
          </w:tcPr>
          <w:p>
            <w:pPr>
              <w:spacing w:after="0"/>
              <w:rPr>
                <w:sz w:val="14"/>
                <w:szCs w:val="14"/>
                <w:color w:val="auto"/>
              </w:rPr>
            </w:pPr>
          </w:p>
        </w:tc>
        <w:tc>
          <w:tcPr>
            <w:tcW w:w="1080" w:type="dxa"/>
            <w:vAlign w:val="bottom"/>
          </w:tcPr>
          <w:p>
            <w:pPr>
              <w:jc w:val="center"/>
              <w:ind w:right="168"/>
              <w:spacing w:after="0"/>
              <w:rPr>
                <w:sz w:val="20"/>
                <w:szCs w:val="20"/>
                <w:color w:val="auto"/>
              </w:rPr>
            </w:pPr>
            <w:r>
              <w:rPr>
                <w:rFonts w:ascii="Arial" w:cs="Arial" w:eastAsia="Arial" w:hAnsi="Arial"/>
                <w:sz w:val="14"/>
                <w:szCs w:val="14"/>
                <w:color w:val="auto"/>
                <w:w w:val="92"/>
              </w:rPr>
              <w:t>Instruments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148"/>
              <w:spacing w:after="0"/>
              <w:rPr>
                <w:sz w:val="20"/>
                <w:szCs w:val="20"/>
                <w:color w:val="auto"/>
              </w:rPr>
            </w:pPr>
            <w:r>
              <w:rPr>
                <w:rFonts w:ascii="Arial" w:cs="Arial" w:eastAsia="Arial" w:hAnsi="Arial"/>
                <w:sz w:val="14"/>
                <w:szCs w:val="14"/>
                <w:color w:val="auto"/>
                <w:w w:val="92"/>
              </w:rPr>
              <w:t>Received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Arial" w:cs="Arial" w:eastAsia="Arial" w:hAnsi="Arial"/>
                <w:sz w:val="14"/>
                <w:szCs w:val="14"/>
                <w:color w:val="auto"/>
              </w:rPr>
              <w:t>Net Amount</w:t>
            </w:r>
          </w:p>
        </w:tc>
      </w:tr>
      <w:tr>
        <w:trPr>
          <w:trHeight w:val="142"/>
        </w:trPr>
        <w:tc>
          <w:tcPr>
            <w:tcW w:w="3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September 30, 2023</w:t>
            </w: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color w:val="auto"/>
              </w:rPr>
              <w:t>Interest rate swaps</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14,485</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14,485</w:t>
            </w:r>
          </w:p>
        </w:tc>
        <w:tc>
          <w:tcPr>
            <w:tcW w:w="1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tcPr>
          <w:p>
            <w:pPr>
              <w:ind w:left="8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ind w:left="86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14,485</w:t>
            </w:r>
          </w:p>
        </w:tc>
      </w:tr>
      <w:tr>
        <w:trPr>
          <w:trHeight w:val="148"/>
        </w:trPr>
        <w:tc>
          <w:tcPr>
            <w:tcW w:w="3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December 31, 2022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8"/>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rate swaps</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9,870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9,870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9,870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w:t>
      </w:r>
      <w:r>
        <w:rPr>
          <w:rFonts w:ascii="Arial" w:cs="Arial" w:eastAsia="Arial" w:hAnsi="Arial"/>
          <w:sz w:val="18"/>
          <w:szCs w:val="18"/>
          <w:color w:val="auto"/>
        </w:rPr>
        <w:t>–</w:t>
      </w:r>
      <w:r>
        <w:rPr>
          <w:rFonts w:ascii="Arial" w:cs="Arial" w:eastAsia="Arial" w:hAnsi="Arial"/>
          <w:sz w:val="18"/>
          <w:szCs w:val="18"/>
          <w:b w:val="1"/>
          <w:bCs w:val="1"/>
          <w:i w:val="1"/>
          <w:iCs w:val="1"/>
          <w:color w:val="auto"/>
        </w:rPr>
        <w:t>Risk</w:t>
      </w:r>
      <w:r>
        <w:rPr>
          <w:rFonts w:ascii="Arial" w:cs="Arial" w:eastAsia="Arial" w:hAnsi="Arial"/>
          <w:sz w:val="18"/>
          <w:szCs w:val="18"/>
          <w:color w:val="auto"/>
        </w:rPr>
        <w:t>–</w:t>
      </w:r>
      <w:r>
        <w:rPr>
          <w:rFonts w:ascii="Arial" w:cs="Arial" w:eastAsia="Arial" w:hAnsi="Arial"/>
          <w:sz w:val="18"/>
          <w:szCs w:val="18"/>
          <w:b w:val="1"/>
          <w:bCs w:val="1"/>
          <w:i w:val="1"/>
          <w:iCs w:val="1"/>
          <w:color w:val="auto"/>
        </w:rPr>
        <w:t>Related Contingent Features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interest rate swap agreements with certain of its derivative counterparties that contain a provision where if the Company either defaults or fails to maintain its status as a well or adequately capitalized institution, then the Company could be required to terminate the contracts or post additional collateral. At September 30, 2023, the Company had no derivatives in a net liability position related to these agreements, and therefore had no collateral posted. In certain cases, the Company will have posted excess collateral, compared to total exposure due to initial margin requirements or day-to-day rate volatility.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LEASES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operating leases for retail bank and home lending branches, loan production offices, and certain equipment. The Company’s leases have remaining lease terms of six months to six years and nine months, some of which include options to extend the leases for up to five years.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components of lease cost (included in occupancy expense on the Consolidated Statements of Income) are as follows for the three and nine months ended September 30, 2023 and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250"/>
              <w:spacing w:after="0"/>
              <w:rPr>
                <w:sz w:val="20"/>
                <w:szCs w:val="20"/>
                <w:color w:val="auto"/>
              </w:rPr>
            </w:pPr>
            <w:r>
              <w:rPr>
                <w:rFonts w:ascii="Arial" w:cs="Arial" w:eastAsia="Arial" w:hAnsi="Arial"/>
                <w:sz w:val="18"/>
                <w:szCs w:val="18"/>
                <w:color w:val="auto"/>
                <w:w w:val="95"/>
              </w:rPr>
              <w:t>Three Months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Arial" w:cs="Arial" w:eastAsia="Arial" w:hAnsi="Arial"/>
                <w:sz w:val="18"/>
                <w:szCs w:val="18"/>
                <w:color w:val="auto"/>
                <w:w w:val="91"/>
              </w:rPr>
              <w:t>Three Months</w:t>
            </w: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color w:val="auto"/>
              </w:rPr>
              <w:t>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Arial" w:cs="Arial" w:eastAsia="Arial" w:hAnsi="Arial"/>
                <w:sz w:val="18"/>
                <w:szCs w:val="18"/>
                <w:color w:val="auto"/>
                <w:w w:val="88"/>
              </w:rPr>
              <w:t>Ended</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Lease cost:</w:t>
            </w:r>
          </w:p>
        </w:tc>
        <w:tc>
          <w:tcPr>
            <w:tcW w:w="1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4"/>
              </w:rPr>
              <w:t>September 30, 2023</w:t>
            </w:r>
          </w:p>
        </w:tc>
        <w:tc>
          <w:tcPr>
            <w:tcW w:w="100" w:type="dxa"/>
            <w:vAlign w:val="bottom"/>
          </w:tcPr>
          <w:p>
            <w:pPr>
              <w:spacing w:after="0"/>
              <w:rPr>
                <w:sz w:val="20"/>
                <w:szCs w:val="20"/>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September 30, 2022</w:t>
            </w: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Short-term lease cost</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r>
      <w:tr>
        <w:trPr>
          <w:trHeight w:val="25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lease cost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r>
      <w:tr>
        <w:trPr>
          <w:trHeight w:val="398"/>
        </w:trPr>
        <w:tc>
          <w:tcPr>
            <w:tcW w:w="80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92"/>
              </w:rPr>
              <w:t>Nine Months</w:t>
            </w:r>
          </w:p>
        </w:tc>
      </w:tr>
      <w:tr>
        <w:trPr>
          <w:trHeight w:val="216"/>
        </w:trPr>
        <w:tc>
          <w:tcPr>
            <w:tcW w:w="80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w w:val="97"/>
              </w:rPr>
              <w:t>Nine Months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Arial" w:cs="Arial" w:eastAsia="Arial" w:hAnsi="Arial"/>
                <w:sz w:val="18"/>
                <w:szCs w:val="18"/>
                <w:color w:val="auto"/>
                <w:w w:val="88"/>
              </w:rPr>
              <w:t>Ended</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Lease cost:</w:t>
            </w:r>
          </w:p>
        </w:tc>
        <w:tc>
          <w:tcPr>
            <w:tcW w:w="1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4"/>
              </w:rPr>
              <w:t>September 30, 2023</w:t>
            </w:r>
          </w:p>
        </w:tc>
        <w:tc>
          <w:tcPr>
            <w:tcW w:w="100" w:type="dxa"/>
            <w:vAlign w:val="bottom"/>
          </w:tcPr>
          <w:p>
            <w:pPr>
              <w:spacing w:after="0"/>
              <w:rPr>
                <w:sz w:val="20"/>
                <w:szCs w:val="20"/>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September 30, 2022</w:t>
            </w:r>
          </w:p>
        </w:tc>
      </w:tr>
      <w:tr>
        <w:trPr>
          <w:trHeight w:val="21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1,357</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Short-term lease cost</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r>
      <w:tr>
        <w:trPr>
          <w:trHeight w:val="249"/>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lease cost</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supplemental information related to operating leases at or for the three and nine months ended September 30, 2023 and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230"/>
              <w:spacing w:after="0"/>
              <w:rPr>
                <w:sz w:val="20"/>
                <w:szCs w:val="20"/>
                <w:color w:val="auto"/>
              </w:rPr>
            </w:pPr>
            <w:r>
              <w:rPr>
                <w:rFonts w:ascii="Arial" w:cs="Arial" w:eastAsia="Arial" w:hAnsi="Arial"/>
                <w:sz w:val="18"/>
                <w:szCs w:val="18"/>
                <w:color w:val="auto"/>
                <w:w w:val="91"/>
              </w:rPr>
              <w:t>At or For the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93"/>
              </w:rPr>
              <w:t>At or For the</w:t>
            </w:r>
          </w:p>
        </w:tc>
      </w:tr>
      <w:tr>
        <w:trPr>
          <w:trHeight w:val="216"/>
        </w:trPr>
        <w:tc>
          <w:tcPr>
            <w:tcW w:w="7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230"/>
              <w:spacing w:after="0"/>
              <w:rPr>
                <w:sz w:val="20"/>
                <w:szCs w:val="20"/>
                <w:color w:val="auto"/>
              </w:rPr>
            </w:pPr>
            <w:r>
              <w:rPr>
                <w:rFonts w:ascii="Arial" w:cs="Arial" w:eastAsia="Arial" w:hAnsi="Arial"/>
                <w:sz w:val="18"/>
                <w:szCs w:val="18"/>
                <w:color w:val="auto"/>
                <w:w w:val="90"/>
              </w:rPr>
              <w:t>Three Months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91"/>
              </w:rPr>
              <w:t>Three Months</w:t>
            </w:r>
          </w:p>
        </w:tc>
      </w:tr>
      <w:tr>
        <w:trPr>
          <w:trHeight w:val="216"/>
        </w:trPr>
        <w:tc>
          <w:tcPr>
            <w:tcW w:w="7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210"/>
              <w:spacing w:after="0"/>
              <w:rPr>
                <w:sz w:val="20"/>
                <w:szCs w:val="20"/>
                <w:color w:val="auto"/>
              </w:rPr>
            </w:pPr>
            <w:r>
              <w:rPr>
                <w:rFonts w:ascii="Arial" w:cs="Arial" w:eastAsia="Arial" w:hAnsi="Arial"/>
                <w:sz w:val="18"/>
                <w:szCs w:val="18"/>
                <w:color w:val="auto"/>
                <w:w w:val="88"/>
              </w:rPr>
              <w:t>Ended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88"/>
              </w:rPr>
              <w:t>Ended</w:t>
            </w: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8"/>
                <w:szCs w:val="18"/>
                <w:color w:val="auto"/>
                <w:w w:val="88"/>
              </w:rPr>
              <w:t>September 30, 2023</w:t>
            </w:r>
          </w:p>
        </w:tc>
        <w:tc>
          <w:tcPr>
            <w:tcW w:w="120" w:type="dxa"/>
            <w:vAlign w:val="bottom"/>
          </w:tcPr>
          <w:p>
            <w:pPr>
              <w:spacing w:after="0"/>
              <w:rPr>
                <w:sz w:val="20"/>
                <w:szCs w:val="20"/>
                <w:color w:val="auto"/>
              </w:rPr>
            </w:pPr>
          </w:p>
        </w:tc>
        <w:tc>
          <w:tcPr>
            <w:tcW w:w="160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8"/>
                <w:szCs w:val="18"/>
                <w:color w:val="auto"/>
                <w:w w:val="88"/>
              </w:rPr>
              <w:t>September 30, 2022</w:t>
            </w:r>
          </w:p>
        </w:tc>
      </w:tr>
      <w:tr>
        <w:trPr>
          <w:trHeight w:val="209"/>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Weighted average remaining lease term- operating leases (in years)</w:t>
            </w:r>
          </w:p>
        </w:tc>
        <w:tc>
          <w:tcPr>
            <w:tcW w:w="160" w:type="dxa"/>
            <w:vAlign w:val="bottom"/>
          </w:tcPr>
          <w:p>
            <w:pPr>
              <w:spacing w:after="0"/>
              <w:rPr>
                <w:sz w:val="18"/>
                <w:szCs w:val="18"/>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4.7</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 operating leases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634"/>
        </w:trPr>
        <w:tc>
          <w:tcPr>
            <w:tcW w:w="7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center"/>
              <w:ind w:right="230"/>
              <w:spacing w:after="0"/>
              <w:rPr>
                <w:sz w:val="20"/>
                <w:szCs w:val="20"/>
                <w:color w:val="auto"/>
              </w:rPr>
            </w:pPr>
            <w:r>
              <w:rPr>
                <w:rFonts w:ascii="Arial" w:cs="Arial" w:eastAsia="Arial" w:hAnsi="Arial"/>
                <w:sz w:val="18"/>
                <w:szCs w:val="18"/>
                <w:color w:val="auto"/>
                <w:w w:val="91"/>
              </w:rPr>
              <w:t>At or For the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93"/>
              </w:rPr>
              <w:t>At or For the</w:t>
            </w:r>
          </w:p>
        </w:tc>
      </w:tr>
      <w:tr>
        <w:trPr>
          <w:trHeight w:val="216"/>
        </w:trPr>
        <w:tc>
          <w:tcPr>
            <w:tcW w:w="7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230"/>
              <w:spacing w:after="0"/>
              <w:rPr>
                <w:sz w:val="20"/>
                <w:szCs w:val="20"/>
                <w:color w:val="auto"/>
              </w:rPr>
            </w:pPr>
            <w:r>
              <w:rPr>
                <w:rFonts w:ascii="Arial" w:cs="Arial" w:eastAsia="Arial" w:hAnsi="Arial"/>
                <w:sz w:val="18"/>
                <w:szCs w:val="18"/>
                <w:color w:val="auto"/>
                <w:w w:val="94"/>
              </w:rPr>
              <w:t>Nine Months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92"/>
              </w:rPr>
              <w:t>Nine Months</w:t>
            </w:r>
          </w:p>
        </w:tc>
      </w:tr>
      <w:tr>
        <w:trPr>
          <w:trHeight w:val="216"/>
        </w:trPr>
        <w:tc>
          <w:tcPr>
            <w:tcW w:w="7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210"/>
              <w:spacing w:after="0"/>
              <w:rPr>
                <w:sz w:val="20"/>
                <w:szCs w:val="20"/>
                <w:color w:val="auto"/>
              </w:rPr>
            </w:pPr>
            <w:r>
              <w:rPr>
                <w:rFonts w:ascii="Arial" w:cs="Arial" w:eastAsia="Arial" w:hAnsi="Arial"/>
                <w:sz w:val="18"/>
                <w:szCs w:val="18"/>
                <w:color w:val="auto"/>
                <w:w w:val="88"/>
              </w:rPr>
              <w:t>Ended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88"/>
              </w:rPr>
              <w:t>Ended</w:t>
            </w: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8"/>
                <w:szCs w:val="18"/>
                <w:color w:val="auto"/>
                <w:w w:val="88"/>
              </w:rPr>
              <w:t>September 30, 2023</w:t>
            </w:r>
          </w:p>
        </w:tc>
        <w:tc>
          <w:tcPr>
            <w:tcW w:w="120" w:type="dxa"/>
            <w:vAlign w:val="bottom"/>
          </w:tcPr>
          <w:p>
            <w:pPr>
              <w:spacing w:after="0"/>
              <w:rPr>
                <w:sz w:val="20"/>
                <w:szCs w:val="20"/>
                <w:color w:val="auto"/>
              </w:rPr>
            </w:pPr>
          </w:p>
        </w:tc>
        <w:tc>
          <w:tcPr>
            <w:tcW w:w="160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8"/>
                <w:szCs w:val="18"/>
                <w:color w:val="auto"/>
                <w:w w:val="88"/>
              </w:rPr>
              <w:t>September 30, 2022</w:t>
            </w:r>
          </w:p>
        </w:tc>
      </w:tr>
      <w:tr>
        <w:trPr>
          <w:trHeight w:val="209"/>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1,063</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Weighted average remaining lease term- operating leases (in years)</w:t>
            </w:r>
          </w:p>
        </w:tc>
        <w:tc>
          <w:tcPr>
            <w:tcW w:w="160" w:type="dxa"/>
            <w:vAlign w:val="bottom"/>
          </w:tcPr>
          <w:p>
            <w:pPr>
              <w:spacing w:after="0"/>
              <w:rPr>
                <w:sz w:val="18"/>
                <w:szCs w:val="18"/>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4.7</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 operating leases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leases typically do not contain a discount rate implicit in the lease contract. As an alternative, the discount rate used in determining the lease liability for each individual lease was the FHLB of Des Moines’ fixed-advance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at September 30, 2023 for future periods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6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2024</w:t>
            </w:r>
          </w:p>
        </w:tc>
        <w:tc>
          <w:tcPr>
            <w:tcW w:w="6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1,933</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1,628</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2026</w:t>
            </w:r>
          </w:p>
        </w:tc>
        <w:tc>
          <w:tcPr>
            <w:tcW w:w="6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1,475</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6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Thereafter</w:t>
            </w:r>
          </w:p>
        </w:tc>
        <w:tc>
          <w:tcPr>
            <w:tcW w:w="60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1,383</w:t>
            </w:r>
          </w:p>
        </w:tc>
      </w:tr>
      <w:tr>
        <w:trPr>
          <w:trHeight w:val="210"/>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6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8,075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Less imputed interest</w:t>
            </w:r>
          </w:p>
        </w:tc>
        <w:tc>
          <w:tcPr>
            <w:tcW w:w="60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r>
      <w:tr>
        <w:trPr>
          <w:trHeight w:val="250"/>
        </w:trPr>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7,269</w:t>
            </w:r>
          </w:p>
        </w:tc>
      </w:tr>
      <w:tr>
        <w:trPr>
          <w:trHeight w:val="413"/>
        </w:trPr>
        <w:tc>
          <w:tcPr>
            <w:tcW w:w="3600" w:type="dxa"/>
            <w:vAlign w:val="bottom"/>
            <w:tcBorders>
              <w:top w:val="single" w:sz="8" w:color="CCEEFF"/>
            </w:tcBorders>
          </w:tcPr>
          <w:p>
            <w:pPr>
              <w:spacing w:after="0"/>
              <w:rPr>
                <w:sz w:val="24"/>
                <w:szCs w:val="24"/>
                <w:color w:val="auto"/>
              </w:rPr>
            </w:pPr>
          </w:p>
        </w:tc>
        <w:tc>
          <w:tcPr>
            <w:tcW w:w="6080" w:type="dxa"/>
            <w:vAlign w:val="bottom"/>
            <w:tcBorders>
              <w:top w:val="single" w:sz="8" w:color="CCEEFF"/>
            </w:tcBorders>
          </w:tcPr>
          <w:p>
            <w:pPr>
              <w:jc w:val="right"/>
              <w:ind w:right="3870"/>
              <w:spacing w:after="0"/>
              <w:rPr>
                <w:sz w:val="20"/>
                <w:szCs w:val="20"/>
                <w:color w:val="auto"/>
              </w:rPr>
            </w:pPr>
            <w:r>
              <w:rPr>
                <w:rFonts w:ascii="Arial" w:cs="Arial" w:eastAsia="Arial" w:hAnsi="Arial"/>
                <w:sz w:val="18"/>
                <w:szCs w:val="18"/>
                <w:color w:val="auto"/>
              </w:rPr>
              <w:t>32</w:t>
            </w:r>
          </w:p>
        </w:tc>
        <w:tc>
          <w:tcPr>
            <w:tcW w:w="5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115"/>
        </w:trPr>
        <w:tc>
          <w:tcPr>
            <w:tcW w:w="3600" w:type="dxa"/>
            <w:vAlign w:val="bottom"/>
            <w:tcBorders>
              <w:bottom w:val="single" w:sz="8" w:color="auto"/>
            </w:tcBorders>
          </w:tcPr>
          <w:p>
            <w:pPr>
              <w:spacing w:after="0"/>
              <w:rPr>
                <w:sz w:val="10"/>
                <w:szCs w:val="10"/>
                <w:color w:val="auto"/>
              </w:rPr>
            </w:pPr>
          </w:p>
        </w:tc>
        <w:tc>
          <w:tcPr>
            <w:tcW w:w="60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OTHER REAL ESTATE OWNED (</w:t>
      </w:r>
      <w:r>
        <w:rPr>
          <w:rFonts w:ascii="Arial" w:cs="Arial" w:eastAsia="Arial" w:hAnsi="Arial"/>
          <w:sz w:val="18"/>
          <w:szCs w:val="18"/>
          <w:color w:val="auto"/>
        </w:rPr>
        <w:t>“</w:t>
      </w:r>
      <w:r>
        <w:rPr>
          <w:rFonts w:ascii="Arial" w:cs="Arial" w:eastAsia="Arial" w:hAnsi="Arial"/>
          <w:sz w:val="18"/>
          <w:szCs w:val="18"/>
          <w:b w:val="1"/>
          <w:bCs w:val="1"/>
          <w:color w:val="auto"/>
        </w:rPr>
        <w:t>OREO</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related to OREO at or for the three and nine months ended September 30, 2023 and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auto"/>
                <w:w w:val="95"/>
              </w:rPr>
              <w:t>At or For the Three Months Ended</w:t>
            </w:r>
          </w:p>
        </w:tc>
        <w:tc>
          <w:tcPr>
            <w:tcW w:w="100" w:type="dxa"/>
            <w:vAlign w:val="bottom"/>
          </w:tcPr>
          <w:p>
            <w:pPr>
              <w:spacing w:after="0"/>
              <w:rPr>
                <w:sz w:val="18"/>
                <w:szCs w:val="18"/>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auto"/>
                <w:w w:val="95"/>
              </w:rPr>
              <w:t>At or For the Nine Months Ended</w:t>
            </w:r>
          </w:p>
        </w:tc>
      </w:tr>
      <w:tr>
        <w:trPr>
          <w:trHeight w:val="230"/>
        </w:trPr>
        <w:tc>
          <w:tcPr>
            <w:tcW w:w="5980" w:type="dxa"/>
            <w:vAlign w:val="bottom"/>
          </w:tcPr>
          <w:p>
            <w:pPr>
              <w:spacing w:after="0"/>
              <w:rPr>
                <w:sz w:val="20"/>
                <w:szCs w:val="20"/>
                <w:color w:val="auto"/>
              </w:rPr>
            </w:pPr>
          </w:p>
        </w:tc>
        <w:tc>
          <w:tcPr>
            <w:tcW w:w="218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color w:val="auto"/>
              </w:rPr>
              <w:t>September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September 30,</w:t>
            </w:r>
          </w:p>
        </w:tc>
      </w:tr>
      <w:tr>
        <w:trPr>
          <w:trHeight w:val="209"/>
        </w:trPr>
        <w:tc>
          <w:tcPr>
            <w:tcW w:w="5980" w:type="dxa"/>
            <w:vAlign w:val="bottom"/>
          </w:tcPr>
          <w:p>
            <w:pPr>
              <w:spacing w:after="0"/>
              <w:rPr>
                <w:sz w:val="18"/>
                <w:szCs w:val="18"/>
                <w:color w:val="auto"/>
              </w:rPr>
            </w:pPr>
          </w:p>
        </w:tc>
        <w:tc>
          <w:tcPr>
            <w:tcW w:w="8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9"/>
              </w:rPr>
              <w:t>2023</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570</w:t>
            </w: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145</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Additions</w:t>
            </w:r>
          </w:p>
        </w:tc>
        <w:tc>
          <w:tcPr>
            <w:tcW w:w="800" w:type="dxa"/>
            <w:vAlign w:val="bottom"/>
          </w:tcPr>
          <w:p>
            <w:pPr>
              <w:spacing w:after="0"/>
              <w:rPr>
                <w:sz w:val="18"/>
                <w:szCs w:val="18"/>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transferred to OREO</w:t>
            </w:r>
          </w:p>
        </w:tc>
        <w:tc>
          <w:tcPr>
            <w:tcW w:w="8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Ending balance</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99"/>
              </w:rPr>
              <w:t>570</w:t>
            </w:r>
          </w:p>
        </w:tc>
        <w:tc>
          <w:tcPr>
            <w:tcW w:w="9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145</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0"/>
        </w:trPr>
        <w:tc>
          <w:tcPr>
            <w:tcW w:w="5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one OREO property (a closed branch in Centralia, Washington) at September 30, 2023 and one at September 30, 2022. There were no OREO holding costs for the three and nine months ended September 30, 2023 and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$317,000 and $511,000 in portfolio mortgage loans collateralized by residential real estate in the process of foreclosure at September 30, 2023 and at December 31, 2022, respectively.</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DEPOSITS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Deposits are summarized as follows at the dates indicated:</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8"/>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w w:val="91"/>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r>
      <w:tr>
        <w:trPr>
          <w:trHeight w:val="230"/>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checking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643,670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537,938</w:t>
            </w:r>
          </w:p>
        </w:tc>
      </w:tr>
      <w:tr>
        <w:trPr>
          <w:trHeight w:val="216"/>
        </w:trPr>
        <w:tc>
          <w:tcPr>
            <w:tcW w:w="8000" w:type="dxa"/>
            <w:vAlign w:val="bottom"/>
          </w:tcPr>
          <w:p>
            <w:pPr>
              <w:spacing w:after="0" w:line="216" w:lineRule="exact"/>
              <w:rPr>
                <w:sz w:val="20"/>
                <w:szCs w:val="20"/>
                <w:color w:val="auto"/>
              </w:rPr>
            </w:pPr>
            <w:r>
              <w:rPr>
                <w:rFonts w:ascii="Arial" w:cs="Arial" w:eastAsia="Arial" w:hAnsi="Arial"/>
                <w:sz w:val="16"/>
                <w:szCs w:val="16"/>
                <w:color w:val="auto"/>
              </w:rPr>
              <w:t xml:space="preserve">Interest-bearing checking </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219,469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135,127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Savings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157,901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134,358</w:t>
            </w:r>
          </w:p>
        </w:tc>
      </w:tr>
      <w:tr>
        <w:trPr>
          <w:trHeight w:val="216"/>
        </w:trPr>
        <w:tc>
          <w:tcPr>
            <w:tcW w:w="8000" w:type="dxa"/>
            <w:vAlign w:val="bottom"/>
          </w:tcPr>
          <w:p>
            <w:pPr>
              <w:spacing w:after="0" w:line="216" w:lineRule="exact"/>
              <w:rPr>
                <w:sz w:val="20"/>
                <w:szCs w:val="20"/>
                <w:color w:val="auto"/>
              </w:rPr>
            </w:pPr>
            <w:r>
              <w:rPr>
                <w:rFonts w:ascii="Arial" w:cs="Arial" w:eastAsia="Arial" w:hAnsi="Arial"/>
                <w:sz w:val="16"/>
                <w:szCs w:val="16"/>
                <w:color w:val="auto"/>
              </w:rPr>
              <w:t xml:space="preserve">Money market </w:t>
            </w:r>
            <w:r>
              <w:rPr>
                <w:rFonts w:ascii="Arial" w:cs="Arial" w:eastAsia="Arial" w:hAnsi="Arial"/>
                <w:sz w:val="25"/>
                <w:szCs w:val="25"/>
                <w:color w:val="auto"/>
                <w:vertAlign w:val="superscript"/>
              </w:rPr>
              <w:t>(2)</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389,962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574,290</w:t>
            </w:r>
          </w:p>
        </w:tc>
      </w:tr>
      <w:tr>
        <w:trPr>
          <w:trHeight w:val="216"/>
        </w:trPr>
        <w:tc>
          <w:tcPr>
            <w:tcW w:w="80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Certificates of deposit less than $100,000 </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527,032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440,785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Certificates of deposit of $100,000 through $250,000</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406,545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195,447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 of $250,000 and over</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83,377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93,560</w:t>
            </w:r>
          </w:p>
        </w:tc>
      </w:tr>
      <w:tr>
        <w:trPr>
          <w:trHeight w:val="216"/>
        </w:trPr>
        <w:tc>
          <w:tcPr>
            <w:tcW w:w="8000" w:type="dxa"/>
            <w:vAlign w:val="bottom"/>
          </w:tcPr>
          <w:p>
            <w:pPr>
              <w:spacing w:after="0" w:line="216" w:lineRule="exact"/>
              <w:rPr>
                <w:sz w:val="20"/>
                <w:szCs w:val="20"/>
                <w:color w:val="auto"/>
              </w:rPr>
            </w:pPr>
            <w:r>
              <w:rPr>
                <w:rFonts w:ascii="Arial" w:cs="Arial" w:eastAsia="Arial" w:hAnsi="Arial"/>
                <w:sz w:val="16"/>
                <w:szCs w:val="16"/>
                <w:color w:val="auto"/>
              </w:rPr>
              <w:t xml:space="preserve">Escrow accounts related to mortgages serviced </w:t>
            </w:r>
            <w:r>
              <w:rPr>
                <w:rFonts w:ascii="Arial" w:cs="Arial" w:eastAsia="Arial" w:hAnsi="Arial"/>
                <w:sz w:val="25"/>
                <w:szCs w:val="25"/>
                <w:color w:val="auto"/>
                <w:vertAlign w:val="superscript"/>
              </w:rPr>
              <w:t>(4)</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26,488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16,236</w:t>
            </w: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2,454,444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2,127,741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30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$50.1 million and $2.3 million of brokered deposits at September 30, 2023 and December 31, 2022, respectively.</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$51,000 and $59.7 million of brokered deposits at September 30, 2023 and December 31, 2022, respectively.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$323.3 million and $332.0 million of brokered deposits at September 30, 2023 and December 31, 2022, respectively.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Noninterest-bearing accounts.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Scheduled maturities of time deposits at September 30, 2023 for future periods ending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Maturing in 2023</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338,756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Maturing in 2024</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483,059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Maturing in 2025</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128,932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Maturing in 2026</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44,517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Maturing in 2027</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20,739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951</w:t>
            </w:r>
          </w:p>
        </w:tc>
      </w:tr>
      <w:tr>
        <w:trPr>
          <w:trHeight w:val="24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1,016,954</w:t>
            </w:r>
          </w:p>
        </w:tc>
      </w:tr>
      <w:tr>
        <w:trPr>
          <w:trHeight w:val="413"/>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Interest expense by deposit category for the periods indicated is as follows:</w:t>
            </w:r>
          </w:p>
        </w:tc>
        <w:tc>
          <w:tcPr>
            <w:tcW w:w="24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418"/>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4"/>
          </w:tcPr>
          <w:p>
            <w:pPr>
              <w:jc w:val="right"/>
              <w:ind w:right="51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jc w:val="right"/>
              <w:ind w:right="510"/>
              <w:spacing w:after="0"/>
              <w:rPr>
                <w:sz w:val="20"/>
                <w:szCs w:val="20"/>
                <w:color w:val="auto"/>
              </w:rPr>
            </w:pPr>
            <w:r>
              <w:rPr>
                <w:rFonts w:ascii="Arial" w:cs="Arial" w:eastAsia="Arial" w:hAnsi="Arial"/>
                <w:sz w:val="18"/>
                <w:szCs w:val="18"/>
                <w:color w:val="auto"/>
              </w:rPr>
              <w:t>Nine Months Ended</w:t>
            </w:r>
          </w:p>
        </w:tc>
      </w:tr>
      <w:tr>
        <w:trPr>
          <w:trHeight w:val="230"/>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710"/>
              <w:spacing w:after="0"/>
              <w:rPr>
                <w:sz w:val="20"/>
                <w:szCs w:val="20"/>
                <w:color w:val="auto"/>
              </w:rPr>
            </w:pPr>
            <w:r>
              <w:rPr>
                <w:rFonts w:ascii="Arial" w:cs="Arial" w:eastAsia="Arial" w:hAnsi="Arial"/>
                <w:sz w:val="18"/>
                <w:szCs w:val="18"/>
                <w:color w:val="auto"/>
              </w:rPr>
              <w:t>September 30,</w:t>
            </w: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checking</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Savings and money market</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4,071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2,397</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8,290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19,514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2,688</w:t>
            </w:r>
          </w:p>
        </w:tc>
      </w:tr>
      <w:tr>
        <w:trPr>
          <w:trHeight w:val="209"/>
        </w:trPr>
        <w:tc>
          <w:tcPr>
            <w:tcW w:w="598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10,462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2,596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24,696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5,438</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color w:val="auto"/>
        </w:rPr>
        <w:t>–</w:t>
      </w:r>
      <w:r>
        <w:rPr>
          <w:rFonts w:ascii="Arial" w:cs="Arial" w:eastAsia="Arial" w:hAnsi="Arial"/>
          <w:sz w:val="18"/>
          <w:szCs w:val="18"/>
          <w:b w:val="1"/>
          <w:bCs w:val="1"/>
          <w:color w:val="auto"/>
        </w:rPr>
        <w:t xml:space="preserve"> COMMITMENTS AND CONTINGENCIES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 xml:space="preserve">Commitments </w:t>
      </w:r>
      <w:r>
        <w:rPr>
          <w:rFonts w:ascii="Arial" w:cs="Arial" w:eastAsia="Arial" w:hAnsi="Arial"/>
          <w:sz w:val="18"/>
          <w:szCs w:val="18"/>
          <w:color w:val="auto"/>
        </w:rPr>
        <w:t>– The Company is party to financial instruments with off-balance sheet risk in the normal course of business to meet the financing needs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customers. These financial instruments include commitments to extend credit. These instruments involve, to varying degrees, elements of credit risk in excess of the amount recognized on the Consolidated Balance Sheets.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is represented by the contractual amount of those instruments. The Company uses the same credit policies in making commitments and conditional obligations as it does for on-balance sheet instruments.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The following table provides a summary of the Company’s commitments at the dates indicated:</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8"/>
        </w:trPr>
        <w:tc>
          <w:tcPr>
            <w:tcW w:w="8000" w:type="dxa"/>
            <w:vAlign w:val="bottom"/>
          </w:tcPr>
          <w:p>
            <w:pPr>
              <w:spacing w:after="0"/>
              <w:rPr>
                <w:sz w:val="20"/>
                <w:szCs w:val="20"/>
                <w:color w:val="auto"/>
              </w:rPr>
            </w:pPr>
            <w:r>
              <w:rPr>
                <w:rFonts w:ascii="Arial" w:cs="Arial" w:eastAsia="Arial" w:hAnsi="Arial"/>
                <w:sz w:val="18"/>
                <w:szCs w:val="18"/>
                <w:b w:val="1"/>
                <w:bCs w:val="1"/>
                <w:color w:val="auto"/>
              </w:rPr>
              <w:t>COMMITMENTS TO EXTEND CREDIT</w:t>
            </w:r>
          </w:p>
        </w:tc>
        <w:tc>
          <w:tcPr>
            <w:tcW w:w="160" w:type="dxa"/>
            <w:vAlign w:val="bottom"/>
          </w:tcPr>
          <w:p>
            <w:pPr>
              <w:spacing w:after="0"/>
              <w:rPr>
                <w:sz w:val="24"/>
                <w:szCs w:val="24"/>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w w:val="91"/>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color w:val="auto"/>
              </w:rPr>
              <w:t>REAL ESTATE LOANS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Construction and development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161,247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201,708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One-to-four-family (includes locks for saleable loans)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10,713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Home equity</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96,548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77,566</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Multi-family</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2,999</w:t>
            </w: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Total real estate loans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296,205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294,246</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CONSUMER LOANS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30,393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39,406</w:t>
            </w:r>
          </w:p>
        </w:tc>
      </w:tr>
      <w:tr>
        <w:trPr>
          <w:trHeight w:val="209"/>
        </w:trPr>
        <w:tc>
          <w:tcPr>
            <w:tcW w:w="8000" w:type="dxa"/>
            <w:vAlign w:val="bottom"/>
          </w:tcPr>
          <w:p>
            <w:pPr>
              <w:spacing w:after="0"/>
              <w:rPr>
                <w:sz w:val="20"/>
                <w:szCs w:val="20"/>
                <w:color w:val="auto"/>
              </w:rPr>
            </w:pPr>
            <w:r>
              <w:rPr>
                <w:rFonts w:ascii="Arial" w:cs="Arial" w:eastAsia="Arial" w:hAnsi="Arial"/>
                <w:sz w:val="18"/>
                <w:szCs w:val="18"/>
                <w:b w:val="1"/>
                <w:bCs w:val="1"/>
                <w:color w:val="auto"/>
              </w:rPr>
              <w:t>COMMERCIAL BUSINESS LOANS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164,727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150,109</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Warehouse lending</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57,158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64,781</w:t>
            </w:r>
          </w:p>
        </w:tc>
      </w:tr>
      <w:tr>
        <w:trPr>
          <w:trHeight w:val="209"/>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commercial business loans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221,885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214,890</w:t>
            </w:r>
          </w:p>
        </w:tc>
      </w:tr>
      <w:tr>
        <w:trPr>
          <w:trHeight w:val="209"/>
        </w:trPr>
        <w:tc>
          <w:tcPr>
            <w:tcW w:w="8000" w:type="dxa"/>
            <w:vAlign w:val="bottom"/>
          </w:tcPr>
          <w:p>
            <w:pPr>
              <w:ind w:left="500"/>
              <w:spacing w:after="0"/>
              <w:rPr>
                <w:sz w:val="20"/>
                <w:szCs w:val="20"/>
                <w:color w:val="auto"/>
              </w:rPr>
            </w:pPr>
            <w:r>
              <w:rPr>
                <w:rFonts w:ascii="Arial" w:cs="Arial" w:eastAsia="Arial" w:hAnsi="Arial"/>
                <w:sz w:val="18"/>
                <w:szCs w:val="18"/>
                <w:color w:val="auto"/>
              </w:rPr>
              <w:t>Total commitments to extend credit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548,483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548,542</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Commitments to extend credit are agreements to lend to a customer provided there is no violation of any condition established in the contract. Since many of the commitments are expected to expire without being drawn upon, the amount of the total commitments does not necessarily represent future cash requirements. The Company evaluates each customer’s creditworthiness on a case-by-case basis. The amount of collateral obtained, if deemed necessary by the Company upon an extension of credit, is based on management’s credit evaluation of the party. Collateral held varies, but may include accounts receivable, inventory, property and equipment, residential real estate, and income-producing commercial properties.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Unfunded commitments under commercial lines of credit, revolving credit lines, and overdraft protection agreements are commitments for possible future extensions of credit to existing customers. These lines of credit usually do not contain a specified maturity date and ultimately may not be drawn upon to the total extent to which the Company is committed. The Company’s ACL – unfunded loan commitments at September 30, 2023 and December 31, 2022 was $1.8 million and $2.5 million, respectively. The decline in the ACL was due to the Company recording a recovery from the ACL – unfunded loan commitments of $745,000 for the nine months ended September 30, 2023, as compared to a provision for credit losses – unfunded loan commitments of $180,000 for the nine months ended September 30, 2022. The Company recorded a recovery from the ACL – unfunded loan commitments of $149,000 and $305,000 for the three months ended September 30, 2023 and September 30, 2022,respectively, primarily attributable to a decline in unfunded construction loan commitments over the periods.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also sells one-to-four-family loans to the FHLB of Des Moines that require a limited level of recourse if the loans default and exceed a certain loss exposure. Specific to that recourse, the FHLB of Des Moines established a first loss account (“FLA”) related to the loans and required a credit enhancement (“CE”) obligation by the Bank to be utilized after the FLA is used. Based on loans sold through September 30, 2023, total loans sold to the FHLB of Des Moines were $9.5 million with the FLA totaling $581,000 and the CE obligation at $389,000 or 4.1% of the loans outstanding. Management has established a holdback of 10% of the outstanding CE, or $39,000, which is a part of the off-balance sheet holdback for loans sold. At both September 30, 2023 and December 31, 2022, there were no loans sold to the FHLB of Des Moines that were greater than 90 days past their contractual payment due date.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Contingent liabilities for loans held for sale </w:t>
      </w:r>
      <w:r>
        <w:rPr>
          <w:rFonts w:ascii="Arial" w:cs="Arial" w:eastAsia="Arial" w:hAnsi="Arial"/>
          <w:sz w:val="16"/>
          <w:szCs w:val="16"/>
          <w:color w:val="auto"/>
        </w:rPr>
        <w:t>– In the ordinary course of business, loans are sold with limited recourse against the Company and may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subsequently be repurchased due to defects that occurred during the origination of the loan. The defects are categorized as documentation errors, underwriting errors, early payoff, early payment defaults, breach of representation or warranty, servicing errors, and/or fraud. When a loan sold to an investor without recourse fails to perform according to its contractual terms, the investor will typically review the loan file to determine whether defects in the origination process occurred. If a defect is identified, the Company may be required to either repurchase the loan or indemnify the investor for losses sustained. If there are no such defects, the Company has no commitment to repurchase the loan. The Company has recorded a holdback reserve of $2.1 million and $2.3 million to cover loss exposure related to these guarantees for one-to-four-family loans sold into the secondary market at September 30, 2023 and December 31, 2022, respectively, which is included in “Other liabilities” on the Consolidated Balance Sheets.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entered into a severance agreement with its Chief Executive Officer (“CEO”). The severance agreement, subject to certain requirements, generally includes a lump sum payment to the CEO equal to 24 months of base compensation in the event his employment is involuntarily terminated, other than for cause or the executive terminates his employment with good reason, as defined in the severance agreement.</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entered into change of control agreements with its executives and select key personnel. The change of control agreements, subject to certain requirements, generally remain in effect until canceled by either party upon at least 24 months prior written notice. Under the change of control agreements, the executive generally will be entitled to a change of control payment from the Company if the executive is involuntarily terminated within six months preceding or 12 months after a change in control (as defined in the change of control agreements). In such an event, the executives would each be entitled to receive a cash payment in an amount equal to 12 months of their then current salary, subject to certain requirements in the change of control agreements.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nature of our activities, the Company is subject to various pending and threatened legal actions, which arise in the ordinary course of business. From time to time, subordination liens may create litigation which requires us to defend our lien rights. In the opinion of management, liabilities arising from these claims, if any, will not have a material effect on our financial position. The Company had no material pending legal actions at September 30, 2023.</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color w:val="auto"/>
        </w:rPr>
        <w:t>–</w:t>
      </w:r>
      <w:r>
        <w:rPr>
          <w:rFonts w:ascii="Arial" w:cs="Arial" w:eastAsia="Arial" w:hAnsi="Arial"/>
          <w:sz w:val="18"/>
          <w:szCs w:val="18"/>
          <w:b w:val="1"/>
          <w:bCs w:val="1"/>
          <w:color w:val="auto"/>
        </w:rPr>
        <w:t xml:space="preserve"> FAIR VALUE MEASUREMENTS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 determines fair value based on the requirements established in Accounting Standards Codification (“ASC”) </w:t>
      </w:r>
      <w:r>
        <w:rPr>
          <w:rFonts w:ascii="Arial" w:cs="Arial" w:eastAsia="Arial" w:hAnsi="Arial"/>
          <w:sz w:val="17"/>
          <w:szCs w:val="17"/>
          <w:i w:val="1"/>
          <w:iCs w:val="1"/>
          <w:color w:val="auto"/>
        </w:rPr>
        <w:t>Topic 820</w:t>
      </w:r>
      <w:r>
        <w:rPr>
          <w:rFonts w:ascii="Arial" w:cs="Arial" w:eastAsia="Arial" w:hAnsi="Arial"/>
          <w:sz w:val="17"/>
          <w:szCs w:val="17"/>
          <w:color w:val="auto"/>
        </w:rPr>
        <w:t xml:space="preserve">,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w:t>
      </w:r>
      <w:r>
        <w:rPr>
          <w:rFonts w:ascii="Arial" w:cs="Arial" w:eastAsia="Arial" w:hAnsi="Arial"/>
          <w:sz w:val="17"/>
          <w:szCs w:val="17"/>
          <w:color w:val="auto"/>
        </w:rPr>
        <w:t>which provides a framework for measuring fair value in accordance with U.S. GAAP and requires an entity to maximize the use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observable inputs and minimize the use of unobservable inputs when measuring fair value. ASC </w:t>
      </w:r>
      <w:r>
        <w:rPr>
          <w:rFonts w:ascii="Arial" w:cs="Arial" w:eastAsia="Arial" w:hAnsi="Arial"/>
          <w:sz w:val="17"/>
          <w:szCs w:val="17"/>
          <w:i w:val="1"/>
          <w:iCs w:val="1"/>
          <w:color w:val="auto"/>
        </w:rPr>
        <w:t>Topic 820</w:t>
      </w:r>
      <w:r>
        <w:rPr>
          <w:rFonts w:ascii="Arial" w:cs="Arial" w:eastAsia="Arial" w:hAnsi="Arial"/>
          <w:sz w:val="17"/>
          <w:szCs w:val="17"/>
          <w:color w:val="auto"/>
        </w:rPr>
        <w:t xml:space="preserve"> defines fair value as the exit price, or the price that would be received for an asset or paid to transfer a liability, in the principal or most advantageous market for the asset or liability in an orderly transaction between market participants on the measurement date under current market conditions.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describe the levels of inputs that may be used to measure fair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Inputs to the valuation methodology are quoted prices (unadjusted) for identical assets or liabilities in active markets.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to the valuation methodology include quoted prices for similar assets and liabilities in active markets, and inputs that are observable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asset or liability, either directly or indirectly, for substantially the full term of the financial instrument.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Inputs to the valuation methodology are unobservable and significant to the fair value measurement.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 of certain assets and liabilities on a recurring and nonrecurring basis: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Securities </w:t>
      </w:r>
      <w:r>
        <w:rPr>
          <w:rFonts w:ascii="Arial" w:cs="Arial" w:eastAsia="Arial" w:hAnsi="Arial"/>
          <w:sz w:val="18"/>
          <w:szCs w:val="18"/>
          <w:color w:val="auto"/>
        </w:rPr>
        <w:t>– The fair value of securities available-for-sale are recorded on a recurring basis. The fair value of investments and mortgage-backed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provided by a third-party pricing service. These valuations are based on market data using pricing models that vary by asset class and incorporate available current trade, bid, and other market information, and for structured securities, cash flow, and loan performance data. The pricing processes utilize benchmark curves, benchmarking of similar securities, sector groupings, and matrix pricing. Option adjusted spread models are also used to assess the impact of changes in interest rates and to develop prepayment scenarios (Level 2). Transfers between the fair value hierarchy are determined through the third-party service provider which, from time to time will transfer between levels based on market conditions per the related security. All models and processes used consider market convention.</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Mortgage Loans Held for Sale </w:t>
      </w:r>
      <w:r>
        <w:rPr>
          <w:rFonts w:ascii="Arial" w:cs="Arial" w:eastAsia="Arial" w:hAnsi="Arial"/>
          <w:sz w:val="18"/>
          <w:szCs w:val="18"/>
          <w:color w:val="auto"/>
        </w:rPr>
        <w:t>– The fair value of loans held for sale reflects the value of commitments with investors and/or the relative price as delivered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a TBA mortgage-backed security (Level 2).</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Loans Receivable </w:t>
      </w:r>
      <w:r>
        <w:rPr>
          <w:rFonts w:ascii="Arial" w:cs="Arial" w:eastAsia="Arial" w:hAnsi="Arial"/>
          <w:sz w:val="17"/>
          <w:szCs w:val="17"/>
          <w:color w:val="auto"/>
        </w:rPr>
        <w:t>– Fair values are estimated for portfolios of loans with similar financial characteristics. Loans are segregated by type,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 real estate and consumer loans. Each loan category is further segregated by fixed and adjustable-rate loans. The fair value of loans is calculated by discounting expected cash flows at rates at which similar loans are currently being made. These amounts are discounted further by embedded probable losses expected to be realized in the portfolio. Certain residential mortgage loans were initially originated for sale and measured at fair value; after origination, the loans were transferred to loans held for investment. As of September 30, 2023 and December 31, 2022, there were $15.2 million and $14.0 million, respectively, in residential mortgage loans accounted for under the fair value option as they were previously transferred from held for sale, at fair value to loans held for investment. The aggregate unpaid principal balance of these loans was $17.1 million and $15.6 million as of September 30, 2023 and December 31, 2022, respectively. Gains and losses from changes in fair value for these loans are reported in earnings as a component of “Other noninterest income” on the Consolidated Statements of Income. For the three months ended September 30, 2023, the Company recorded a net decrease in fair value of $343,000, as compared to a net decrease in fair value of $816,000 for the three months ended September 30, 2022. For the nine months ended September 30, 2023, the Company recorded a net decrease in fair value of $285,000, as compared to a net decrease in fair value of $1.8 million for the nine months ended September 30, 2022. For loans originated as held for sale and transferred into loans held for investment, the fair value is determined based on quoted secondary market prices for similar loans (Level 2).</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Derivative Instruments </w:t>
      </w:r>
      <w:r>
        <w:rPr>
          <w:rFonts w:ascii="Arial" w:cs="Arial" w:eastAsia="Arial" w:hAnsi="Arial"/>
          <w:sz w:val="17"/>
          <w:szCs w:val="17"/>
          <w:color w:val="auto"/>
        </w:rPr>
        <w:t>– Fair values for derivative assets and liabilities are measured on a recurring basis. The primary use of derivative instruments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to the mortgage banking activities of the Company. The fair value of the interest rate lock commitments and forward sales commitments are estimated using quoted or published market prices for similar instruments, adjusted for factors such as pull-though rate assumptions based on historical information, where appropriate. TBA mortgage-backed securities are fair valued on similar contracts in active markets (Level 2), while locks and forwards with customers and investors are fair valued using similar contracts in the market and changes in the market interest rates (Level 2 and 3). Derivative instruments not related to mortgage banking activities include interest rate swap agreements. The fair values of interest rate swap agreements are based on valuation models using observable market data as of the measurement date (Level 2). The Company’s derivatives are traded in an over-the-counter market where quoted market prices are not always available. Therefore, the fair values of derivatives are determined using quantitative models that utilize multiple market inputs. The inputs will vary based on the type of derivative, but could include interest rates, prices and indices to generate continuous yield or pricing curves, prepayment rates, and volatility factors to value the position. The majority of the market inputs we use are actively quoted and can be validated through external sources, including market transactions and third-party pricing services. The fair values of all interest rate swaps are determined from third-party pricing services without adjustment.</w:t>
      </w:r>
    </w:p>
    <w:p>
      <w:pPr>
        <w:spacing w:after="0" w:line="1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Other Real Estate Owned </w:t>
      </w:r>
      <w:r>
        <w:rPr>
          <w:rFonts w:ascii="Arial" w:cs="Arial" w:eastAsia="Arial" w:hAnsi="Arial"/>
          <w:sz w:val="16"/>
          <w:szCs w:val="16"/>
          <w:color w:val="auto"/>
        </w:rPr>
        <w:t>– Fair value adjustments to OREO are recorded at the lower of carrying amount of the loan or fair value of the collateral 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selling costs. Any write-downs based on the asset’s fair value at the date of acquisition are charged to the ACL for loans. After foreclosure, management periodically performs valuations such that the real estate is carried at the lower of its new cost basis or fair value, net of estimated costs to sell (Level 3).</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Loans Individually Evaluated </w:t>
      </w:r>
      <w:r>
        <w:rPr>
          <w:rFonts w:ascii="Arial" w:cs="Arial" w:eastAsia="Arial" w:hAnsi="Arial"/>
          <w:sz w:val="16"/>
          <w:szCs w:val="16"/>
          <w:color w:val="auto"/>
        </w:rPr>
        <w:t>– Expected credit losses for loans evaluated individually are measured based on the present value of expected future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flows discounted at the loan’s original effective interest rate or when the Bank determines that foreclosure is probable, the expected credit loss is measured based on the fair value of the collateral as of the reporting date, less estimated selling costs, as applicable. As a practical expedient, the Bank measures the expected credit loss for a loan using the fair value of the collateral, if repayment is expected to be provided substantially through the operation or sale of the collateral when the borrower is experiencing financial difficulty based on the Bank’s assessment as of the reporting date. In both cases, if the fair value of the collateral is less than the amortized cost basis of the loan, the Bank will recognize an allowance as the difference between the fair value of the collateral, less costs to sell (if applicable) at the reporting date and the amortized cost basis of the loan. If the fair value of the collateral exceeds the amortized cost basis of the loan, any expected recovery added to the amortized cost basis will be limited to the amount previously charged-off by the subsequent changes in the expected credit losses for loans evaluated individually are included within the provision for credit losses in the same way the expected credit loss initially was recognized or as a reduction in the provision that would otherwise be reported (Level 3).</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Servicing Rights </w:t>
      </w:r>
      <w:r>
        <w:rPr>
          <w:rFonts w:ascii="Arial" w:cs="Arial" w:eastAsia="Arial" w:hAnsi="Arial"/>
          <w:sz w:val="18"/>
          <w:szCs w:val="18"/>
          <w:color w:val="auto"/>
        </w:rPr>
        <w:t>– The fair value of MSR is estimated using net present value of expected cash flows using a third-party model that incorporates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assumptions used in the industry to value such rights, adjusted for factors such as weighted average prepayments speeds based on historical information where appropriate (Level 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securities available-for-sale, mortgage loans held for sale, loans receivable, at fair value, and derivative assets and liabilities measured at fair value on a recurring basis at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b w:val="1"/>
                <w:bCs w:val="1"/>
                <w:color w:val="auto"/>
              </w:rPr>
              <w:t>Financial Assets</w:t>
            </w:r>
          </w:p>
        </w:tc>
        <w:tc>
          <w:tcPr>
            <w:tcW w:w="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98"/>
              </w:rPr>
              <w:t>At September 30, 2023</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Securities available-for-sale:</w:t>
            </w:r>
          </w:p>
        </w:tc>
        <w:tc>
          <w:tcPr>
            <w:tcW w:w="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09"/>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 securities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17,096</w:t>
            </w:r>
          </w:p>
        </w:tc>
        <w:tc>
          <w:tcPr>
            <w:tcW w:w="9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17,096</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6,354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6,354</w:t>
            </w: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108,621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108,621</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Mortgage-backed securities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89,607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89,607</w:t>
            </w: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Small Business Administration securities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30,239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30,239</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Mortgage loans held for sale, at fair value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18,636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18,636</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 at fair value</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15,176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15,176</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Derivatives: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lock commitments with customers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175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Forward TBA mortgage-backed securities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355</w:t>
            </w: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Mandatory and best effort forward commitments with investors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14,485</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14,485</w:t>
            </w:r>
          </w:p>
        </w:tc>
      </w:tr>
      <w:tr>
        <w:trPr>
          <w:trHeight w:val="250"/>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 measured at fair value</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300,569</w:t>
            </w:r>
          </w:p>
        </w:tc>
        <w:tc>
          <w:tcPr>
            <w:tcW w:w="9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196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300,765</w:t>
            </w:r>
          </w:p>
        </w:tc>
      </w:tr>
      <w:tr>
        <w:trPr>
          <w:trHeight w:val="197"/>
        </w:trPr>
        <w:tc>
          <w:tcPr>
            <w:tcW w:w="51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ind w:left="7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94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5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50"/>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measured at fair value</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9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413"/>
        </w:trPr>
        <w:tc>
          <w:tcPr>
            <w:tcW w:w="514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37</w:t>
            </w: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115"/>
        </w:trPr>
        <w:tc>
          <w:tcPr>
            <w:tcW w:w="5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79"/>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w w:val="88"/>
              </w:rPr>
              <w:t>Financial Assets</w:t>
            </w:r>
          </w:p>
        </w:tc>
        <w:tc>
          <w:tcPr>
            <w:tcW w:w="4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At December 31, 2022</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color w:val="auto"/>
              </w:rPr>
              <w:t>Securities available-for-sale:</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09"/>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agency securities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17,288</w:t>
            </w:r>
          </w:p>
        </w:tc>
        <w:tc>
          <w:tcPr>
            <w:tcW w:w="9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17,288</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Corporate securities</w:t>
            </w: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8,545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8,545</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120,602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120,602</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Mortgage-backed securities</w:t>
            </w: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69,966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69,966</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Small Business Administration securities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12,851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12,851</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Mortgage loans held for sale, at fair value</w:t>
            </w: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20,093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20,093</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receivable, at fair value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14,035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14,035</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 TBA mortgage-backed securities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9,870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9,870</w:t>
            </w:r>
          </w:p>
        </w:tc>
      </w:tr>
      <w:tr>
        <w:trPr>
          <w:trHeight w:val="216"/>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lock commitments with customers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107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09"/>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Total assets measured at fair value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Pr>
          <w:p>
            <w:pPr>
              <w:ind w:left="7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273,414</w:t>
            </w:r>
          </w:p>
        </w:tc>
        <w:tc>
          <w:tcPr>
            <w:tcW w:w="94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79"/>
              </w:rPr>
              <w:t>107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273,521</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Mandatory and best effort forward commitments with investors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10"/>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Total liabilities measured at fair value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Pr>
          <w:p>
            <w:pPr>
              <w:ind w:left="7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(38)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financial assets measured at fair value on a nonrecurring basis and the level within the fair value hierarchy at September 30, 2023. There were no financial assets measured at fair value on a nonrecurring basis as of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center"/>
              <w:ind w:right="250"/>
              <w:spacing w:after="0"/>
              <w:rPr>
                <w:sz w:val="20"/>
                <w:szCs w:val="20"/>
                <w:color w:val="auto"/>
              </w:rPr>
            </w:pPr>
            <w:r>
              <w:rPr>
                <w:rFonts w:ascii="Arial" w:cs="Arial" w:eastAsia="Arial" w:hAnsi="Arial"/>
                <w:sz w:val="18"/>
                <w:szCs w:val="18"/>
                <w:color w:val="auto"/>
                <w:w w:val="88"/>
              </w:rPr>
              <w:t>September 30, 2023</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MSR</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   $</w:t>
            </w:r>
          </w:p>
        </w:tc>
        <w:tc>
          <w:tcPr>
            <w:tcW w:w="1340" w:type="dxa"/>
            <w:vAlign w:val="bottom"/>
            <w:gridSpan w:val="3"/>
            <w:shd w:val="clear" w:color="auto" w:fill="CCEEFF"/>
          </w:tcPr>
          <w:p>
            <w:pPr>
              <w:jc w:val="center"/>
              <w:ind w:left="59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38,858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38,858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Quantitative Information about Level 3 Fair Value Measurements </w:t>
      </w:r>
      <w:r>
        <w:rPr>
          <w:rFonts w:ascii="Arial" w:cs="Arial" w:eastAsia="Arial" w:hAnsi="Arial"/>
          <w:sz w:val="16"/>
          <w:szCs w:val="16"/>
          <w:color w:val="auto"/>
        </w:rPr>
        <w:t>– Shown in the table below is the fair value of financial instruments measured under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 on a recurring and nonrecurring basis at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color w:val="auto"/>
              </w:rPr>
              <w:t>Level 3</w:t>
            </w:r>
          </w:p>
        </w:tc>
        <w:tc>
          <w:tcPr>
            <w:tcW w:w="1840" w:type="dxa"/>
            <w:vAlign w:val="bottom"/>
          </w:tcPr>
          <w:p>
            <w:pPr>
              <w:spacing w:after="0"/>
              <w:rPr>
                <w:sz w:val="18"/>
                <w:szCs w:val="18"/>
                <w:color w:val="auto"/>
              </w:rPr>
            </w:pPr>
          </w:p>
        </w:tc>
        <w:tc>
          <w:tcPr>
            <w:tcW w:w="1940" w:type="dxa"/>
            <w:vAlign w:val="bottom"/>
          </w:tcPr>
          <w:p>
            <w:pPr>
              <w:jc w:val="center"/>
              <w:ind w:left="110"/>
              <w:spacing w:after="0"/>
              <w:rPr>
                <w:sz w:val="20"/>
                <w:szCs w:val="20"/>
                <w:color w:val="auto"/>
              </w:rPr>
            </w:pPr>
            <w:r>
              <w:rPr>
                <w:rFonts w:ascii="Arial" w:cs="Arial" w:eastAsia="Arial" w:hAnsi="Arial"/>
                <w:sz w:val="18"/>
                <w:szCs w:val="18"/>
                <w:color w:val="auto"/>
                <w:w w:val="93"/>
              </w:rPr>
              <w:t>Significant</w:t>
            </w:r>
          </w:p>
        </w:tc>
        <w:tc>
          <w:tcPr>
            <w:tcW w:w="1320" w:type="dxa"/>
            <w:vAlign w:val="bottom"/>
          </w:tcPr>
          <w:p>
            <w:pPr>
              <w:spacing w:after="0"/>
              <w:rPr>
                <w:sz w:val="18"/>
                <w:szCs w:val="18"/>
                <w:color w:val="auto"/>
              </w:rPr>
            </w:pPr>
          </w:p>
        </w:tc>
        <w:tc>
          <w:tcPr>
            <w:tcW w:w="2780" w:type="dxa"/>
            <w:vAlign w:val="bottom"/>
            <w:gridSpan w:val="2"/>
          </w:tcPr>
          <w:p>
            <w:pPr>
              <w:jc w:val="right"/>
              <w:ind w:right="470"/>
              <w:spacing w:after="0"/>
              <w:rPr>
                <w:sz w:val="20"/>
                <w:szCs w:val="20"/>
                <w:color w:val="auto"/>
              </w:rPr>
            </w:pPr>
            <w:r>
              <w:rPr>
                <w:rFonts w:ascii="Arial" w:cs="Arial" w:eastAsia="Arial" w:hAnsi="Arial"/>
                <w:sz w:val="18"/>
                <w:szCs w:val="18"/>
                <w:color w:val="auto"/>
              </w:rPr>
              <w:t>Weighted Average Rate</w:t>
            </w:r>
          </w:p>
        </w:tc>
      </w:t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color w:val="auto"/>
              </w:rPr>
              <w:t>Fair Value</w:t>
            </w:r>
          </w:p>
        </w:tc>
        <w:tc>
          <w:tcPr>
            <w:tcW w:w="1840" w:type="dxa"/>
            <w:vAlign w:val="bottom"/>
          </w:tcPr>
          <w:p>
            <w:pPr>
              <w:jc w:val="center"/>
              <w:ind w:left="70"/>
              <w:spacing w:after="0"/>
              <w:rPr>
                <w:sz w:val="20"/>
                <w:szCs w:val="20"/>
                <w:color w:val="auto"/>
              </w:rPr>
            </w:pPr>
            <w:r>
              <w:rPr>
                <w:rFonts w:ascii="Arial" w:cs="Arial" w:eastAsia="Arial" w:hAnsi="Arial"/>
                <w:sz w:val="18"/>
                <w:szCs w:val="18"/>
                <w:color w:val="auto"/>
                <w:w w:val="90"/>
              </w:rPr>
              <w:t>Valuation</w:t>
            </w:r>
          </w:p>
        </w:tc>
        <w:tc>
          <w:tcPr>
            <w:tcW w:w="1940" w:type="dxa"/>
            <w:vAlign w:val="bottom"/>
          </w:tcPr>
          <w:p>
            <w:pPr>
              <w:jc w:val="center"/>
              <w:ind w:left="90"/>
              <w:spacing w:after="0"/>
              <w:rPr>
                <w:sz w:val="20"/>
                <w:szCs w:val="20"/>
                <w:color w:val="auto"/>
              </w:rPr>
            </w:pPr>
            <w:r>
              <w:rPr>
                <w:rFonts w:ascii="Arial" w:cs="Arial" w:eastAsia="Arial" w:hAnsi="Arial"/>
                <w:sz w:val="18"/>
                <w:szCs w:val="18"/>
                <w:color w:val="auto"/>
                <w:w w:val="90"/>
              </w:rPr>
              <w:t>Unobservable</w:t>
            </w:r>
          </w:p>
        </w:tc>
        <w:tc>
          <w:tcPr>
            <w:tcW w:w="1320" w:type="dxa"/>
            <w:vAlign w:val="bottom"/>
          </w:tcPr>
          <w:p>
            <w:pPr>
              <w:spacing w:after="0"/>
              <w:rPr>
                <w:sz w:val="18"/>
                <w:szCs w:val="18"/>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color w:val="auto"/>
                <w:w w:val="99"/>
              </w:rPr>
              <w:t>September 30,</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3"/>
              </w:rPr>
              <w:t>December 31,</w:t>
            </w:r>
          </w:p>
        </w:tc>
      </w:tr>
      <w:tr>
        <w:trPr>
          <w:trHeight w:val="234"/>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Instruments</w:t>
            </w:r>
          </w:p>
        </w:tc>
        <w:tc>
          <w:tcPr>
            <w:tcW w:w="18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8"/>
              </w:rPr>
              <w:t>Techniques</w:t>
            </w:r>
          </w:p>
        </w:tc>
        <w:tc>
          <w:tcPr>
            <w:tcW w:w="19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3"/>
              </w:rPr>
              <w:t>Inputs</w:t>
            </w:r>
          </w:p>
        </w:tc>
        <w:tc>
          <w:tcPr>
            <w:tcW w:w="13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Range</w:t>
            </w: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r>
      <w:tr>
        <w:trPr>
          <w:trHeight w:val="210"/>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RECURRING</w:t>
            </w:r>
          </w:p>
        </w:tc>
        <w:tc>
          <w:tcPr>
            <w:tcW w:w="184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195"/>
        </w:trPr>
        <w:tc>
          <w:tcPr>
            <w:tcW w:w="3360" w:type="dxa"/>
            <w:vAlign w:val="bottom"/>
          </w:tcPr>
          <w:p>
            <w:pPr>
              <w:spacing w:after="0" w:line="195" w:lineRule="exact"/>
              <w:rPr>
                <w:sz w:val="20"/>
                <w:szCs w:val="20"/>
                <w:color w:val="auto"/>
              </w:rPr>
            </w:pPr>
            <w:r>
              <w:rPr>
                <w:rFonts w:ascii="Arial" w:cs="Arial" w:eastAsia="Arial" w:hAnsi="Arial"/>
                <w:sz w:val="18"/>
                <w:szCs w:val="18"/>
                <w:color w:val="auto"/>
              </w:rPr>
              <w:t>Interest rate lock commitments with</w:t>
            </w:r>
          </w:p>
        </w:tc>
        <w:tc>
          <w:tcPr>
            <w:tcW w:w="1840" w:type="dxa"/>
            <w:vAlign w:val="bottom"/>
          </w:tcPr>
          <w:p>
            <w:pPr>
              <w:spacing w:after="0"/>
              <w:rPr>
                <w:sz w:val="16"/>
                <w:szCs w:val="16"/>
                <w:color w:val="auto"/>
              </w:rPr>
            </w:pPr>
          </w:p>
        </w:tc>
        <w:tc>
          <w:tcPr>
            <w:tcW w:w="1940" w:type="dxa"/>
            <w:vAlign w:val="bottom"/>
          </w:tcPr>
          <w:p>
            <w:pPr>
              <w:ind w:left="160"/>
              <w:spacing w:after="0" w:line="195" w:lineRule="exact"/>
              <w:rPr>
                <w:sz w:val="20"/>
                <w:szCs w:val="20"/>
                <w:color w:val="auto"/>
              </w:rPr>
            </w:pPr>
            <w:r>
              <w:rPr>
                <w:rFonts w:ascii="Arial" w:cs="Arial" w:eastAsia="Arial" w:hAnsi="Arial"/>
                <w:sz w:val="18"/>
                <w:szCs w:val="18"/>
                <w:color w:val="auto"/>
              </w:rPr>
              <w:t>Pull-through</w:t>
            </w:r>
          </w:p>
        </w:tc>
        <w:tc>
          <w:tcPr>
            <w:tcW w:w="1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customers</w:t>
            </w:r>
          </w:p>
        </w:tc>
        <w:tc>
          <w:tcPr>
            <w:tcW w:w="1840" w:type="dxa"/>
            <w:vAlign w:val="bottom"/>
          </w:tcPr>
          <w:p>
            <w:pPr>
              <w:ind w:left="100"/>
              <w:spacing w:after="0"/>
              <w:rPr>
                <w:sz w:val="20"/>
                <w:szCs w:val="20"/>
                <w:color w:val="auto"/>
              </w:rPr>
            </w:pPr>
            <w:r>
              <w:rPr>
                <w:rFonts w:ascii="Arial" w:cs="Arial" w:eastAsia="Arial" w:hAnsi="Arial"/>
                <w:sz w:val="18"/>
                <w:szCs w:val="18"/>
                <w:color w:val="auto"/>
                <w:w w:val="99"/>
              </w:rPr>
              <w:t>Quoted market prices</w:t>
            </w:r>
          </w:p>
        </w:tc>
        <w:tc>
          <w:tcPr>
            <w:tcW w:w="1940" w:type="dxa"/>
            <w:vAlign w:val="bottom"/>
          </w:tcPr>
          <w:p>
            <w:pPr>
              <w:ind w:left="160"/>
              <w:spacing w:after="0"/>
              <w:rPr>
                <w:sz w:val="20"/>
                <w:szCs w:val="20"/>
                <w:color w:val="auto"/>
              </w:rPr>
            </w:pPr>
            <w:r>
              <w:rPr>
                <w:rFonts w:ascii="Arial" w:cs="Arial" w:eastAsia="Arial" w:hAnsi="Arial"/>
                <w:sz w:val="18"/>
                <w:szCs w:val="18"/>
                <w:color w:val="auto"/>
              </w:rPr>
              <w:t>expectations</w:t>
            </w:r>
          </w:p>
        </w:tc>
        <w:tc>
          <w:tcPr>
            <w:tcW w:w="1320" w:type="dxa"/>
            <w:vAlign w:val="bottom"/>
          </w:tcPr>
          <w:p>
            <w:pPr>
              <w:jc w:val="center"/>
              <w:ind w:left="70"/>
              <w:spacing w:after="0"/>
              <w:rPr>
                <w:sz w:val="20"/>
                <w:szCs w:val="20"/>
                <w:color w:val="auto"/>
              </w:rPr>
            </w:pPr>
            <w:r>
              <w:rPr>
                <w:rFonts w:ascii="Arial" w:cs="Arial" w:eastAsia="Arial" w:hAnsi="Arial"/>
                <w:sz w:val="18"/>
                <w:szCs w:val="18"/>
                <w:color w:val="auto"/>
                <w:w w:val="90"/>
              </w:rPr>
              <w:t>80% - 99%</w:t>
            </w:r>
          </w:p>
        </w:tc>
        <w:tc>
          <w:tcPr>
            <w:tcW w:w="1480" w:type="dxa"/>
            <w:vAlign w:val="bottom"/>
          </w:tcPr>
          <w:p>
            <w:pPr>
              <w:jc w:val="right"/>
              <w:spacing w:after="0"/>
              <w:rPr>
                <w:sz w:val="20"/>
                <w:szCs w:val="20"/>
                <w:color w:val="auto"/>
              </w:rPr>
            </w:pPr>
            <w:r>
              <w:rPr>
                <w:rFonts w:ascii="Arial" w:cs="Arial" w:eastAsia="Arial" w:hAnsi="Arial"/>
                <w:sz w:val="18"/>
                <w:szCs w:val="18"/>
                <w:color w:val="auto"/>
              </w:rPr>
              <w:t>91.4%</w:t>
            </w:r>
          </w:p>
        </w:tc>
        <w:tc>
          <w:tcPr>
            <w:tcW w:w="130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202"/>
        </w:trPr>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Individual forward sale commitments with</w:t>
            </w:r>
          </w:p>
        </w:tc>
        <w:tc>
          <w:tcPr>
            <w:tcW w:w="1840" w:type="dxa"/>
            <w:vAlign w:val="bottom"/>
            <w:shd w:val="clear" w:color="auto" w:fill="CCEEFF"/>
          </w:tcPr>
          <w:p>
            <w:pPr>
              <w:spacing w:after="0"/>
              <w:rPr>
                <w:sz w:val="17"/>
                <w:szCs w:val="17"/>
                <w:color w:val="auto"/>
              </w:rPr>
            </w:pPr>
          </w:p>
        </w:tc>
        <w:tc>
          <w:tcPr>
            <w:tcW w:w="1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Pull-through</w:t>
            </w:r>
          </w:p>
        </w:tc>
        <w:tc>
          <w:tcPr>
            <w:tcW w:w="1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investors</w:t>
            </w:r>
          </w:p>
        </w:tc>
        <w:tc>
          <w:tcPr>
            <w:tcW w:w="18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Quoted market prices</w:t>
            </w: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expectations</w:t>
            </w:r>
          </w:p>
        </w:tc>
        <w:tc>
          <w:tcPr>
            <w:tcW w:w="13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80% - 99%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16"/>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NONRECURRING</w:t>
            </w:r>
          </w:p>
        </w:tc>
        <w:tc>
          <w:tcPr>
            <w:tcW w:w="1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MSR</w:t>
            </w:r>
          </w:p>
        </w:tc>
        <w:tc>
          <w:tcPr>
            <w:tcW w:w="1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Industry sources</w:t>
            </w: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Pre-payment speeds</w:t>
            </w:r>
          </w:p>
        </w:tc>
        <w:tc>
          <w:tcPr>
            <w:tcW w:w="13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0% - 50%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pull-through rate is based on historical loan closing rates for similar interest rate lock commitments. An increase or decrease in the pull-through rate would have a corresponding positive or negative fair value adjustment.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assets and liabilities measured at fair value using significant unobservable inputs (Level 3) on a recurring basis during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84"/>
              </w:rPr>
              <w:t>Purchases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3"/>
              <w:spacing w:after="0"/>
              <w:rPr>
                <w:sz w:val="20"/>
                <w:szCs w:val="20"/>
                <w:color w:val="auto"/>
              </w:rPr>
            </w:pPr>
            <w:r>
              <w:rPr>
                <w:rFonts w:ascii="Arial" w:cs="Arial" w:eastAsia="Arial" w:hAnsi="Arial"/>
                <w:sz w:val="18"/>
                <w:szCs w:val="18"/>
                <w:color w:val="auto"/>
                <w:w w:val="89"/>
              </w:rPr>
              <w:t>Net change in</w:t>
            </w:r>
          </w:p>
        </w:tc>
        <w:tc>
          <w:tcPr>
            <w:tcW w:w="100" w:type="dxa"/>
            <w:vAlign w:val="bottom"/>
          </w:tcPr>
          <w:p>
            <w:pPr>
              <w:spacing w:after="0"/>
              <w:rPr>
                <w:sz w:val="18"/>
                <w:szCs w:val="18"/>
                <w:color w:val="auto"/>
              </w:rPr>
            </w:pPr>
          </w:p>
        </w:tc>
        <w:tc>
          <w:tcPr>
            <w:tcW w:w="1220" w:type="dxa"/>
            <w:vAlign w:val="bottom"/>
            <w:gridSpan w:val="2"/>
          </w:tcPr>
          <w:p>
            <w:pPr>
              <w:jc w:val="center"/>
              <w:ind w:right="13"/>
              <w:spacing w:after="0"/>
              <w:rPr>
                <w:sz w:val="20"/>
                <w:szCs w:val="20"/>
                <w:color w:val="auto"/>
              </w:rPr>
            </w:pPr>
            <w:r>
              <w:rPr>
                <w:rFonts w:ascii="Arial" w:cs="Arial" w:eastAsia="Arial" w:hAnsi="Arial"/>
                <w:sz w:val="18"/>
                <w:szCs w:val="18"/>
                <w:color w:val="auto"/>
                <w:w w:val="89"/>
              </w:rPr>
              <w:t>Net change in</w:t>
            </w:r>
          </w:p>
        </w:tc>
        <w:tc>
          <w:tcPr>
            <w:tcW w:w="0" w:type="dxa"/>
            <w:vAlign w:val="bottom"/>
          </w:tcPr>
          <w:p>
            <w:pPr>
              <w:spacing w:after="0"/>
              <w:rPr>
                <w:sz w:val="1"/>
                <w:szCs w:val="1"/>
                <w:color w:val="auto"/>
              </w:rPr>
            </w:pPr>
          </w:p>
        </w:tc>
      </w:tr>
      <w:tr>
        <w:trPr>
          <w:trHeight w:val="216"/>
        </w:trPr>
        <w:tc>
          <w:tcPr>
            <w:tcW w:w="3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4"/>
              </w:rPr>
              <w:t>Beginning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color w:val="auto"/>
                <w:w w:val="86"/>
              </w:rPr>
              <w:t>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84"/>
              </w:rPr>
              <w:t>Sales and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Arial" w:cs="Arial" w:eastAsia="Arial" w:hAnsi="Arial"/>
                <w:sz w:val="18"/>
                <w:szCs w:val="18"/>
                <w:color w:val="auto"/>
                <w:w w:val="92"/>
              </w:rPr>
              <w:t>Ending</w:t>
            </w:r>
          </w:p>
        </w:tc>
        <w:tc>
          <w:tcPr>
            <w:tcW w:w="100" w:type="dxa"/>
            <w:vAlign w:val="bottom"/>
          </w:tcPr>
          <w:p>
            <w:pPr>
              <w:spacing w:after="0"/>
              <w:rPr>
                <w:sz w:val="18"/>
                <w:szCs w:val="18"/>
                <w:color w:val="auto"/>
              </w:rPr>
            </w:pPr>
          </w:p>
        </w:tc>
        <w:tc>
          <w:tcPr>
            <w:tcW w:w="1220" w:type="dxa"/>
            <w:vAlign w:val="bottom"/>
            <w:gridSpan w:val="2"/>
          </w:tcPr>
          <w:p>
            <w:pPr>
              <w:jc w:val="center"/>
              <w:ind w:right="33"/>
              <w:spacing w:after="0"/>
              <w:rPr>
                <w:sz w:val="20"/>
                <w:szCs w:val="20"/>
                <w:color w:val="auto"/>
              </w:rPr>
            </w:pPr>
            <w:r>
              <w:rPr>
                <w:rFonts w:ascii="Arial" w:cs="Arial" w:eastAsia="Arial" w:hAnsi="Arial"/>
                <w:sz w:val="18"/>
                <w:szCs w:val="18"/>
                <w:color w:val="auto"/>
                <w:w w:val="94"/>
              </w:rPr>
              <w:t>fair value for</w:t>
            </w:r>
          </w:p>
        </w:tc>
        <w:tc>
          <w:tcPr>
            <w:tcW w:w="100" w:type="dxa"/>
            <w:vAlign w:val="bottom"/>
          </w:tcPr>
          <w:p>
            <w:pPr>
              <w:spacing w:after="0"/>
              <w:rPr>
                <w:sz w:val="18"/>
                <w:szCs w:val="18"/>
                <w:color w:val="auto"/>
              </w:rPr>
            </w:pPr>
          </w:p>
        </w:tc>
        <w:tc>
          <w:tcPr>
            <w:tcW w:w="1220" w:type="dxa"/>
            <w:vAlign w:val="bottom"/>
            <w:gridSpan w:val="2"/>
          </w:tcPr>
          <w:p>
            <w:pPr>
              <w:jc w:val="center"/>
              <w:ind w:right="33"/>
              <w:spacing w:after="0"/>
              <w:rPr>
                <w:sz w:val="20"/>
                <w:szCs w:val="20"/>
                <w:color w:val="auto"/>
              </w:rPr>
            </w:pPr>
            <w:r>
              <w:rPr>
                <w:rFonts w:ascii="Arial" w:cs="Arial" w:eastAsia="Arial" w:hAnsi="Arial"/>
                <w:sz w:val="18"/>
                <w:szCs w:val="18"/>
                <w:color w:val="auto"/>
                <w:w w:val="94"/>
              </w:rPr>
              <w:t>fair value for</w:t>
            </w:r>
          </w:p>
        </w:tc>
        <w:tc>
          <w:tcPr>
            <w:tcW w:w="0" w:type="dxa"/>
            <w:vAlign w:val="bottom"/>
          </w:tcPr>
          <w:p>
            <w:pPr>
              <w:spacing w:after="0"/>
              <w:rPr>
                <w:sz w:val="1"/>
                <w:szCs w:val="1"/>
                <w:color w:val="auto"/>
              </w:rPr>
            </w:pPr>
          </w:p>
        </w:tc>
      </w:tr>
      <w:tr>
        <w:trPr>
          <w:trHeight w:val="220"/>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September 30, 2023</w:t>
            </w:r>
          </w:p>
        </w:tc>
        <w:tc>
          <w:tcPr>
            <w:tcW w:w="140" w:type="dxa"/>
            <w:vAlign w:val="bottom"/>
          </w:tcPr>
          <w:p>
            <w:pPr>
              <w:spacing w:after="0"/>
              <w:rPr>
                <w:sz w:val="19"/>
                <w:szCs w:val="19"/>
                <w:color w:val="auto"/>
              </w:rPr>
            </w:pPr>
          </w:p>
        </w:tc>
        <w:tc>
          <w:tcPr>
            <w:tcW w:w="1120" w:type="dxa"/>
            <w:vAlign w:val="bottom"/>
            <w:vMerge w:val="restart"/>
          </w:tcPr>
          <w:p>
            <w:pPr>
              <w:jc w:val="center"/>
              <w:ind w:right="170"/>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restart"/>
          </w:tcPr>
          <w:p>
            <w:pPr>
              <w:jc w:val="center"/>
              <w:ind w:right="170"/>
              <w:spacing w:after="0"/>
              <w:rPr>
                <w:sz w:val="20"/>
                <w:szCs w:val="20"/>
                <w:color w:val="auto"/>
              </w:rPr>
            </w:pPr>
            <w:r>
              <w:rPr>
                <w:rFonts w:ascii="Arial" w:cs="Arial" w:eastAsia="Arial" w:hAnsi="Arial"/>
                <w:sz w:val="18"/>
                <w:szCs w:val="18"/>
                <w:color w:val="auto"/>
                <w:w w:val="83"/>
              </w:rPr>
              <w:t>Issuances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center"/>
              <w:ind w:right="130"/>
              <w:spacing w:after="0"/>
              <w:rPr>
                <w:sz w:val="20"/>
                <w:szCs w:val="20"/>
                <w:color w:val="auto"/>
              </w:rPr>
            </w:pPr>
            <w:r>
              <w:rPr>
                <w:rFonts w:ascii="Arial" w:cs="Arial" w:eastAsia="Arial" w:hAnsi="Arial"/>
                <w:sz w:val="18"/>
                <w:szCs w:val="18"/>
                <w:color w:val="auto"/>
                <w:w w:val="88"/>
              </w:rPr>
              <w:t>Settlements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restart"/>
          </w:tcPr>
          <w:p>
            <w:pPr>
              <w:jc w:val="center"/>
              <w:ind w:right="210"/>
              <w:spacing w:after="0"/>
              <w:rPr>
                <w:sz w:val="20"/>
                <w:szCs w:val="20"/>
                <w:color w:val="auto"/>
              </w:rPr>
            </w:pPr>
            <w:r>
              <w:rPr>
                <w:rFonts w:ascii="Arial" w:cs="Arial" w:eastAsia="Arial" w:hAnsi="Arial"/>
                <w:sz w:val="18"/>
                <w:szCs w:val="18"/>
                <w:color w:val="auto"/>
                <w:w w:val="89"/>
              </w:rPr>
              <w:t>Balance</w:t>
            </w:r>
          </w:p>
        </w:tc>
        <w:tc>
          <w:tcPr>
            <w:tcW w:w="100" w:type="dxa"/>
            <w:vAlign w:val="bottom"/>
          </w:tcPr>
          <w:p>
            <w:pPr>
              <w:spacing w:after="0"/>
              <w:rPr>
                <w:sz w:val="19"/>
                <w:szCs w:val="19"/>
                <w:color w:val="auto"/>
              </w:rPr>
            </w:pPr>
          </w:p>
        </w:tc>
        <w:tc>
          <w:tcPr>
            <w:tcW w:w="1220" w:type="dxa"/>
            <w:vAlign w:val="bottom"/>
            <w:gridSpan w:val="2"/>
          </w:tcPr>
          <w:p>
            <w:pPr>
              <w:jc w:val="center"/>
              <w:ind w:right="33"/>
              <w:spacing w:after="0"/>
              <w:rPr>
                <w:sz w:val="20"/>
                <w:szCs w:val="20"/>
                <w:color w:val="auto"/>
              </w:rPr>
            </w:pPr>
            <w:r>
              <w:rPr>
                <w:rFonts w:ascii="Arial" w:cs="Arial" w:eastAsia="Arial" w:hAnsi="Arial"/>
                <w:sz w:val="18"/>
                <w:szCs w:val="18"/>
                <w:color w:val="auto"/>
                <w:w w:val="88"/>
              </w:rPr>
              <w:t>gains/(losses)</w:t>
            </w:r>
          </w:p>
        </w:tc>
        <w:tc>
          <w:tcPr>
            <w:tcW w:w="100" w:type="dxa"/>
            <w:vAlign w:val="bottom"/>
          </w:tcPr>
          <w:p>
            <w:pPr>
              <w:spacing w:after="0"/>
              <w:rPr>
                <w:sz w:val="19"/>
                <w:szCs w:val="19"/>
                <w:color w:val="auto"/>
              </w:rPr>
            </w:pPr>
          </w:p>
        </w:tc>
        <w:tc>
          <w:tcPr>
            <w:tcW w:w="1220" w:type="dxa"/>
            <w:vAlign w:val="bottom"/>
            <w:gridSpan w:val="2"/>
          </w:tcPr>
          <w:p>
            <w:pPr>
              <w:jc w:val="center"/>
              <w:ind w:right="33"/>
              <w:spacing w:after="0"/>
              <w:rPr>
                <w:sz w:val="20"/>
                <w:szCs w:val="20"/>
                <w:color w:val="auto"/>
              </w:rPr>
            </w:pPr>
            <w:r>
              <w:rPr>
                <w:rFonts w:ascii="Arial" w:cs="Arial" w:eastAsia="Arial" w:hAnsi="Arial"/>
                <w:sz w:val="18"/>
                <w:szCs w:val="18"/>
                <w:color w:val="auto"/>
                <w:w w:val="88"/>
              </w:rPr>
              <w:t>gains/(losses)</w:t>
            </w:r>
          </w:p>
        </w:tc>
        <w:tc>
          <w:tcPr>
            <w:tcW w:w="0" w:type="dxa"/>
            <w:vAlign w:val="bottom"/>
          </w:tcPr>
          <w:p>
            <w:pPr>
              <w:spacing w:after="0"/>
              <w:rPr>
                <w:sz w:val="1"/>
                <w:szCs w:val="1"/>
                <w:color w:val="auto"/>
              </w:rPr>
            </w:pPr>
          </w:p>
        </w:tc>
      </w:tr>
      <w:tr>
        <w:trPr>
          <w:trHeight w:val="186"/>
        </w:trPr>
        <w:tc>
          <w:tcPr>
            <w:tcW w:w="32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13"/>
              <w:spacing w:after="0"/>
              <w:rPr>
                <w:sz w:val="20"/>
                <w:szCs w:val="20"/>
                <w:color w:val="auto"/>
              </w:rPr>
            </w:pPr>
            <w:r>
              <w:rPr>
                <w:rFonts w:ascii="Arial" w:cs="Arial" w:eastAsia="Arial" w:hAnsi="Arial"/>
                <w:sz w:val="15"/>
                <w:szCs w:val="15"/>
                <w:color w:val="auto"/>
                <w:w w:val="97"/>
              </w:rPr>
              <w:t>(1)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93"/>
              <w:spacing w:after="0"/>
              <w:rPr>
                <w:sz w:val="20"/>
                <w:szCs w:val="20"/>
                <w:color w:val="auto"/>
              </w:rPr>
            </w:pPr>
            <w:r>
              <w:rPr>
                <w:rFonts w:ascii="Arial" w:cs="Arial" w:eastAsia="Arial" w:hAnsi="Arial"/>
                <w:sz w:val="15"/>
                <w:szCs w:val="15"/>
                <w:color w:val="auto"/>
                <w:w w:val="87"/>
              </w:rPr>
              <w:t>(2)</w:t>
            </w: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Interest rate lock commitments with</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w w:val="99"/>
              </w:rPr>
              <w:t>Individual forward sale commitments with</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investors</w:t>
            </w:r>
          </w:p>
        </w:tc>
        <w:tc>
          <w:tcPr>
            <w:tcW w:w="14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2022</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Interest rate lock commitments with</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184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472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(356)</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Individual forward sale commitments with</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investors</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Nine Months Ended</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84"/>
              </w:rPr>
              <w:t>Purchases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3"/>
              <w:spacing w:after="0"/>
              <w:rPr>
                <w:sz w:val="20"/>
                <w:szCs w:val="20"/>
                <w:color w:val="auto"/>
              </w:rPr>
            </w:pPr>
            <w:r>
              <w:rPr>
                <w:rFonts w:ascii="Arial" w:cs="Arial" w:eastAsia="Arial" w:hAnsi="Arial"/>
                <w:sz w:val="18"/>
                <w:szCs w:val="18"/>
                <w:color w:val="auto"/>
                <w:w w:val="89"/>
              </w:rPr>
              <w:t>Net change in</w:t>
            </w:r>
          </w:p>
        </w:tc>
        <w:tc>
          <w:tcPr>
            <w:tcW w:w="100" w:type="dxa"/>
            <w:vAlign w:val="bottom"/>
          </w:tcPr>
          <w:p>
            <w:pPr>
              <w:spacing w:after="0"/>
              <w:rPr>
                <w:sz w:val="24"/>
                <w:szCs w:val="24"/>
                <w:color w:val="auto"/>
              </w:rPr>
            </w:pPr>
          </w:p>
        </w:tc>
        <w:tc>
          <w:tcPr>
            <w:tcW w:w="1220" w:type="dxa"/>
            <w:vAlign w:val="bottom"/>
            <w:gridSpan w:val="2"/>
          </w:tcPr>
          <w:p>
            <w:pPr>
              <w:jc w:val="center"/>
              <w:ind w:right="13"/>
              <w:spacing w:after="0"/>
              <w:rPr>
                <w:sz w:val="20"/>
                <w:szCs w:val="20"/>
                <w:color w:val="auto"/>
              </w:rPr>
            </w:pPr>
            <w:r>
              <w:rPr>
                <w:rFonts w:ascii="Arial" w:cs="Arial" w:eastAsia="Arial" w:hAnsi="Arial"/>
                <w:sz w:val="18"/>
                <w:szCs w:val="18"/>
                <w:color w:val="auto"/>
                <w:w w:val="89"/>
              </w:rPr>
              <w:t>Net change in</w:t>
            </w:r>
          </w:p>
        </w:tc>
        <w:tc>
          <w:tcPr>
            <w:tcW w:w="0" w:type="dxa"/>
            <w:vAlign w:val="bottom"/>
          </w:tcPr>
          <w:p>
            <w:pPr>
              <w:spacing w:after="0"/>
              <w:rPr>
                <w:sz w:val="1"/>
                <w:szCs w:val="1"/>
                <w:color w:val="auto"/>
              </w:rPr>
            </w:pPr>
          </w:p>
        </w:tc>
      </w:tr>
      <w:tr>
        <w:trPr>
          <w:trHeight w:val="216"/>
        </w:trPr>
        <w:tc>
          <w:tcPr>
            <w:tcW w:w="3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4"/>
              </w:rPr>
              <w:t>Beginning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color w:val="auto"/>
                <w:w w:val="86"/>
              </w:rPr>
              <w:t>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84"/>
              </w:rPr>
              <w:t>Sales and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Arial" w:cs="Arial" w:eastAsia="Arial" w:hAnsi="Arial"/>
                <w:sz w:val="18"/>
                <w:szCs w:val="18"/>
                <w:color w:val="auto"/>
                <w:w w:val="92"/>
              </w:rPr>
              <w:t>Ending</w:t>
            </w:r>
          </w:p>
        </w:tc>
        <w:tc>
          <w:tcPr>
            <w:tcW w:w="100" w:type="dxa"/>
            <w:vAlign w:val="bottom"/>
          </w:tcPr>
          <w:p>
            <w:pPr>
              <w:spacing w:after="0"/>
              <w:rPr>
                <w:sz w:val="18"/>
                <w:szCs w:val="18"/>
                <w:color w:val="auto"/>
              </w:rPr>
            </w:pPr>
          </w:p>
        </w:tc>
        <w:tc>
          <w:tcPr>
            <w:tcW w:w="1220" w:type="dxa"/>
            <w:vAlign w:val="bottom"/>
            <w:gridSpan w:val="2"/>
          </w:tcPr>
          <w:p>
            <w:pPr>
              <w:jc w:val="center"/>
              <w:ind w:right="33"/>
              <w:spacing w:after="0"/>
              <w:rPr>
                <w:sz w:val="20"/>
                <w:szCs w:val="20"/>
                <w:color w:val="auto"/>
              </w:rPr>
            </w:pPr>
            <w:r>
              <w:rPr>
                <w:rFonts w:ascii="Arial" w:cs="Arial" w:eastAsia="Arial" w:hAnsi="Arial"/>
                <w:sz w:val="18"/>
                <w:szCs w:val="18"/>
                <w:color w:val="auto"/>
                <w:w w:val="94"/>
              </w:rPr>
              <w:t>fair value for</w:t>
            </w:r>
          </w:p>
        </w:tc>
        <w:tc>
          <w:tcPr>
            <w:tcW w:w="100" w:type="dxa"/>
            <w:vAlign w:val="bottom"/>
          </w:tcPr>
          <w:p>
            <w:pPr>
              <w:spacing w:after="0"/>
              <w:rPr>
                <w:sz w:val="18"/>
                <w:szCs w:val="18"/>
                <w:color w:val="auto"/>
              </w:rPr>
            </w:pPr>
          </w:p>
        </w:tc>
        <w:tc>
          <w:tcPr>
            <w:tcW w:w="1220" w:type="dxa"/>
            <w:vAlign w:val="bottom"/>
            <w:gridSpan w:val="2"/>
          </w:tcPr>
          <w:p>
            <w:pPr>
              <w:jc w:val="center"/>
              <w:ind w:right="33"/>
              <w:spacing w:after="0"/>
              <w:rPr>
                <w:sz w:val="20"/>
                <w:szCs w:val="20"/>
                <w:color w:val="auto"/>
              </w:rPr>
            </w:pPr>
            <w:r>
              <w:rPr>
                <w:rFonts w:ascii="Arial" w:cs="Arial" w:eastAsia="Arial" w:hAnsi="Arial"/>
                <w:sz w:val="18"/>
                <w:szCs w:val="18"/>
                <w:color w:val="auto"/>
                <w:w w:val="94"/>
              </w:rPr>
              <w:t>fair value for</w:t>
            </w:r>
          </w:p>
        </w:tc>
        <w:tc>
          <w:tcPr>
            <w:tcW w:w="0" w:type="dxa"/>
            <w:vAlign w:val="bottom"/>
          </w:tcPr>
          <w:p>
            <w:pPr>
              <w:spacing w:after="0"/>
              <w:rPr>
                <w:sz w:val="1"/>
                <w:szCs w:val="1"/>
                <w:color w:val="auto"/>
              </w:rPr>
            </w:pPr>
          </w:p>
        </w:tc>
      </w:tr>
      <w:tr>
        <w:trPr>
          <w:trHeight w:val="220"/>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September 30, 2023</w:t>
            </w:r>
          </w:p>
        </w:tc>
        <w:tc>
          <w:tcPr>
            <w:tcW w:w="140" w:type="dxa"/>
            <w:vAlign w:val="bottom"/>
          </w:tcPr>
          <w:p>
            <w:pPr>
              <w:spacing w:after="0"/>
              <w:rPr>
                <w:sz w:val="19"/>
                <w:szCs w:val="19"/>
                <w:color w:val="auto"/>
              </w:rPr>
            </w:pPr>
          </w:p>
        </w:tc>
        <w:tc>
          <w:tcPr>
            <w:tcW w:w="1120" w:type="dxa"/>
            <w:vAlign w:val="bottom"/>
            <w:vMerge w:val="restart"/>
          </w:tcPr>
          <w:p>
            <w:pPr>
              <w:jc w:val="center"/>
              <w:ind w:right="170"/>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restart"/>
          </w:tcPr>
          <w:p>
            <w:pPr>
              <w:jc w:val="center"/>
              <w:ind w:right="170"/>
              <w:spacing w:after="0"/>
              <w:rPr>
                <w:sz w:val="20"/>
                <w:szCs w:val="20"/>
                <w:color w:val="auto"/>
              </w:rPr>
            </w:pPr>
            <w:r>
              <w:rPr>
                <w:rFonts w:ascii="Arial" w:cs="Arial" w:eastAsia="Arial" w:hAnsi="Arial"/>
                <w:sz w:val="18"/>
                <w:szCs w:val="18"/>
                <w:color w:val="auto"/>
                <w:w w:val="83"/>
              </w:rPr>
              <w:t>Issuances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center"/>
              <w:ind w:right="130"/>
              <w:spacing w:after="0"/>
              <w:rPr>
                <w:sz w:val="20"/>
                <w:szCs w:val="20"/>
                <w:color w:val="auto"/>
              </w:rPr>
            </w:pPr>
            <w:r>
              <w:rPr>
                <w:rFonts w:ascii="Arial" w:cs="Arial" w:eastAsia="Arial" w:hAnsi="Arial"/>
                <w:sz w:val="18"/>
                <w:szCs w:val="18"/>
                <w:color w:val="auto"/>
                <w:w w:val="88"/>
              </w:rPr>
              <w:t>Settlements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restart"/>
          </w:tcPr>
          <w:p>
            <w:pPr>
              <w:jc w:val="center"/>
              <w:ind w:right="210"/>
              <w:spacing w:after="0"/>
              <w:rPr>
                <w:sz w:val="20"/>
                <w:szCs w:val="20"/>
                <w:color w:val="auto"/>
              </w:rPr>
            </w:pPr>
            <w:r>
              <w:rPr>
                <w:rFonts w:ascii="Arial" w:cs="Arial" w:eastAsia="Arial" w:hAnsi="Arial"/>
                <w:sz w:val="18"/>
                <w:szCs w:val="18"/>
                <w:color w:val="auto"/>
                <w:w w:val="89"/>
              </w:rPr>
              <w:t>Balance</w:t>
            </w:r>
          </w:p>
        </w:tc>
        <w:tc>
          <w:tcPr>
            <w:tcW w:w="100" w:type="dxa"/>
            <w:vAlign w:val="bottom"/>
          </w:tcPr>
          <w:p>
            <w:pPr>
              <w:spacing w:after="0"/>
              <w:rPr>
                <w:sz w:val="19"/>
                <w:szCs w:val="19"/>
                <w:color w:val="auto"/>
              </w:rPr>
            </w:pPr>
          </w:p>
        </w:tc>
        <w:tc>
          <w:tcPr>
            <w:tcW w:w="1220" w:type="dxa"/>
            <w:vAlign w:val="bottom"/>
            <w:gridSpan w:val="2"/>
          </w:tcPr>
          <w:p>
            <w:pPr>
              <w:jc w:val="center"/>
              <w:ind w:right="33"/>
              <w:spacing w:after="0"/>
              <w:rPr>
                <w:sz w:val="20"/>
                <w:szCs w:val="20"/>
                <w:color w:val="auto"/>
              </w:rPr>
            </w:pPr>
            <w:r>
              <w:rPr>
                <w:rFonts w:ascii="Arial" w:cs="Arial" w:eastAsia="Arial" w:hAnsi="Arial"/>
                <w:sz w:val="18"/>
                <w:szCs w:val="18"/>
                <w:color w:val="auto"/>
                <w:w w:val="88"/>
              </w:rPr>
              <w:t>gains/(losses)</w:t>
            </w:r>
          </w:p>
        </w:tc>
        <w:tc>
          <w:tcPr>
            <w:tcW w:w="100" w:type="dxa"/>
            <w:vAlign w:val="bottom"/>
          </w:tcPr>
          <w:p>
            <w:pPr>
              <w:spacing w:after="0"/>
              <w:rPr>
                <w:sz w:val="19"/>
                <w:szCs w:val="19"/>
                <w:color w:val="auto"/>
              </w:rPr>
            </w:pPr>
          </w:p>
        </w:tc>
        <w:tc>
          <w:tcPr>
            <w:tcW w:w="1220" w:type="dxa"/>
            <w:vAlign w:val="bottom"/>
            <w:gridSpan w:val="2"/>
          </w:tcPr>
          <w:p>
            <w:pPr>
              <w:jc w:val="center"/>
              <w:ind w:right="33"/>
              <w:spacing w:after="0"/>
              <w:rPr>
                <w:sz w:val="20"/>
                <w:szCs w:val="20"/>
                <w:color w:val="auto"/>
              </w:rPr>
            </w:pPr>
            <w:r>
              <w:rPr>
                <w:rFonts w:ascii="Arial" w:cs="Arial" w:eastAsia="Arial" w:hAnsi="Arial"/>
                <w:sz w:val="18"/>
                <w:szCs w:val="18"/>
                <w:color w:val="auto"/>
                <w:w w:val="88"/>
              </w:rPr>
              <w:t>gains/(losses)</w:t>
            </w:r>
          </w:p>
        </w:tc>
        <w:tc>
          <w:tcPr>
            <w:tcW w:w="0" w:type="dxa"/>
            <w:vAlign w:val="bottom"/>
          </w:tcPr>
          <w:p>
            <w:pPr>
              <w:spacing w:after="0"/>
              <w:rPr>
                <w:sz w:val="1"/>
                <w:szCs w:val="1"/>
                <w:color w:val="auto"/>
              </w:rPr>
            </w:pPr>
          </w:p>
        </w:tc>
      </w:tr>
      <w:tr>
        <w:trPr>
          <w:trHeight w:val="186"/>
        </w:trPr>
        <w:tc>
          <w:tcPr>
            <w:tcW w:w="32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13"/>
              <w:spacing w:after="0"/>
              <w:rPr>
                <w:sz w:val="20"/>
                <w:szCs w:val="20"/>
                <w:color w:val="auto"/>
              </w:rPr>
            </w:pPr>
            <w:r>
              <w:rPr>
                <w:rFonts w:ascii="Arial" w:cs="Arial" w:eastAsia="Arial" w:hAnsi="Arial"/>
                <w:sz w:val="15"/>
                <w:szCs w:val="15"/>
                <w:color w:val="auto"/>
                <w:w w:val="97"/>
              </w:rPr>
              <w:t>(1)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93"/>
              <w:spacing w:after="0"/>
              <w:rPr>
                <w:sz w:val="20"/>
                <w:szCs w:val="20"/>
                <w:color w:val="auto"/>
              </w:rPr>
            </w:pPr>
            <w:r>
              <w:rPr>
                <w:rFonts w:ascii="Arial" w:cs="Arial" w:eastAsia="Arial" w:hAnsi="Arial"/>
                <w:sz w:val="15"/>
                <w:szCs w:val="15"/>
                <w:color w:val="auto"/>
                <w:w w:val="87"/>
              </w:rPr>
              <w:t>(2)</w:t>
            </w: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Interest rate lock commitments with</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68</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w w:val="99"/>
              </w:rPr>
              <w:t>Individual forward sale commitments with</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investors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2022</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Interest rate lock commitments with</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757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2,589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(3,518)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(929)</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Individual forward sale commitments with</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investors</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303"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Relating to items held at end of period included in income.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Relating to items held at end of period included in other comprehensive income (loss).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(Losses) gains on interest rate lock commitments and on forward sale commitments with investors carried at fair value are recorded in “Gain on sale of loans” on the Consolidated Statements of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estimated fair values of the Company’s financial instruments at the dates indicated, whether recognized at fair value or not on the Consolidated Balance Sheets: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4"/>
          </w:tcPr>
          <w:p>
            <w:pPr>
              <w:jc w:val="center"/>
              <w:ind w:right="170"/>
              <w:spacing w:after="0"/>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4"/>
          </w:tcPr>
          <w:p>
            <w:pPr>
              <w:jc w:val="right"/>
              <w:ind w:right="73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Financial Assets</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2023</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2022</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Carrying</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Fair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Carrying</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Level 1 inputs:</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80,673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80,673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41,437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41,437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Certificates of deposit at other financial institutions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17,636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17,636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4,712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Level 2 inputs: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Securities available-for-sale, at fair value</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251,917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251,917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229,252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229,252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held-to-maturity, gross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7,929</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Loans held for sale, at fair value</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18,636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18,636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20,093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20,093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FHLB stock, at cost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10,611</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Forward TBA mortgage-backed securities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receivable, at fair value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15,176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14,035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14,485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14,485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9,870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9,870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13,925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11,144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Level 3 inputs: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receivable, gross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2,390,897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2,279,968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2,204,817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2,153,769</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MSR, held at lower of cost or fair value</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17,657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38,858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35,478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interest rate locks with customers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Mandatory and best effort forward commitments with investors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Level 2 inputs: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2,454,444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2,437,603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2,127,741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2,105,926</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Borrowings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121,895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121,382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186,528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186,188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notes, excluding unamortized debt issuance costs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42,743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3,966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Level 3 inputs: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Mandatory and best effort forward commitments with investors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color w:val="auto"/>
        </w:rPr>
        <w:t>–</w:t>
      </w:r>
      <w:r>
        <w:rPr>
          <w:rFonts w:ascii="Arial" w:cs="Arial" w:eastAsia="Arial" w:hAnsi="Arial"/>
          <w:sz w:val="18"/>
          <w:szCs w:val="18"/>
          <w:b w:val="1"/>
          <w:bCs w:val="1"/>
          <w:color w:val="auto"/>
        </w:rPr>
        <w:t xml:space="preserve"> EARNINGS PER SHARE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computes earnings per share using the two-class method, which is an earnings allocation method for computing earnings per share that treats a participating security as having rights to earnings that would otherwise have been available to common shareholders. Basic earnings per share are computed by dividing income available to common shareholders by the weighted average number of common shares outstanding for the period. Unvested share-based awards containing non-forfeitable rights to dividends or dividend equivalents (whether paid or unpaid) are participating securities and are included in the computation of earnings per share pursuant to the two-class method. Diluted earnings per share reflect the potential dilution that could occur if securities or other contracts to issue common stock were exercised or converted into common stock or resulted in the issuance of common stock that then shared in the earnings of the entity.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the components used to compute basic and diluted earnings per share at or for the dates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auto"/>
                <w:w w:val="95"/>
              </w:rPr>
              <w:t>At or For the Three Months Ended</w:t>
            </w:r>
          </w:p>
        </w:tc>
        <w:tc>
          <w:tcPr>
            <w:tcW w:w="100" w:type="dxa"/>
            <w:vAlign w:val="bottom"/>
          </w:tcPr>
          <w:p>
            <w:pPr>
              <w:spacing w:after="0"/>
              <w:rPr>
                <w:sz w:val="18"/>
                <w:szCs w:val="18"/>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auto"/>
                <w:w w:val="95"/>
              </w:rPr>
              <w:t>At or For the Nine Months Ended</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0"/>
        </w:trPr>
        <w:tc>
          <w:tcPr>
            <w:tcW w:w="59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8,953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8,458</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26,281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22,027</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and undistributed earnings allocated to participating securities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Net income available to common shareholders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8,810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8,305</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25,858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21,613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 (shown as actual):</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Basic weighted average common shares outstanding</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7,667,981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7,605,360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7,643,086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7,800,390</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shares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112,449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102,402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125,662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122,456</w:t>
            </w:r>
          </w:p>
        </w:tc>
        <w:tc>
          <w:tcPr>
            <w:tcW w:w="0" w:type="dxa"/>
            <w:vAlign w:val="bottom"/>
          </w:tcPr>
          <w:p>
            <w:pPr>
              <w:spacing w:after="0"/>
              <w:rPr>
                <w:sz w:val="1"/>
                <w:szCs w:val="1"/>
                <w:color w:val="auto"/>
              </w:rPr>
            </w:pPr>
          </w:p>
        </w:tc>
      </w:tr>
      <w:tr>
        <w:trPr>
          <w:trHeight w:val="210"/>
        </w:trPr>
        <w:tc>
          <w:tcPr>
            <w:tcW w:w="5980" w:type="dxa"/>
            <w:vAlign w:val="bottom"/>
          </w:tcPr>
          <w:p>
            <w:pPr>
              <w:ind w:left="180"/>
              <w:spacing w:after="0"/>
              <w:rPr>
                <w:sz w:val="20"/>
                <w:szCs w:val="20"/>
                <w:color w:val="auto"/>
              </w:rPr>
            </w:pPr>
            <w:r>
              <w:rPr>
                <w:rFonts w:ascii="Arial" w:cs="Arial" w:eastAsia="Arial" w:hAnsi="Arial"/>
                <w:sz w:val="18"/>
                <w:szCs w:val="18"/>
                <w:color w:val="auto"/>
              </w:rPr>
              <w:t>Diluted weighted average common shares outstanding</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7,780,430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7,707,762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7,768,748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7,922,846</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Potentially dilutive weighted average share options that were not included in the</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computation of diluted earnings per share because to do so would be anti-</w:t>
            </w:r>
          </w:p>
        </w:tc>
        <w:tc>
          <w:tcPr>
            <w:tcW w:w="2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64,256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84,540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55,174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62,544</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dilutive.</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color w:val="auto"/>
        </w:rPr>
        <w:t>–</w:t>
      </w:r>
      <w:r>
        <w:rPr>
          <w:rFonts w:ascii="Arial" w:cs="Arial" w:eastAsia="Arial" w:hAnsi="Arial"/>
          <w:sz w:val="18"/>
          <w:szCs w:val="18"/>
          <w:b w:val="1"/>
          <w:bCs w:val="1"/>
          <w:color w:val="auto"/>
        </w:rPr>
        <w:t xml:space="preserve">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Restricted Stock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17, 2018, the shareholders of FS Bancorp approved the 2018 Equity Incentive Plan (the “2018 Plan”) that authorized 1.3 million shares of the Company’s common stock to be awarded. The 2018 Plan provides for the grant of incentive stock options, nonqualified stock options, and up to 326,000 shares as restricted stock awards (“RSAs”) to directors, emeritus directors, officers, employees or advisory directors of the Company. At September 30, 2023, there were 253,532 stock option awards and 76,622 RSAs available for future grants under the 2018 Plan.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share-based compensation expense was $590,000 and $1.6 million for the three and nine months ended September 30, 2023, and $500,000 and $1.4 million for the three and nine months ended September 30,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2018 Plan consists of stock option awards that may be granted as incentive stock options or nonqualified stock options. Stock option awards generally vest over a one- or three-year period for independent directors or over a five-year period for employees and officers with 20% vesting on the anniversary date of each grant date as long as the award recipient remains in service to the Company. The options are exercisable after vesting for up to the remaining term of the original grant. The maximum term of the options granted is 10 years. Any unexercised stock options will expire 10 years after the grant date or sooner in the event of the award recipient’s termination of service with the Company or the Bank. The fair value of each stock option award is estimated on the grant date using a Black-Scholes Option pricing model that uses the following assumptions. The dividend yield is based on the current quarterly dividend in effect at the time of the grant. Historical employment data is used to estimate the forfeiture rate. The Company elected to use Staff Accounting Bulletin 107, simplified expected term calculation for the “Share-Based Payments” method permitted by the SEC to calculate the expected term. This method uses the vesting term of an option along with the contractual term, setting the expected life at 5.5 years for one-year vesting, 6.0 years for three-year vesting, and 6.5 years for five-year vesting.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6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920" w:type="dxa"/>
            <w:vAlign w:val="bottom"/>
            <w:gridSpan w:val="8"/>
          </w:tcPr>
          <w:p>
            <w:pPr>
              <w:spacing w:after="0"/>
              <w:rPr>
                <w:sz w:val="20"/>
                <w:szCs w:val="20"/>
                <w:color w:val="auto"/>
              </w:rPr>
            </w:pPr>
            <w:r>
              <w:rPr>
                <w:rFonts w:ascii="Arial" w:cs="Arial" w:eastAsia="Arial" w:hAnsi="Arial"/>
                <w:sz w:val="18"/>
                <w:szCs w:val="18"/>
                <w:color w:val="auto"/>
              </w:rPr>
              <w:t>The following table presents a summary of the Company’s stock option awards during the dates indicated (shown as actual):</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90"/>
              </w:rPr>
              <w:t>Weighted-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92"/>
              </w:rPr>
              <w:t>Weighted-</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color w:val="auto"/>
                <w:w w:val="92"/>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color w:val="auto"/>
                <w:w w:val="91"/>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93"/>
              </w:rPr>
              <w:t>Term 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w w:val="93"/>
              </w:rPr>
              <w:t>Aggregate</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124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90"/>
              </w:rPr>
              <w:t>Exercise Price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Years</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3"/>
              </w:rPr>
              <w:t>Intrinsic Value</w:t>
            </w: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2023</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647,832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26.67</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4,627,255</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103,000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exercised</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19,121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337,279</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Less forfeited or expired</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35,119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September 30, 2023</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696,592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27.36</w:t>
            </w:r>
          </w:p>
        </w:tc>
        <w:tc>
          <w:tcPr>
            <w:tcW w:w="1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6.61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2,073,328</w:t>
            </w:r>
          </w:p>
        </w:tc>
        <w:tc>
          <w:tcPr>
            <w:tcW w:w="0" w:type="dxa"/>
            <w:vAlign w:val="bottom"/>
          </w:tcPr>
          <w:p>
            <w:pPr>
              <w:spacing w:after="0"/>
              <w:rPr>
                <w:sz w:val="1"/>
                <w:szCs w:val="1"/>
                <w:color w:val="auto"/>
              </w:rPr>
            </w:pPr>
          </w:p>
        </w:tc>
      </w:tr>
      <w:tr>
        <w:trPr>
          <w:trHeight w:val="197"/>
        </w:trPr>
        <w:tc>
          <w:tcPr>
            <w:tcW w:w="128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1"/>
              </w:rPr>
              <w:t>Expected to vest, assuming a 0.31% annual forfeiture rate at September 30, 2023</w:t>
            </w:r>
          </w:p>
        </w:tc>
        <w:tc>
          <w:tcPr>
            <w:tcW w:w="1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682,861</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27.32</w:t>
            </w:r>
          </w:p>
        </w:tc>
        <w:tc>
          <w:tcPr>
            <w:tcW w:w="132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6.52</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2,057,735</w:t>
            </w: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spacing w:after="0"/>
              <w:rPr>
                <w:sz w:val="20"/>
                <w:szCs w:val="20"/>
                <w:color w:val="auto"/>
              </w:rPr>
            </w:pPr>
            <w:r>
              <w:rPr>
                <w:rFonts w:ascii="Arial" w:cs="Arial" w:eastAsia="Arial" w:hAnsi="Arial"/>
                <w:sz w:val="15"/>
                <w:szCs w:val="15"/>
                <w:color w:val="auto"/>
              </w:rPr>
              <w:t>(1)</w:t>
            </w:r>
          </w:p>
        </w:tc>
        <w:tc>
          <w:tcPr>
            <w:tcW w:w="470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September 30, 2023</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417,775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25.76</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1,679,133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03" w:lineRule="exact"/>
        <w:rPr>
          <w:sz w:val="20"/>
          <w:szCs w:val="20"/>
          <w:color w:val="auto"/>
        </w:rPr>
      </w:pPr>
    </w:p>
    <w:p>
      <w:pPr>
        <w:ind w:left="80"/>
        <w:spacing w:after="0"/>
        <w:rPr>
          <w:sz w:val="20"/>
          <w:szCs w:val="20"/>
          <w:color w:val="auto"/>
        </w:rPr>
      </w:pPr>
      <w:r>
        <w:rPr>
          <w:rFonts w:ascii="Arial" w:cs="Arial" w:eastAsia="Arial" w:hAnsi="Arial"/>
          <w:sz w:val="18"/>
          <w:szCs w:val="18"/>
          <w:color w:val="auto"/>
        </w:rPr>
        <w:t>(1) Forfeiture rate has been calculated and estimated to assume a forfeiture of 3.1% of the options over 10 years.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2023, there was $1.8 million of total unrecognized forfeiture adjusted compensation cost related to nonvested stock options granted under the 2018 plan. The cost is expected to be recognized over the remaining weighted-average vesting period of 3.6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RSAs’ fair value is equal to the value of the market price of FS Bancorp’s common stock on the grant date and compensation expense is recognized over the vesting period of the awards based on the fair value of the restricted stock. Shares for the 2018 Plan generally vest over a one- or three-year period for independent directors or over a five-year period for employees and officers beginning on the grant date. Any unvested RSAs will expire after vesting or sooner in the event of the award recipient’s termination of service with the Company or the Bank.</w:t>
      </w:r>
    </w:p>
    <w:p>
      <w:pPr>
        <w:sectPr>
          <w:pgSz w:w="11900" w:h="16838" w:orient="portrait"/>
          <w:cols w:equalWidth="0" w:num="1">
            <w:col w:w="11240"/>
          </w:cols>
          <w:pgMar w:left="320" w:top="108" w:right="3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the Company’s nonvested awards during the dates indicated (shown as 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Borders>
              <w:bottom w:val="single" w:sz="8" w:color="auto"/>
            </w:tcBorders>
          </w:tcPr>
          <w:p>
            <w:pPr>
              <w:ind w:left="3300"/>
              <w:spacing w:after="0"/>
              <w:rPr>
                <w:sz w:val="20"/>
                <w:szCs w:val="20"/>
                <w:color w:val="auto"/>
              </w:rPr>
            </w:pPr>
            <w:r>
              <w:rPr>
                <w:rFonts w:ascii="Arial" w:cs="Arial" w:eastAsia="Arial" w:hAnsi="Arial"/>
                <w:sz w:val="18"/>
                <w:szCs w:val="18"/>
                <w:color w:val="auto"/>
              </w:rPr>
              <w:t>Nonvested Shares</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Shares</w:t>
            </w:r>
          </w:p>
        </w:tc>
      </w:tr>
      <w:tr>
        <w:trPr>
          <w:trHeight w:val="195"/>
        </w:trPr>
        <w:tc>
          <w:tcPr>
            <w:tcW w:w="7880" w:type="dxa"/>
            <w:vAlign w:val="bottom"/>
          </w:tcPr>
          <w:p>
            <w:pPr>
              <w:spacing w:after="0" w:line="195" w:lineRule="exact"/>
              <w:rPr>
                <w:sz w:val="20"/>
                <w:szCs w:val="20"/>
                <w:color w:val="auto"/>
              </w:rPr>
            </w:pPr>
            <w:r>
              <w:rPr>
                <w:rFonts w:ascii="Arial" w:cs="Arial" w:eastAsia="Arial" w:hAnsi="Arial"/>
                <w:sz w:val="18"/>
                <w:szCs w:val="18"/>
                <w:color w:val="auto"/>
              </w:rPr>
              <w:t>Nonvested at January 1, 2023</w:t>
            </w:r>
          </w:p>
        </w:tc>
        <w:tc>
          <w:tcPr>
            <w:tcW w:w="120" w:type="dxa"/>
            <w:vAlign w:val="bottom"/>
          </w:tcPr>
          <w:p>
            <w:pPr>
              <w:spacing w:after="0"/>
              <w:rPr>
                <w:sz w:val="16"/>
                <w:szCs w:val="16"/>
                <w:color w:val="auto"/>
              </w:rPr>
            </w:pPr>
          </w:p>
        </w:tc>
        <w:tc>
          <w:tcPr>
            <w:tcW w:w="15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118,530</w:t>
            </w: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10"/>
              <w:spacing w:after="0"/>
              <w:rPr>
                <w:sz w:val="20"/>
                <w:szCs w:val="20"/>
                <w:color w:val="auto"/>
              </w:rPr>
            </w:pPr>
            <w:r>
              <w:rPr>
                <w:rFonts w:ascii="Arial" w:cs="Arial" w:eastAsia="Arial" w:hAnsi="Arial"/>
                <w:sz w:val="18"/>
                <w:szCs w:val="18"/>
                <w:color w:val="auto"/>
              </w:rPr>
              <w:t>37,600</w:t>
            </w: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Less vested</w:t>
            </w:r>
          </w:p>
        </w:tc>
        <w:tc>
          <w:tcPr>
            <w:tcW w:w="1700" w:type="dxa"/>
            <w:vAlign w:val="bottom"/>
            <w:gridSpan w:val="2"/>
          </w:tcPr>
          <w:p>
            <w:pPr>
              <w:jc w:val="right"/>
              <w:ind w:right="10"/>
              <w:spacing w:after="0"/>
              <w:rPr>
                <w:sz w:val="20"/>
                <w:szCs w:val="20"/>
                <w:color w:val="auto"/>
              </w:rPr>
            </w:pPr>
            <w:r>
              <w:rPr>
                <w:rFonts w:ascii="Arial" w:cs="Arial" w:eastAsia="Arial" w:hAnsi="Arial"/>
                <w:sz w:val="18"/>
                <w:szCs w:val="18"/>
                <w:color w:val="auto"/>
              </w:rPr>
              <w:t>44,462</w:t>
            </w:r>
          </w:p>
        </w:tc>
      </w:tr>
      <w:tr>
        <w:trPr>
          <w:trHeight w:val="230"/>
        </w:trPr>
        <w:tc>
          <w:tcPr>
            <w:tcW w:w="7880" w:type="dxa"/>
            <w:vAlign w:val="bottom"/>
          </w:tcPr>
          <w:p>
            <w:pPr>
              <w:ind w:left="180"/>
              <w:spacing w:after="0"/>
              <w:rPr>
                <w:sz w:val="20"/>
                <w:szCs w:val="20"/>
                <w:color w:val="auto"/>
              </w:rPr>
            </w:pPr>
            <w:r>
              <w:rPr>
                <w:rFonts w:ascii="Arial" w:cs="Arial" w:eastAsia="Arial" w:hAnsi="Arial"/>
                <w:sz w:val="18"/>
                <w:szCs w:val="18"/>
                <w:color w:val="auto"/>
              </w:rPr>
              <w:t>Less forfeited or expired</w:t>
            </w:r>
          </w:p>
        </w:tc>
        <w:tc>
          <w:tcPr>
            <w:tcW w:w="1700" w:type="dxa"/>
            <w:vAlign w:val="bottom"/>
            <w:gridSpan w:val="2"/>
          </w:tcPr>
          <w:p>
            <w:pPr>
              <w:jc w:val="right"/>
              <w:ind w:right="10"/>
              <w:spacing w:after="0"/>
              <w:rPr>
                <w:sz w:val="20"/>
                <w:szCs w:val="20"/>
                <w:color w:val="auto"/>
              </w:rPr>
            </w:pPr>
            <w:r>
              <w:rPr>
                <w:rFonts w:ascii="Arial" w:cs="Arial" w:eastAsia="Arial" w:hAnsi="Arial"/>
                <w:sz w:val="18"/>
                <w:szCs w:val="18"/>
                <w:color w:val="auto"/>
              </w:rPr>
              <w:t>9,524</w:t>
            </w:r>
          </w:p>
        </w:tc>
      </w:tr>
      <w:tr>
        <w:trPr>
          <w:trHeight w:val="210"/>
        </w:trPr>
        <w:tc>
          <w:tcPr>
            <w:tcW w:w="7880" w:type="dxa"/>
            <w:vAlign w:val="bottom"/>
          </w:tcPr>
          <w:p>
            <w:pPr>
              <w:spacing w:after="0"/>
              <w:rPr>
                <w:sz w:val="20"/>
                <w:szCs w:val="20"/>
                <w:color w:val="auto"/>
              </w:rPr>
            </w:pPr>
            <w:r>
              <w:rPr>
                <w:rFonts w:ascii="Arial" w:cs="Arial" w:eastAsia="Arial" w:hAnsi="Arial"/>
                <w:sz w:val="18"/>
                <w:szCs w:val="18"/>
                <w:color w:val="auto"/>
              </w:rPr>
              <w:t>Nonvested at September 30, 2023</w:t>
            </w:r>
          </w:p>
        </w:tc>
        <w:tc>
          <w:tcPr>
            <w:tcW w:w="12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102,144</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Weighted-Average</w:t>
      </w:r>
    </w:p>
    <w:p>
      <w:pPr>
        <w:spacing w:after="0" w:line="3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Grant-Date Fair</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Value</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1040" w:hanging="1033"/>
        <w:spacing w:after="0"/>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28.85</w:t>
      </w:r>
    </w:p>
    <w:p>
      <w:pPr>
        <w:spacing w:after="0" w:line="45"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6"/>
          <w:szCs w:val="16"/>
          <w:color w:val="auto"/>
        </w:rPr>
        <w:t>30.73</w:t>
      </w:r>
    </w:p>
    <w:p>
      <w:pPr>
        <w:spacing w:after="0" w:line="32"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6"/>
          <w:szCs w:val="16"/>
          <w:color w:val="auto"/>
        </w:rPr>
        <w:t>28.24</w:t>
      </w:r>
    </w:p>
    <w:p>
      <w:pPr>
        <w:spacing w:after="0" w:line="32"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6"/>
          <w:szCs w:val="16"/>
          <w:color w:val="auto"/>
        </w:rPr>
        <w:t>30.96</w:t>
      </w:r>
    </w:p>
    <w:p>
      <w:pPr>
        <w:spacing w:after="0" w:line="72" w:lineRule="exact"/>
        <w:rPr>
          <w:sz w:val="20"/>
          <w:szCs w:val="20"/>
          <w:color w:val="auto"/>
        </w:rPr>
      </w:pPr>
    </w:p>
    <w:p>
      <w:pPr>
        <w:ind w:left="1040" w:hanging="1033"/>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29.61</w:t>
      </w:r>
    </w:p>
    <w:p>
      <w:pPr>
        <w:spacing w:after="0" w:line="246" w:lineRule="exact"/>
        <w:rPr>
          <w:sz w:val="20"/>
          <w:szCs w:val="20"/>
          <w:color w:val="auto"/>
        </w:rPr>
      </w:pPr>
    </w:p>
    <w:p>
      <w:pPr>
        <w:sectPr>
          <w:pgSz w:w="11900" w:h="16838" w:orient="portrait"/>
          <w:cols w:equalWidth="0" w:num="2">
            <w:col w:w="9580" w:space="100"/>
            <w:col w:w="1560"/>
          </w:cols>
          <w:pgMar w:left="320" w:top="108" w:right="339" w:bottom="1440" w:gutter="0" w:footer="0" w:header="0"/>
          <w:type w:val="continuous"/>
        </w:sectPr>
      </w:pPr>
    </w:p>
    <w:p>
      <w:pPr>
        <w:spacing w:after="0" w:line="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September 30, 2023, there was $2.7 million of total unrecognized forfeiture adjusted compensation cost related to nonvested shares granted under the 2018 Plan as RSAs. The cost is expected to be recognized over the remaining weighted-average vesting period of 3.5 years.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color w:val="auto"/>
        </w:rPr>
        <w:t>–</w:t>
      </w:r>
      <w:r>
        <w:rPr>
          <w:rFonts w:ascii="Arial" w:cs="Arial" w:eastAsia="Arial" w:hAnsi="Arial"/>
          <w:sz w:val="18"/>
          <w:szCs w:val="18"/>
          <w:b w:val="1"/>
          <w:bCs w:val="1"/>
          <w:color w:val="auto"/>
        </w:rPr>
        <w:t xml:space="preserve"> REGULATORY CAPITAL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Bank is subject to various regulatory capital requirements administered by the Federal Reserve and the FDIC. Failure to meet minimum capital requirements can initiate certain mandatory and possibly additional discretionary actions by regulators that, if undertaken, could have a direct material effect on the Company’s consolidated financial statements. Under capital adequacy guidelines of the regulatory framework for prompt corrective action, the Bank must meet specific capital adequacy guidelines that involve quantitative measures of the Bank’s assets, liabilities, and certain off-balance sheet items as calculated under regulatory accounting practices. The Bank’s capital classification is also subject to qualitative judgments by the regulators about components, risk weightings, and other factors.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risk-based capital adequacy framework, quantitative measures established by regulation to ensure capital adequacy require the Bank to maintain minimum amounts and ratios (set forth in the table below) of Tier 1 capital (as defined in the regulations) to total average assets (as defined), and minimum ratios of Tier 1 total capital (as defined) and common equity Tier 1 (“CET 1”) capital to risk-weighted assets (as defined).</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must maintain minimum total risk-based, Tier 1 risk-based, Tier 1 leverage, and CET 1 capital ratios as set forth in the table below to be categorized as well capitalized. At September 30, 2023, the Bank was categorized as well capitalized under applicable regulatory requirements. There are no conditions or events since that notification that management believes have changed the Bank’s category. Management believes, at September 30, 2023, that the Bank met all capital adequacy requirements.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compares the Bank’s actual capital amounts and ratios at September 30, 2023 to their minimum regulatory capital requirements and well capitalized regulatory capital at that date: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5"/>
          </w:tcPr>
          <w:p>
            <w:pPr>
              <w:jc w:val="center"/>
              <w:ind w:right="160"/>
              <w:spacing w:after="0"/>
              <w:rPr>
                <w:sz w:val="20"/>
                <w:szCs w:val="20"/>
                <w:color w:val="auto"/>
              </w:rPr>
            </w:pPr>
            <w:r>
              <w:rPr>
                <w:rFonts w:ascii="Arial" w:cs="Arial" w:eastAsia="Arial" w:hAnsi="Arial"/>
                <w:sz w:val="18"/>
                <w:szCs w:val="18"/>
                <w:color w:val="auto"/>
                <w:w w:val="91"/>
              </w:rPr>
              <w:t>To be Well Capitalized</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4"/>
          </w:tcPr>
          <w:p>
            <w:pPr>
              <w:jc w:val="center"/>
              <w:ind w:right="260"/>
              <w:spacing w:after="0"/>
              <w:rPr>
                <w:sz w:val="20"/>
                <w:szCs w:val="20"/>
                <w:color w:val="auto"/>
              </w:rPr>
            </w:pPr>
            <w:r>
              <w:rPr>
                <w:rFonts w:ascii="Arial" w:cs="Arial" w:eastAsia="Arial" w:hAnsi="Arial"/>
                <w:sz w:val="18"/>
                <w:szCs w:val="18"/>
                <w:color w:val="auto"/>
                <w:w w:val="92"/>
              </w:rPr>
              <w:t>Under Prompt</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4"/>
          </w:tcPr>
          <w:p>
            <w:pPr>
              <w:jc w:val="right"/>
              <w:ind w:right="740"/>
              <w:spacing w:after="0"/>
              <w:rPr>
                <w:sz w:val="20"/>
                <w:szCs w:val="20"/>
                <w:color w:val="auto"/>
              </w:rPr>
            </w:pPr>
            <w:r>
              <w:rPr>
                <w:rFonts w:ascii="Arial" w:cs="Arial" w:eastAsia="Arial" w:hAnsi="Arial"/>
                <w:sz w:val="18"/>
                <w:szCs w:val="18"/>
                <w:color w:val="auto"/>
              </w:rPr>
              <w:t>For Capital</w:t>
            </w:r>
          </w:p>
        </w:tc>
        <w:tc>
          <w:tcPr>
            <w:tcW w:w="2020" w:type="dxa"/>
            <w:vAlign w:val="bottom"/>
            <w:gridSpan w:val="5"/>
          </w:tcPr>
          <w:p>
            <w:pPr>
              <w:ind w:left="80"/>
              <w:spacing w:after="0"/>
              <w:rPr>
                <w:sz w:val="20"/>
                <w:szCs w:val="20"/>
                <w:color w:val="auto"/>
              </w:rPr>
            </w:pPr>
            <w:r>
              <w:rPr>
                <w:rFonts w:ascii="Arial" w:cs="Arial" w:eastAsia="Arial" w:hAnsi="Arial"/>
                <w:sz w:val="18"/>
                <w:szCs w:val="18"/>
                <w:color w:val="auto"/>
              </w:rPr>
              <w:t>For Capital Adequacy</w:t>
            </w:r>
          </w:p>
        </w:tc>
        <w:tc>
          <w:tcPr>
            <w:tcW w:w="100" w:type="dxa"/>
            <w:vAlign w:val="bottom"/>
          </w:tcPr>
          <w:p>
            <w:pPr>
              <w:spacing w:after="0"/>
              <w:rPr>
                <w:sz w:val="18"/>
                <w:szCs w:val="18"/>
                <w:color w:val="auto"/>
              </w:rPr>
            </w:pPr>
          </w:p>
        </w:tc>
        <w:tc>
          <w:tcPr>
            <w:tcW w:w="1820" w:type="dxa"/>
            <w:vAlign w:val="bottom"/>
            <w:gridSpan w:val="4"/>
          </w:tcPr>
          <w:p>
            <w:pPr>
              <w:jc w:val="center"/>
              <w:ind w:right="260"/>
              <w:spacing w:after="0"/>
              <w:rPr>
                <w:sz w:val="20"/>
                <w:szCs w:val="20"/>
                <w:color w:val="auto"/>
              </w:rPr>
            </w:pPr>
            <w:r>
              <w:rPr>
                <w:rFonts w:ascii="Arial" w:cs="Arial" w:eastAsia="Arial" w:hAnsi="Arial"/>
                <w:sz w:val="18"/>
                <w:szCs w:val="18"/>
                <w:color w:val="auto"/>
                <w:w w:val="92"/>
              </w:rPr>
              <w:t>Corrective</w:t>
            </w:r>
          </w:p>
        </w:tc>
        <w:tc>
          <w:tcPr>
            <w:tcW w:w="0" w:type="dxa"/>
            <w:vAlign w:val="bottom"/>
          </w:tcPr>
          <w:p>
            <w:pPr>
              <w:spacing w:after="0"/>
              <w:rPr>
                <w:sz w:val="1"/>
                <w:szCs w:val="1"/>
                <w:color w:val="auto"/>
              </w:rPr>
            </w:pPr>
          </w:p>
        </w:tc>
      </w:tr>
      <w:tr>
        <w:trPr>
          <w:trHeight w:val="230"/>
        </w:trPr>
        <w:tc>
          <w:tcPr>
            <w:tcW w:w="3140" w:type="dxa"/>
            <w:vAlign w:val="bottom"/>
            <w:vMerge w:val="restart"/>
          </w:tcPr>
          <w:p>
            <w:pPr>
              <w:spacing w:after="0"/>
              <w:rPr>
                <w:sz w:val="20"/>
                <w:szCs w:val="20"/>
                <w:color w:val="auto"/>
              </w:rPr>
            </w:pPr>
            <w:r>
              <w:rPr>
                <w:rFonts w:ascii="Arial" w:cs="Arial" w:eastAsia="Arial" w:hAnsi="Arial"/>
                <w:sz w:val="18"/>
                <w:szCs w:val="18"/>
                <w:b w:val="1"/>
                <w:bCs w:val="1"/>
                <w:color w:val="auto"/>
              </w:rPr>
              <w:t>Bank Only</w:t>
            </w:r>
          </w:p>
        </w:tc>
        <w:tc>
          <w:tcPr>
            <w:tcW w:w="100" w:type="dxa"/>
            <w:vAlign w:val="bottom"/>
            <w:vMerge w:val="restart"/>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ind w:left="540"/>
              <w:spacing w:after="0"/>
              <w:rPr>
                <w:sz w:val="20"/>
                <w:szCs w:val="20"/>
                <w:color w:val="auto"/>
              </w:rPr>
            </w:pPr>
            <w:r>
              <w:rPr>
                <w:rFonts w:ascii="Arial" w:cs="Arial" w:eastAsia="Arial" w:hAnsi="Arial"/>
                <w:sz w:val="18"/>
                <w:szCs w:val="18"/>
                <w:color w:val="auto"/>
                <w:w w:val="99"/>
              </w:rPr>
              <w:t>Actual</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gridSpan w:val="4"/>
          </w:tcPr>
          <w:p>
            <w:pPr>
              <w:jc w:val="right"/>
              <w:ind w:right="440"/>
              <w:spacing w:after="0"/>
              <w:rPr>
                <w:sz w:val="20"/>
                <w:szCs w:val="20"/>
                <w:color w:val="auto"/>
              </w:rPr>
            </w:pPr>
            <w:r>
              <w:rPr>
                <w:rFonts w:ascii="Arial" w:cs="Arial" w:eastAsia="Arial" w:hAnsi="Arial"/>
                <w:sz w:val="18"/>
                <w:szCs w:val="18"/>
                <w:color w:val="auto"/>
                <w:w w:val="91"/>
              </w:rPr>
              <w:t>Adequacy Purposes</w:t>
            </w:r>
          </w:p>
        </w:tc>
        <w:tc>
          <w:tcPr>
            <w:tcW w:w="80" w:type="dxa"/>
            <w:vAlign w:val="bottom"/>
          </w:tcPr>
          <w:p>
            <w:pPr>
              <w:spacing w:after="0"/>
              <w:rPr>
                <w:sz w:val="20"/>
                <w:szCs w:val="20"/>
                <w:color w:val="auto"/>
              </w:rPr>
            </w:pPr>
          </w:p>
        </w:tc>
        <w:tc>
          <w:tcPr>
            <w:tcW w:w="1940" w:type="dxa"/>
            <w:vAlign w:val="bottom"/>
            <w:gridSpan w:val="4"/>
          </w:tcPr>
          <w:p>
            <w:pPr>
              <w:jc w:val="right"/>
              <w:ind w:right="440"/>
              <w:spacing w:after="0"/>
              <w:rPr>
                <w:sz w:val="20"/>
                <w:szCs w:val="20"/>
                <w:color w:val="auto"/>
              </w:rPr>
            </w:pPr>
            <w:r>
              <w:rPr>
                <w:rFonts w:ascii="Arial" w:cs="Arial" w:eastAsia="Arial" w:hAnsi="Arial"/>
                <w:sz w:val="18"/>
                <w:szCs w:val="18"/>
                <w:color w:val="auto"/>
              </w:rPr>
              <w:t>with Capital Buffer</w:t>
            </w:r>
          </w:p>
        </w:tc>
        <w:tc>
          <w:tcPr>
            <w:tcW w:w="100" w:type="dxa"/>
            <w:vAlign w:val="bottom"/>
          </w:tcPr>
          <w:p>
            <w:pPr>
              <w:spacing w:after="0"/>
              <w:rPr>
                <w:sz w:val="20"/>
                <w:szCs w:val="20"/>
                <w:color w:val="auto"/>
              </w:rPr>
            </w:pPr>
          </w:p>
        </w:tc>
        <w:tc>
          <w:tcPr>
            <w:tcW w:w="1820" w:type="dxa"/>
            <w:vAlign w:val="bottom"/>
            <w:gridSpan w:val="4"/>
          </w:tcPr>
          <w:p>
            <w:pPr>
              <w:jc w:val="center"/>
              <w:ind w:right="260"/>
              <w:spacing w:after="0"/>
              <w:rPr>
                <w:sz w:val="20"/>
                <w:szCs w:val="20"/>
                <w:color w:val="auto"/>
              </w:rPr>
            </w:pPr>
            <w:r>
              <w:rPr>
                <w:rFonts w:ascii="Arial" w:cs="Arial" w:eastAsia="Arial" w:hAnsi="Arial"/>
                <w:sz w:val="18"/>
                <w:szCs w:val="18"/>
                <w:color w:val="auto"/>
                <w:w w:val="92"/>
              </w:rPr>
              <w:t>Action Provisions</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Amount</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Ratio</w:t>
            </w:r>
          </w:p>
        </w:tc>
        <w:tc>
          <w:tcPr>
            <w:tcW w:w="2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Amount</w:t>
            </w: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Ratio</w:t>
            </w:r>
          </w:p>
        </w:tc>
        <w:tc>
          <w:tcPr>
            <w:tcW w:w="2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Amount</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Ratio</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Amount</w:t>
            </w: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Ratio</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September 30, 2023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Total risk-based capital</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 risk-weighted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330,533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202,483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265,759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253,104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Tier 1 risk-based capital</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 risk-weighted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298,887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151,862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215,138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202,483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Tier 1 leverage capital</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 average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298,887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116,478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145,598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CET 1 capital</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 risk-weighted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298,887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113,897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177,173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164,518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minimum CET 1, Tier 1, total capital and leverage ratios, the Bank is required to maintain a capital conservation buffer consisting of additional CET 1 capital greater than 2.5% of risk-weighted assets above the required minimum capital levels to avoid limitations on paying dividends, engaging in share repurchases, and paying discretionary bonuses based on percentages of eligible retained income that could be utilized for such actions. At September 30, 2023, the Bank’s capital exceeded the conservation buffer.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a bank holding company registered with the Federal Reserve. Bank holding companies are subject to capital adequacy requirements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Federal Reserve under the Bank Holding Company Act of 1956, as amended, and the regulations of the Federal Reserve. Bank holding companies with less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$3.0 billion in assets are generally not subject to compliance with the Federal Reserve’s capital regulations, which are generally the same as the capital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regulations applicable to the Bank. The Federal Reserve has a policy that a bank holding company is required to serve as a source of financial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managerial strength to the holding company’s subsidiary bank and expects the holding company’s subsidiary bank to be well capitalized under the prompt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corrective action regulations. If the Company were subject to regulatory guidelines for bank holding companies with $3.0 billion or more in assets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2023, it would have exceeded all regulatory capital requirements. For informational purposes, the regulatory capital ratios calculated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at September 30, 2023 were 8.9% for Tier 1 leverage-based capital, 10.2% for Tier 1 risk-based capital, 13.4% for total risk-based capital,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10.2% for CET 1 capital ratio. The regulatory capital ratios calculated for the Company at December 31, 2022 were 9.7% for Tier 1 leverage-based capital,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10.7% for Tier 1 risk-based capital, 14.0% for total risk-based capital, and 10.7% for CET 1 capital ratio.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15 </w:t>
      </w:r>
      <w:r>
        <w:rPr>
          <w:rFonts w:ascii="Arial" w:cs="Arial" w:eastAsia="Arial" w:hAnsi="Arial"/>
          <w:sz w:val="18"/>
          <w:szCs w:val="18"/>
          <w:color w:val="auto"/>
        </w:rPr>
        <w:t>–</w:t>
      </w:r>
      <w:r>
        <w:rPr>
          <w:rFonts w:ascii="Arial" w:cs="Arial" w:eastAsia="Arial" w:hAnsi="Arial"/>
          <w:sz w:val="18"/>
          <w:szCs w:val="18"/>
          <w:b w:val="1"/>
          <w:bCs w:val="1"/>
          <w:color w:val="auto"/>
        </w:rPr>
        <w:t xml:space="preserve"> BUSINESS SEGMENTS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business segments are determined based on the products and services provided, as well as the nature of the related business activities, and they reflect the way financial information is currently evaluated by management. This process is dynamic and is based on management’s current view of the Company’s operations and is not necessarily comparable with similar information for other financial institutions. The Company defines its business segments by product type and customer segment which it has organized into two lines of business: commercial and consumer banking and home lending.</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various management accounting methodologies to assign certain income statement items to the responsible operating segment, including:</w:t>
      </w:r>
    </w:p>
    <w:p>
      <w:pPr>
        <w:spacing w:after="0" w:line="170" w:lineRule="exact"/>
        <w:rPr>
          <w:sz w:val="20"/>
          <w:szCs w:val="20"/>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funds transfer pricing (“FTP”) system, which allocates interest income credits and funding charges between the segments, assigning to each segment a funding credit for its liabilities, such as deposits, and a charge to fund its assets. The FTP methodology is based on management's estimated cost of originating funds including the cost of overhead for deposit generation;</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cost per loan serviced allocation based on the number of loans being serviced on the balance sheet and the number of loans serviced for third parties;</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allocation based upon the approximate square footage utilized by the home lending segment in Company owned locations;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allocation of charges for services rendered to the segments by centralized functions, such as corporate overhead, which are generally based on the number of full-time employees (“FTEs”) in each segment; and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allocation of the Company’s consolidated income taxes which are based on the effective tax rate applied to the segment’s pretax income or loss.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 description of the Company’s business segments and the products and services that they provide is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and Consumer Banking Segment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commercial and consumer banking segment provides diversified financial products and services to our commercial and consumer customers through Bank branches, online banking platforms, mobile banking apps, and telephone banking. These products and services include deposit products; residential, consumer, business and commercial real estate lending portfolios and cash management services. The Company originates consumer loans, commercial and multi-family real estate loans, construction loans for residential and multi-family construction, and commercial business loans. At September 30, 2023, the Company’s retail deposit branch network consisted of 27 branches in the Pacific Northwest. This segment is also responsible for the management of the investment portfolio and other assets of the Bank.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Lending Segment</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home lending segment originates one-to-four-family residential mortgage loans primarily for sale in the secondary markets as well as loans held for investment. A majority of these mortgage loans are sold to or securitized by FNMA, FHLMC, GNMA, or the FHLB of Des Moines, while the Company generally retains the right to service these loans. Loans originated under the guidelines of the Federal Housing Administration or (“FHA”), US Department of Veterans Affairs or VA, and United States Department of Agriculture or USDA are generally sold servicing released to a correspondent bank or mortgage company. The Company has the option to sell loans on a servicing-released or servicing-retained basis to securitizers and correspondent lenders. A small percentage of its loans are brokered to other lenders. On occasion, the Company may sell a portion of its MSR portfolio and may sell small pools of loans initially originated to be held in the loan portfolio. The Company manages the loan funding and the interest rate risk associated with the secondary market loan sales and the retained one-to-four-family mortgage servicing rights within this business segment. One-to-four-family loans originated for investment and held in this segment are allocated to the home lending segment with a corresponding provision expense and FTP for cost of funds.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Financial Results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tables below summarize the financial results for each segment based on the factors mentioned above within each segment for the three and nine months ended September 30, 2023 and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gridSpan w:val="9"/>
          </w:tcPr>
          <w:p>
            <w:pPr>
              <w:jc w:val="center"/>
              <w:ind w:right="290"/>
              <w:spacing w:after="0"/>
              <w:rPr>
                <w:sz w:val="20"/>
                <w:szCs w:val="20"/>
                <w:color w:val="auto"/>
              </w:rPr>
            </w:pPr>
            <w:r>
              <w:rPr>
                <w:rFonts w:ascii="Arial" w:cs="Arial" w:eastAsia="Arial" w:hAnsi="Arial"/>
                <w:sz w:val="18"/>
                <w:szCs w:val="18"/>
                <w:color w:val="auto"/>
                <w:w w:val="90"/>
              </w:rPr>
              <w:t>At or For the Three Months Ended September 30, 2023</w:t>
            </w:r>
          </w:p>
        </w:tc>
        <w:tc>
          <w:tcPr>
            <w:tcW w:w="140" w:type="dxa"/>
            <w:vAlign w:val="bottom"/>
            <w:tcBorders>
              <w:bottom w:val="single" w:sz="8" w:color="auto"/>
            </w:tcBorders>
          </w:tcPr>
          <w:p>
            <w:pPr>
              <w:spacing w:after="0"/>
              <w:rPr>
                <w:sz w:val="20"/>
                <w:szCs w:val="20"/>
                <w:color w:val="auto"/>
              </w:rPr>
            </w:pPr>
          </w:p>
        </w:tc>
      </w:tr>
      <w:tr>
        <w:trPr>
          <w:trHeight w:val="195"/>
        </w:trPr>
        <w:tc>
          <w:tcPr>
            <w:tcW w:w="4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0" w:type="dxa"/>
            <w:vAlign w:val="bottom"/>
            <w:gridSpan w:val="2"/>
          </w:tcPr>
          <w:p>
            <w:pPr>
              <w:ind w:left="160"/>
              <w:spacing w:after="0" w:line="195" w:lineRule="exact"/>
              <w:rPr>
                <w:sz w:val="20"/>
                <w:szCs w:val="20"/>
                <w:color w:val="auto"/>
              </w:rPr>
            </w:pPr>
            <w:r>
              <w:rPr>
                <w:rFonts w:ascii="Arial" w:cs="Arial" w:eastAsia="Arial" w:hAnsi="Arial"/>
                <w:sz w:val="18"/>
                <w:szCs w:val="18"/>
                <w:color w:val="auto"/>
              </w:rPr>
              <w:t>Commercial and</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Condensed income statement:</w:t>
            </w:r>
          </w:p>
        </w:tc>
        <w:tc>
          <w:tcPr>
            <w:tcW w:w="720" w:type="dxa"/>
            <w:vAlign w:val="bottom"/>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Consumer Banking</w:t>
            </w:r>
          </w:p>
        </w:tc>
        <w:tc>
          <w:tcPr>
            <w:tcW w:w="1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Home Lending</w:t>
            </w: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20"/>
                <w:szCs w:val="20"/>
                <w:color w:val="auto"/>
              </w:rPr>
            </w:pPr>
          </w:p>
        </w:tc>
      </w:tr>
      <w:tr>
        <w:trPr>
          <w:trHeight w:val="209"/>
        </w:trPr>
        <w:tc>
          <w:tcPr>
            <w:tcW w:w="484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Net interest income </w:t>
            </w:r>
            <w:r>
              <w:rPr>
                <w:rFonts w:ascii="Arial" w:cs="Arial" w:eastAsia="Arial" w:hAnsi="Arial"/>
                <w:sz w:val="24"/>
                <w:szCs w:val="24"/>
                <w:color w:val="auto"/>
                <w:vertAlign w:val="superscript"/>
              </w:rPr>
              <w:t>(1)</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30,634</w:t>
            </w:r>
          </w:p>
        </w:tc>
        <w:tc>
          <w:tcPr>
            <w:tcW w:w="14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Noninterest income </w:t>
            </w:r>
            <w:r>
              <w:rPr>
                <w:rFonts w:ascii="Arial" w:cs="Arial" w:eastAsia="Arial" w:hAnsi="Arial"/>
                <w:sz w:val="25"/>
                <w:szCs w:val="25"/>
                <w:color w:val="auto"/>
                <w:vertAlign w:val="superscript"/>
              </w:rPr>
              <w:t>(2)</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14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line="216" w:lineRule="exact"/>
              <w:rPr>
                <w:sz w:val="20"/>
                <w:szCs w:val="20"/>
                <w:color w:val="auto"/>
              </w:rPr>
            </w:pPr>
            <w:r>
              <w:rPr>
                <w:rFonts w:ascii="Arial" w:cs="Arial" w:eastAsia="Arial" w:hAnsi="Arial"/>
                <w:sz w:val="16"/>
                <w:szCs w:val="16"/>
                <w:color w:val="auto"/>
              </w:rPr>
              <w:t xml:space="preserve">Noninterest expense </w:t>
            </w:r>
            <w:r>
              <w:rPr>
                <w:rFonts w:ascii="Arial" w:cs="Arial" w:eastAsia="Arial" w:hAnsi="Arial"/>
                <w:sz w:val="25"/>
                <w:szCs w:val="25"/>
                <w:color w:val="auto"/>
                <w:vertAlign w:val="superscript"/>
              </w:rPr>
              <w:t>(3)</w:t>
            </w:r>
          </w:p>
        </w:tc>
        <w:tc>
          <w:tcPr>
            <w:tcW w:w="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11,482</w:t>
            </w:r>
          </w:p>
        </w:tc>
        <w:tc>
          <w:tcPr>
            <w:tcW w:w="14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1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8,953</w:t>
            </w:r>
          </w:p>
        </w:tc>
        <w:tc>
          <w:tcPr>
            <w:tcW w:w="140" w:type="dxa"/>
            <w:vAlign w:val="bottom"/>
            <w:tcBorders>
              <w:bottom w:val="single" w:sz="8" w:color="auto"/>
            </w:tcBorders>
            <w:shd w:val="clear" w:color="auto" w:fill="CCEEFF"/>
          </w:tcPr>
          <w:p>
            <w:pPr>
              <w:spacing w:after="0"/>
              <w:rPr>
                <w:sz w:val="21"/>
                <w:szCs w:val="21"/>
                <w:color w:val="auto"/>
              </w:rPr>
            </w:pPr>
          </w:p>
        </w:tc>
      </w:tr>
      <w:tr>
        <w:trPr>
          <w:trHeight w:val="197"/>
        </w:trPr>
        <w:tc>
          <w:tcPr>
            <w:tcW w:w="4840" w:type="dxa"/>
            <w:vAlign w:val="bottom"/>
          </w:tcPr>
          <w:p>
            <w:pPr>
              <w:spacing w:after="0" w:line="196" w:lineRule="exact"/>
              <w:rPr>
                <w:sz w:val="20"/>
                <w:szCs w:val="20"/>
                <w:color w:val="auto"/>
              </w:rPr>
            </w:pPr>
            <w:r>
              <w:rPr>
                <w:rFonts w:ascii="Arial" w:cs="Arial" w:eastAsia="Arial" w:hAnsi="Arial"/>
                <w:sz w:val="18"/>
                <w:szCs w:val="18"/>
                <w:color w:val="auto"/>
              </w:rPr>
              <w:t>Total average assets for period ended</w:t>
            </w:r>
          </w:p>
        </w:tc>
        <w:tc>
          <w:tcPr>
            <w:tcW w:w="1000" w:type="dxa"/>
            <w:vAlign w:val="bottom"/>
            <w:gridSpan w:val="2"/>
          </w:tcPr>
          <w:p>
            <w:pPr>
              <w:ind w:left="88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2,361,014</w:t>
            </w:r>
          </w:p>
        </w:tc>
        <w:tc>
          <w:tcPr>
            <w:tcW w:w="160" w:type="dxa"/>
            <w:vAlign w:val="bottom"/>
          </w:tcPr>
          <w:p>
            <w:pPr>
              <w:spacing w:after="0"/>
              <w:rPr>
                <w:sz w:val="17"/>
                <w:szCs w:val="17"/>
                <w:color w:val="auto"/>
              </w:rPr>
            </w:pPr>
          </w:p>
        </w:tc>
        <w:tc>
          <w:tcPr>
            <w:tcW w:w="800" w:type="dxa"/>
            <w:vAlign w:val="bottom"/>
            <w:gridSpan w:val="2"/>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540,372</w:t>
            </w:r>
          </w:p>
        </w:tc>
        <w:tc>
          <w:tcPr>
            <w:tcW w:w="140" w:type="dxa"/>
            <w:vAlign w:val="bottom"/>
          </w:tcPr>
          <w:p>
            <w:pPr>
              <w:spacing w:after="0"/>
              <w:rPr>
                <w:sz w:val="17"/>
                <w:szCs w:val="17"/>
                <w:color w:val="auto"/>
              </w:rPr>
            </w:pPr>
          </w:p>
        </w:tc>
        <w:tc>
          <w:tcPr>
            <w:tcW w:w="6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2,901,386</w:t>
            </w:r>
          </w:p>
        </w:tc>
        <w:tc>
          <w:tcPr>
            <w:tcW w:w="140" w:type="dxa"/>
            <w:vAlign w:val="bottom"/>
          </w:tcPr>
          <w:p>
            <w:pPr>
              <w:spacing w:after="0"/>
              <w:rPr>
                <w:sz w:val="17"/>
                <w:szCs w:val="17"/>
                <w:color w:val="auto"/>
              </w:rPr>
            </w:pPr>
          </w:p>
        </w:tc>
      </w:tr>
      <w:tr>
        <w:trPr>
          <w:trHeight w:val="20"/>
        </w:trPr>
        <w:tc>
          <w:tcPr>
            <w:tcW w:w="4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48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Full-time employees ("FTEs")</w:t>
            </w:r>
          </w:p>
        </w:tc>
        <w:tc>
          <w:tcPr>
            <w:tcW w:w="7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434</w:t>
            </w:r>
          </w:p>
        </w:tc>
        <w:tc>
          <w:tcPr>
            <w:tcW w:w="1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w:t>
            </w:r>
          </w:p>
        </w:tc>
        <w:tc>
          <w:tcPr>
            <w:tcW w:w="1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562</w:t>
            </w:r>
          </w:p>
        </w:tc>
        <w:tc>
          <w:tcPr>
            <w:tcW w:w="140" w:type="dxa"/>
            <w:vAlign w:val="bottom"/>
            <w:tcBorders>
              <w:bottom w:val="single" w:sz="8" w:color="auto"/>
            </w:tcBorders>
            <w:shd w:val="clear" w:color="auto" w:fill="CCEEFF"/>
          </w:tcPr>
          <w:p>
            <w:pPr>
              <w:spacing w:after="0"/>
              <w:rPr>
                <w:sz w:val="20"/>
                <w:szCs w:val="20"/>
                <w:color w:val="auto"/>
              </w:rPr>
            </w:pPr>
          </w:p>
        </w:tc>
      </w:tr>
      <w:tr>
        <w:trPr>
          <w:trHeight w:val="413"/>
        </w:trPr>
        <w:tc>
          <w:tcPr>
            <w:tcW w:w="4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9"/>
          </w:tcPr>
          <w:p>
            <w:pPr>
              <w:jc w:val="center"/>
              <w:ind w:right="290"/>
              <w:spacing w:after="0"/>
              <w:rPr>
                <w:sz w:val="20"/>
                <w:szCs w:val="20"/>
                <w:color w:val="auto"/>
              </w:rPr>
            </w:pPr>
            <w:r>
              <w:rPr>
                <w:rFonts w:ascii="Arial" w:cs="Arial" w:eastAsia="Arial" w:hAnsi="Arial"/>
                <w:sz w:val="18"/>
                <w:szCs w:val="18"/>
                <w:color w:val="auto"/>
                <w:w w:val="90"/>
              </w:rPr>
              <w:t>At or For the Three Months Ended September 30, 2022</w:t>
            </w:r>
          </w:p>
        </w:tc>
        <w:tc>
          <w:tcPr>
            <w:tcW w:w="140" w:type="dxa"/>
            <w:vAlign w:val="bottom"/>
            <w:tcBorders>
              <w:bottom w:val="single" w:sz="8" w:color="auto"/>
            </w:tcBorders>
          </w:tcPr>
          <w:p>
            <w:pPr>
              <w:spacing w:after="0"/>
              <w:rPr>
                <w:sz w:val="24"/>
                <w:szCs w:val="24"/>
                <w:color w:val="auto"/>
              </w:rPr>
            </w:pPr>
          </w:p>
        </w:tc>
      </w:tr>
      <w:tr>
        <w:trPr>
          <w:trHeight w:val="195"/>
        </w:trPr>
        <w:tc>
          <w:tcPr>
            <w:tcW w:w="4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0" w:type="dxa"/>
            <w:vAlign w:val="bottom"/>
            <w:gridSpan w:val="2"/>
          </w:tcPr>
          <w:p>
            <w:pPr>
              <w:ind w:left="160"/>
              <w:spacing w:after="0" w:line="195" w:lineRule="exact"/>
              <w:rPr>
                <w:sz w:val="20"/>
                <w:szCs w:val="20"/>
                <w:color w:val="auto"/>
              </w:rPr>
            </w:pPr>
            <w:r>
              <w:rPr>
                <w:rFonts w:ascii="Arial" w:cs="Arial" w:eastAsia="Arial" w:hAnsi="Arial"/>
                <w:sz w:val="18"/>
                <w:szCs w:val="18"/>
                <w:color w:val="auto"/>
              </w:rPr>
              <w:t>Commercial and</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Condensed income statement:</w:t>
            </w:r>
          </w:p>
        </w:tc>
        <w:tc>
          <w:tcPr>
            <w:tcW w:w="720" w:type="dxa"/>
            <w:vAlign w:val="bottom"/>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Consumer Banking</w:t>
            </w:r>
          </w:p>
        </w:tc>
        <w:tc>
          <w:tcPr>
            <w:tcW w:w="1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Home Lending</w:t>
            </w: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20"/>
                <w:szCs w:val="20"/>
                <w:color w:val="auto"/>
              </w:rPr>
            </w:pPr>
          </w:p>
        </w:tc>
      </w:tr>
      <w:tr>
        <w:trPr>
          <w:trHeight w:val="209"/>
        </w:trPr>
        <w:tc>
          <w:tcPr>
            <w:tcW w:w="484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Net interest income </w:t>
            </w:r>
            <w:r>
              <w:rPr>
                <w:rFonts w:ascii="Arial" w:cs="Arial" w:eastAsia="Arial" w:hAnsi="Arial"/>
                <w:sz w:val="24"/>
                <w:szCs w:val="24"/>
                <w:color w:val="auto"/>
                <w:vertAlign w:val="superscript"/>
              </w:rPr>
              <w:t>(1)</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27,527</w:t>
            </w:r>
          </w:p>
        </w:tc>
        <w:tc>
          <w:tcPr>
            <w:tcW w:w="14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(Provision) recovery for credit losses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(1,811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Noninterest income </w:t>
            </w:r>
            <w:r>
              <w:rPr>
                <w:rFonts w:ascii="Arial" w:cs="Arial" w:eastAsia="Arial" w:hAnsi="Arial"/>
                <w:sz w:val="25"/>
                <w:szCs w:val="25"/>
                <w:color w:val="auto"/>
                <w:vertAlign w:val="superscript"/>
              </w:rPr>
              <w:t>(2)</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14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line="216" w:lineRule="exact"/>
              <w:rPr>
                <w:sz w:val="20"/>
                <w:szCs w:val="20"/>
                <w:color w:val="auto"/>
              </w:rPr>
            </w:pPr>
            <w:r>
              <w:rPr>
                <w:rFonts w:ascii="Arial" w:cs="Arial" w:eastAsia="Arial" w:hAnsi="Arial"/>
                <w:sz w:val="16"/>
                <w:szCs w:val="16"/>
                <w:color w:val="auto"/>
              </w:rPr>
              <w:t xml:space="preserve">Noninterest expense </w:t>
            </w:r>
            <w:r>
              <w:rPr>
                <w:rFonts w:ascii="Arial" w:cs="Arial" w:eastAsia="Arial" w:hAnsi="Arial"/>
                <w:sz w:val="25"/>
                <w:szCs w:val="25"/>
                <w:color w:val="auto"/>
                <w:vertAlign w:val="superscript"/>
              </w:rPr>
              <w:t>(3)</w:t>
            </w:r>
          </w:p>
        </w:tc>
        <w:tc>
          <w:tcPr>
            <w:tcW w:w="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10,652</w:t>
            </w:r>
          </w:p>
        </w:tc>
        <w:tc>
          <w:tcPr>
            <w:tcW w:w="14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9,252</w:t>
            </w:r>
          </w:p>
        </w:tc>
        <w:tc>
          <w:tcPr>
            <w:tcW w:w="1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140" w:type="dxa"/>
            <w:vAlign w:val="bottom"/>
            <w:tcBorders>
              <w:bottom w:val="single" w:sz="8" w:color="auto"/>
            </w:tcBorders>
            <w:shd w:val="clear" w:color="auto" w:fill="CCEEFF"/>
          </w:tcPr>
          <w:p>
            <w:pPr>
              <w:spacing w:after="0"/>
              <w:rPr>
                <w:sz w:val="21"/>
                <w:szCs w:val="21"/>
                <w:color w:val="auto"/>
              </w:rPr>
            </w:pPr>
          </w:p>
        </w:tc>
      </w:tr>
      <w:tr>
        <w:trPr>
          <w:trHeight w:val="197"/>
        </w:trPr>
        <w:tc>
          <w:tcPr>
            <w:tcW w:w="4840" w:type="dxa"/>
            <w:vAlign w:val="bottom"/>
          </w:tcPr>
          <w:p>
            <w:pPr>
              <w:spacing w:after="0" w:line="196" w:lineRule="exact"/>
              <w:rPr>
                <w:sz w:val="20"/>
                <w:szCs w:val="20"/>
                <w:color w:val="auto"/>
              </w:rPr>
            </w:pPr>
            <w:r>
              <w:rPr>
                <w:rFonts w:ascii="Arial" w:cs="Arial" w:eastAsia="Arial" w:hAnsi="Arial"/>
                <w:sz w:val="18"/>
                <w:szCs w:val="18"/>
                <w:color w:val="auto"/>
              </w:rPr>
              <w:t>Total average assets for period ended</w:t>
            </w:r>
          </w:p>
        </w:tc>
        <w:tc>
          <w:tcPr>
            <w:tcW w:w="1000" w:type="dxa"/>
            <w:vAlign w:val="bottom"/>
            <w:gridSpan w:val="2"/>
          </w:tcPr>
          <w:p>
            <w:pPr>
              <w:ind w:left="88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2,072,614</w:t>
            </w:r>
          </w:p>
        </w:tc>
        <w:tc>
          <w:tcPr>
            <w:tcW w:w="160" w:type="dxa"/>
            <w:vAlign w:val="bottom"/>
          </w:tcPr>
          <w:p>
            <w:pPr>
              <w:spacing w:after="0"/>
              <w:rPr>
                <w:sz w:val="17"/>
                <w:szCs w:val="17"/>
                <w:color w:val="auto"/>
              </w:rPr>
            </w:pPr>
          </w:p>
        </w:tc>
        <w:tc>
          <w:tcPr>
            <w:tcW w:w="800" w:type="dxa"/>
            <w:vAlign w:val="bottom"/>
            <w:gridSpan w:val="2"/>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427,368</w:t>
            </w:r>
          </w:p>
        </w:tc>
        <w:tc>
          <w:tcPr>
            <w:tcW w:w="140" w:type="dxa"/>
            <w:vAlign w:val="bottom"/>
          </w:tcPr>
          <w:p>
            <w:pPr>
              <w:spacing w:after="0"/>
              <w:rPr>
                <w:sz w:val="17"/>
                <w:szCs w:val="17"/>
                <w:color w:val="auto"/>
              </w:rPr>
            </w:pPr>
          </w:p>
        </w:tc>
        <w:tc>
          <w:tcPr>
            <w:tcW w:w="6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2,499,982</w:t>
            </w:r>
          </w:p>
        </w:tc>
        <w:tc>
          <w:tcPr>
            <w:tcW w:w="140" w:type="dxa"/>
            <w:vAlign w:val="bottom"/>
          </w:tcPr>
          <w:p>
            <w:pPr>
              <w:spacing w:after="0"/>
              <w:rPr>
                <w:sz w:val="17"/>
                <w:szCs w:val="17"/>
                <w:color w:val="auto"/>
              </w:rPr>
            </w:pPr>
          </w:p>
        </w:tc>
      </w:tr>
      <w:tr>
        <w:trPr>
          <w:trHeight w:val="20"/>
        </w:trPr>
        <w:tc>
          <w:tcPr>
            <w:tcW w:w="4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48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FTEs</w:t>
            </w:r>
          </w:p>
        </w:tc>
        <w:tc>
          <w:tcPr>
            <w:tcW w:w="7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389</w:t>
            </w:r>
          </w:p>
        </w:tc>
        <w:tc>
          <w:tcPr>
            <w:tcW w:w="1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w:t>
            </w:r>
          </w:p>
        </w:tc>
        <w:tc>
          <w:tcPr>
            <w:tcW w:w="1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529</w:t>
            </w:r>
          </w:p>
        </w:tc>
        <w:tc>
          <w:tcPr>
            <w:tcW w:w="140" w:type="dxa"/>
            <w:vAlign w:val="bottom"/>
            <w:tcBorders>
              <w:bottom w:val="single" w:sz="8" w:color="auto"/>
            </w:tcBorders>
            <w:shd w:val="clear" w:color="auto" w:fill="CCEEFF"/>
          </w:tcPr>
          <w:p>
            <w:pPr>
              <w:spacing w:after="0"/>
              <w:rPr>
                <w:sz w:val="20"/>
                <w:szCs w:val="20"/>
                <w:color w:val="auto"/>
              </w:rPr>
            </w:pPr>
          </w:p>
        </w:tc>
      </w:tr>
      <w:tr>
        <w:trPr>
          <w:trHeight w:val="413"/>
        </w:trPr>
        <w:tc>
          <w:tcPr>
            <w:tcW w:w="4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9"/>
          </w:tcPr>
          <w:p>
            <w:pPr>
              <w:jc w:val="center"/>
              <w:ind w:right="290"/>
              <w:spacing w:after="0"/>
              <w:rPr>
                <w:sz w:val="20"/>
                <w:szCs w:val="20"/>
                <w:color w:val="auto"/>
              </w:rPr>
            </w:pPr>
            <w:r>
              <w:rPr>
                <w:rFonts w:ascii="Arial" w:cs="Arial" w:eastAsia="Arial" w:hAnsi="Arial"/>
                <w:sz w:val="18"/>
                <w:szCs w:val="18"/>
                <w:color w:val="auto"/>
                <w:w w:val="90"/>
              </w:rPr>
              <w:t>At or For the Nine Months Ended September 30, 2023</w:t>
            </w:r>
          </w:p>
        </w:tc>
        <w:tc>
          <w:tcPr>
            <w:tcW w:w="140" w:type="dxa"/>
            <w:vAlign w:val="bottom"/>
            <w:tcBorders>
              <w:bottom w:val="single" w:sz="8" w:color="auto"/>
            </w:tcBorders>
          </w:tcPr>
          <w:p>
            <w:pPr>
              <w:spacing w:after="0"/>
              <w:rPr>
                <w:sz w:val="24"/>
                <w:szCs w:val="24"/>
                <w:color w:val="auto"/>
              </w:rPr>
            </w:pPr>
          </w:p>
        </w:tc>
      </w:tr>
      <w:tr>
        <w:trPr>
          <w:trHeight w:val="195"/>
        </w:trPr>
        <w:tc>
          <w:tcPr>
            <w:tcW w:w="4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right="270"/>
              <w:spacing w:after="0" w:line="195" w:lineRule="exact"/>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6"/>
        </w:trPr>
        <w:tc>
          <w:tcPr>
            <w:tcW w:w="4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8"/>
              </w:rPr>
              <w:t>and Consumer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Condensed income statement:</w:t>
            </w:r>
          </w:p>
        </w:tc>
        <w:tc>
          <w:tcPr>
            <w:tcW w:w="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2"/>
              </w:rPr>
              <w:t>Banking</w:t>
            </w:r>
          </w:p>
        </w:tc>
        <w:tc>
          <w:tcPr>
            <w:tcW w:w="1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Home Lending</w:t>
            </w: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20"/>
                <w:szCs w:val="20"/>
                <w:color w:val="auto"/>
              </w:rPr>
            </w:pPr>
          </w:p>
        </w:tc>
      </w:tr>
      <w:tr>
        <w:trPr>
          <w:trHeight w:val="210"/>
        </w:trPr>
        <w:tc>
          <w:tcPr>
            <w:tcW w:w="484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Net interest income </w:t>
            </w:r>
            <w:r>
              <w:rPr>
                <w:rFonts w:ascii="Arial" w:cs="Arial" w:eastAsia="Arial" w:hAnsi="Arial"/>
                <w:sz w:val="24"/>
                <w:szCs w:val="24"/>
                <w:color w:val="auto"/>
                <w:vertAlign w:val="superscript"/>
              </w:rPr>
              <w:t>(1)</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92,848</w:t>
            </w:r>
          </w:p>
        </w:tc>
        <w:tc>
          <w:tcPr>
            <w:tcW w:w="14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(2,555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(817</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(3,372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Noninterest income </w:t>
            </w:r>
            <w:r>
              <w:rPr>
                <w:rFonts w:ascii="Arial" w:cs="Arial" w:eastAsia="Arial" w:hAnsi="Arial"/>
                <w:sz w:val="25"/>
                <w:szCs w:val="25"/>
                <w:color w:val="auto"/>
                <w:vertAlign w:val="superscript"/>
              </w:rPr>
              <w:t>(2)</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14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line="216" w:lineRule="exact"/>
              <w:rPr>
                <w:sz w:val="20"/>
                <w:szCs w:val="20"/>
                <w:color w:val="auto"/>
              </w:rPr>
            </w:pPr>
            <w:r>
              <w:rPr>
                <w:rFonts w:ascii="Arial" w:cs="Arial" w:eastAsia="Arial" w:hAnsi="Arial"/>
                <w:sz w:val="16"/>
                <w:szCs w:val="16"/>
                <w:color w:val="auto"/>
              </w:rPr>
              <w:t xml:space="preserve">Noninterest expense </w:t>
            </w:r>
            <w:r>
              <w:rPr>
                <w:rFonts w:ascii="Arial" w:cs="Arial" w:eastAsia="Arial" w:hAnsi="Arial"/>
                <w:sz w:val="25"/>
                <w:szCs w:val="25"/>
                <w:color w:val="auto"/>
                <w:vertAlign w:val="superscript"/>
              </w:rPr>
              <w:t>(3)</w:t>
            </w:r>
          </w:p>
        </w:tc>
        <w:tc>
          <w:tcPr>
            <w:tcW w:w="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(56,099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(71,314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33,196</w:t>
            </w:r>
          </w:p>
        </w:tc>
        <w:tc>
          <w:tcPr>
            <w:tcW w:w="14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25,686</w:t>
            </w:r>
          </w:p>
        </w:tc>
        <w:tc>
          <w:tcPr>
            <w:tcW w:w="1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26,281</w:t>
            </w:r>
          </w:p>
        </w:tc>
        <w:tc>
          <w:tcPr>
            <w:tcW w:w="140" w:type="dxa"/>
            <w:vAlign w:val="bottom"/>
            <w:tcBorders>
              <w:bottom w:val="single" w:sz="8" w:color="auto"/>
            </w:tcBorders>
            <w:shd w:val="clear" w:color="auto" w:fill="CCEEFF"/>
          </w:tcPr>
          <w:p>
            <w:pPr>
              <w:spacing w:after="0"/>
              <w:rPr>
                <w:sz w:val="21"/>
                <w:szCs w:val="21"/>
                <w:color w:val="auto"/>
              </w:rPr>
            </w:pPr>
          </w:p>
        </w:tc>
      </w:tr>
      <w:tr>
        <w:trPr>
          <w:trHeight w:val="196"/>
        </w:trPr>
        <w:tc>
          <w:tcPr>
            <w:tcW w:w="4840" w:type="dxa"/>
            <w:vAlign w:val="bottom"/>
          </w:tcPr>
          <w:p>
            <w:pPr>
              <w:spacing w:after="0" w:line="196" w:lineRule="exact"/>
              <w:rPr>
                <w:sz w:val="20"/>
                <w:szCs w:val="20"/>
                <w:color w:val="auto"/>
              </w:rPr>
            </w:pPr>
            <w:r>
              <w:rPr>
                <w:rFonts w:ascii="Arial" w:cs="Arial" w:eastAsia="Arial" w:hAnsi="Arial"/>
                <w:sz w:val="18"/>
                <w:szCs w:val="18"/>
                <w:color w:val="auto"/>
              </w:rPr>
              <w:t>Total average assets for period ended</w:t>
            </w:r>
          </w:p>
        </w:tc>
        <w:tc>
          <w:tcPr>
            <w:tcW w:w="1000" w:type="dxa"/>
            <w:vAlign w:val="bottom"/>
            <w:gridSpan w:val="2"/>
          </w:tcPr>
          <w:p>
            <w:pPr>
              <w:ind w:left="88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2,288,996</w:t>
            </w:r>
          </w:p>
        </w:tc>
        <w:tc>
          <w:tcPr>
            <w:tcW w:w="160" w:type="dxa"/>
            <w:vAlign w:val="bottom"/>
          </w:tcPr>
          <w:p>
            <w:pPr>
              <w:spacing w:after="0"/>
              <w:rPr>
                <w:sz w:val="17"/>
                <w:szCs w:val="17"/>
                <w:color w:val="auto"/>
              </w:rPr>
            </w:pPr>
          </w:p>
        </w:tc>
        <w:tc>
          <w:tcPr>
            <w:tcW w:w="800" w:type="dxa"/>
            <w:vAlign w:val="bottom"/>
            <w:gridSpan w:val="2"/>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520,513</w:t>
            </w:r>
          </w:p>
        </w:tc>
        <w:tc>
          <w:tcPr>
            <w:tcW w:w="140" w:type="dxa"/>
            <w:vAlign w:val="bottom"/>
          </w:tcPr>
          <w:p>
            <w:pPr>
              <w:spacing w:after="0"/>
              <w:rPr>
                <w:sz w:val="17"/>
                <w:szCs w:val="17"/>
                <w:color w:val="auto"/>
              </w:rPr>
            </w:pPr>
          </w:p>
        </w:tc>
        <w:tc>
          <w:tcPr>
            <w:tcW w:w="6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2,809,509</w:t>
            </w:r>
          </w:p>
        </w:tc>
        <w:tc>
          <w:tcPr>
            <w:tcW w:w="140" w:type="dxa"/>
            <w:vAlign w:val="bottom"/>
          </w:tcPr>
          <w:p>
            <w:pPr>
              <w:spacing w:after="0"/>
              <w:rPr>
                <w:sz w:val="17"/>
                <w:szCs w:val="17"/>
                <w:color w:val="auto"/>
              </w:rPr>
            </w:pPr>
          </w:p>
        </w:tc>
      </w:tr>
      <w:tr>
        <w:trPr>
          <w:trHeight w:val="20"/>
        </w:trPr>
        <w:tc>
          <w:tcPr>
            <w:tcW w:w="4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8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FTEs</w:t>
            </w:r>
          </w:p>
        </w:tc>
        <w:tc>
          <w:tcPr>
            <w:tcW w:w="7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434</w:t>
            </w:r>
          </w:p>
        </w:tc>
        <w:tc>
          <w:tcPr>
            <w:tcW w:w="1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w:t>
            </w:r>
          </w:p>
        </w:tc>
        <w:tc>
          <w:tcPr>
            <w:tcW w:w="1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562</w:t>
            </w:r>
          </w:p>
        </w:tc>
        <w:tc>
          <w:tcPr>
            <w:tcW w:w="140" w:type="dxa"/>
            <w:vAlign w:val="bottom"/>
            <w:tcBorders>
              <w:bottom w:val="single" w:sz="8" w:color="auto"/>
            </w:tcBorders>
            <w:shd w:val="clear" w:color="auto" w:fill="CCEEFF"/>
          </w:tcPr>
          <w:p>
            <w:pPr>
              <w:spacing w:after="0"/>
              <w:rPr>
                <w:sz w:val="20"/>
                <w:szCs w:val="20"/>
                <w:color w:val="auto"/>
              </w:rPr>
            </w:pPr>
          </w:p>
        </w:tc>
      </w:tr>
      <w:tr>
        <w:trPr>
          <w:trHeight w:val="413"/>
        </w:trPr>
        <w:tc>
          <w:tcPr>
            <w:tcW w:w="4840" w:type="dxa"/>
            <w:vAlign w:val="bottom"/>
          </w:tcPr>
          <w:p>
            <w:pPr>
              <w:spacing w:after="0"/>
              <w:rPr>
                <w:sz w:val="24"/>
                <w:szCs w:val="24"/>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45</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48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79"/>
        </w:trPr>
        <w:tc>
          <w:tcPr>
            <w:tcW w:w="1280" w:type="dxa"/>
            <w:vAlign w:val="bottom"/>
            <w:tcBorders>
              <w:top w:val="single" w:sz="8" w:color="0000EE"/>
            </w:tcBorders>
          </w:tcPr>
          <w:p>
            <w:pPr>
              <w:spacing w:after="0"/>
              <w:rPr>
                <w:sz w:val="24"/>
                <w:szCs w:val="24"/>
                <w:color w:val="auto"/>
              </w:rPr>
            </w:pPr>
          </w:p>
        </w:tc>
        <w:tc>
          <w:tcPr>
            <w:tcW w:w="4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9"/>
          </w:tcPr>
          <w:p>
            <w:pPr>
              <w:jc w:val="right"/>
              <w:ind w:right="770"/>
              <w:spacing w:after="0"/>
              <w:rPr>
                <w:sz w:val="20"/>
                <w:szCs w:val="20"/>
                <w:color w:val="auto"/>
              </w:rPr>
            </w:pPr>
            <w:r>
              <w:rPr>
                <w:rFonts w:ascii="Arial" w:cs="Arial" w:eastAsia="Arial" w:hAnsi="Arial"/>
                <w:sz w:val="18"/>
                <w:szCs w:val="18"/>
                <w:color w:val="auto"/>
              </w:rPr>
              <w:t>At or For the Nine Months Ended September 30, 2022</w:t>
            </w:r>
          </w:p>
        </w:tc>
        <w:tc>
          <w:tcPr>
            <w:tcW w:w="140" w:type="dxa"/>
            <w:vAlign w:val="bottom"/>
            <w:tcBorders>
              <w:bottom w:val="single" w:sz="8" w:color="auto"/>
            </w:tcBorders>
          </w:tcPr>
          <w:p>
            <w:pPr>
              <w:spacing w:after="0"/>
              <w:rPr>
                <w:sz w:val="24"/>
                <w:szCs w:val="24"/>
                <w:color w:val="auto"/>
              </w:rPr>
            </w:pPr>
          </w:p>
        </w:tc>
      </w:tr>
      <w:tr>
        <w:trPr>
          <w:trHeight w:val="195"/>
        </w:trPr>
        <w:tc>
          <w:tcPr>
            <w:tcW w:w="12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right="270"/>
              <w:spacing w:after="0" w:line="195" w:lineRule="exact"/>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8"/>
              </w:rPr>
              <w:t>and Consumer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Condensed income statement:</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2"/>
              </w:rPr>
              <w:t>Banking</w:t>
            </w:r>
          </w:p>
        </w:tc>
        <w:tc>
          <w:tcPr>
            <w:tcW w:w="1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Home Lending</w:t>
            </w: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20"/>
                <w:szCs w:val="20"/>
                <w:color w:val="auto"/>
              </w:rPr>
            </w:pPr>
          </w:p>
        </w:tc>
      </w:tr>
      <w:tr>
        <w:trPr>
          <w:trHeight w:val="210"/>
        </w:trPr>
        <w:tc>
          <w:tcPr>
            <w:tcW w:w="5560" w:type="dxa"/>
            <w:vAlign w:val="bottom"/>
            <w:gridSpan w:val="2"/>
            <w:shd w:val="clear" w:color="auto" w:fill="CCEEFF"/>
          </w:tcPr>
          <w:p>
            <w:pPr>
              <w:spacing w:after="0" w:line="210" w:lineRule="exact"/>
              <w:rPr>
                <w:sz w:val="20"/>
                <w:szCs w:val="20"/>
                <w:color w:val="auto"/>
              </w:rPr>
            </w:pPr>
            <w:r>
              <w:rPr>
                <w:rFonts w:ascii="Arial" w:cs="Arial" w:eastAsia="Arial" w:hAnsi="Arial"/>
                <w:sz w:val="15"/>
                <w:szCs w:val="15"/>
                <w:color w:val="auto"/>
              </w:rPr>
              <w:t xml:space="preserve">Net interest income </w:t>
            </w:r>
            <w:r>
              <w:rPr>
                <w:rFonts w:ascii="Arial" w:cs="Arial" w:eastAsia="Arial" w:hAnsi="Arial"/>
                <w:sz w:val="24"/>
                <w:szCs w:val="24"/>
                <w:color w:val="auto"/>
                <w:vertAlign w:val="superscript"/>
              </w:rPr>
              <w:t>(1)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74,978</w:t>
            </w:r>
          </w:p>
        </w:tc>
        <w:tc>
          <w:tcPr>
            <w:tcW w:w="140" w:type="dxa"/>
            <w:vAlign w:val="bottom"/>
            <w:shd w:val="clear" w:color="auto" w:fill="CCEEFF"/>
          </w:tcPr>
          <w:p>
            <w:pPr>
              <w:spacing w:after="0"/>
              <w:rPr>
                <w:sz w:val="18"/>
                <w:szCs w:val="18"/>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Provision for credit losses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(3,727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(4,632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Noninterest income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14,412</w:t>
            </w:r>
          </w:p>
        </w:tc>
        <w:tc>
          <w:tcPr>
            <w:tcW w:w="140" w:type="dxa"/>
            <w:vAlign w:val="bottom"/>
            <w:shd w:val="clear" w:color="auto" w:fill="CCEEFF"/>
          </w:tcPr>
          <w:p>
            <w:pPr>
              <w:spacing w:after="0"/>
              <w:rPr>
                <w:sz w:val="18"/>
                <w:szCs w:val="18"/>
                <w:color w:val="auto"/>
              </w:rPr>
            </w:pPr>
          </w:p>
        </w:tc>
      </w:tr>
      <w:tr>
        <w:trPr>
          <w:trHeight w:val="216"/>
        </w:trPr>
        <w:tc>
          <w:tcPr>
            <w:tcW w:w="556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Noninterest expense </w:t>
            </w:r>
            <w:r>
              <w:rPr>
                <w:rFonts w:ascii="Arial" w:cs="Arial" w:eastAsia="Arial" w:hAnsi="Arial"/>
                <w:sz w:val="25"/>
                <w:szCs w:val="25"/>
                <w:color w:val="auto"/>
                <w:vertAlign w:val="superscript"/>
              </w:rPr>
              <w:t>(3)</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27,424</w:t>
            </w:r>
          </w:p>
        </w:tc>
        <w:tc>
          <w:tcPr>
            <w:tcW w:w="140" w:type="dxa"/>
            <w:vAlign w:val="bottom"/>
            <w:shd w:val="clear" w:color="auto" w:fill="CCEEFF"/>
          </w:tcPr>
          <w:p>
            <w:pPr>
              <w:spacing w:after="0"/>
              <w:rPr>
                <w:sz w:val="18"/>
                <w:szCs w:val="18"/>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5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22,739</w:t>
            </w:r>
          </w:p>
        </w:tc>
        <w:tc>
          <w:tcPr>
            <w:tcW w:w="1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22,027</w:t>
            </w:r>
          </w:p>
        </w:tc>
        <w:tc>
          <w:tcPr>
            <w:tcW w:w="140" w:type="dxa"/>
            <w:vAlign w:val="bottom"/>
            <w:tcBorders>
              <w:bottom w:val="single" w:sz="8" w:color="auto"/>
            </w:tcBorders>
            <w:shd w:val="clear" w:color="auto" w:fill="CCEEFF"/>
          </w:tcPr>
          <w:p>
            <w:pPr>
              <w:spacing w:after="0"/>
              <w:rPr>
                <w:sz w:val="21"/>
                <w:szCs w:val="21"/>
                <w:color w:val="auto"/>
              </w:rPr>
            </w:pPr>
          </w:p>
        </w:tc>
      </w:tr>
      <w:tr>
        <w:trPr>
          <w:trHeight w:val="197"/>
        </w:trPr>
        <w:tc>
          <w:tcPr>
            <w:tcW w:w="5560" w:type="dxa"/>
            <w:vAlign w:val="bottom"/>
            <w:gridSpan w:val="2"/>
          </w:tcPr>
          <w:p>
            <w:pPr>
              <w:spacing w:after="0" w:line="196" w:lineRule="exact"/>
              <w:rPr>
                <w:sz w:val="20"/>
                <w:szCs w:val="20"/>
                <w:color w:val="auto"/>
              </w:rPr>
            </w:pPr>
            <w:r>
              <w:rPr>
                <w:rFonts w:ascii="Arial" w:cs="Arial" w:eastAsia="Arial" w:hAnsi="Arial"/>
                <w:sz w:val="18"/>
                <w:szCs w:val="18"/>
                <w:color w:val="auto"/>
              </w:rPr>
              <w:t>Total average assets for period ended</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1,972,376</w:t>
            </w:r>
          </w:p>
        </w:tc>
        <w:tc>
          <w:tcPr>
            <w:tcW w:w="160" w:type="dxa"/>
            <w:vAlign w:val="bottom"/>
          </w:tcPr>
          <w:p>
            <w:pPr>
              <w:spacing w:after="0"/>
              <w:rPr>
                <w:sz w:val="17"/>
                <w:szCs w:val="17"/>
                <w:color w:val="auto"/>
              </w:rPr>
            </w:pPr>
          </w:p>
        </w:tc>
        <w:tc>
          <w:tcPr>
            <w:tcW w:w="800" w:type="dxa"/>
            <w:vAlign w:val="bottom"/>
            <w:gridSpan w:val="2"/>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403,990</w:t>
            </w:r>
          </w:p>
        </w:tc>
        <w:tc>
          <w:tcPr>
            <w:tcW w:w="140" w:type="dxa"/>
            <w:vAlign w:val="bottom"/>
          </w:tcPr>
          <w:p>
            <w:pPr>
              <w:spacing w:after="0"/>
              <w:rPr>
                <w:sz w:val="17"/>
                <w:szCs w:val="17"/>
                <w:color w:val="auto"/>
              </w:rPr>
            </w:pPr>
          </w:p>
        </w:tc>
        <w:tc>
          <w:tcPr>
            <w:tcW w:w="6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2,376,366</w:t>
            </w:r>
          </w:p>
        </w:tc>
        <w:tc>
          <w:tcPr>
            <w:tcW w:w="14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56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FTEs</w:t>
            </w:r>
          </w:p>
        </w:tc>
        <w:tc>
          <w:tcPr>
            <w:tcW w:w="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389</w:t>
            </w:r>
          </w:p>
        </w:tc>
        <w:tc>
          <w:tcPr>
            <w:tcW w:w="1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w:t>
            </w:r>
          </w:p>
        </w:tc>
        <w:tc>
          <w:tcPr>
            <w:tcW w:w="1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529</w:t>
            </w:r>
          </w:p>
        </w:tc>
        <w:tc>
          <w:tcPr>
            <w:tcW w:w="140" w:type="dxa"/>
            <w:vAlign w:val="bottom"/>
            <w:tcBorders>
              <w:bottom w:val="single" w:sz="8" w:color="auto"/>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03" w:lineRule="exact"/>
        <w:rPr>
          <w:sz w:val="20"/>
          <w:szCs w:val="20"/>
          <w:color w:val="auto"/>
        </w:rPr>
      </w:pPr>
    </w:p>
    <w:p>
      <w:pPr>
        <w:jc w:val="both"/>
        <w:ind w:left="340" w:hanging="332"/>
        <w:spacing w:after="0" w:line="25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interest income is the difference between interest earned on assets and the cost of liabilities to fund those assets. Interest earned includes actual interest earned on segment assets and, if the segment has excess liabilities, interest credits for providing funding to the other segment. The cost of liabilities includes interest expense on segment liabilities and, if the segment does not have enough liabilities to fund its assets, a funding charge based on the cost of assigned liabilities to fund segment assets.</w:t>
      </w:r>
    </w:p>
    <w:p>
      <w:pPr>
        <w:spacing w:after="0" w:line="2" w:lineRule="exact"/>
        <w:rPr>
          <w:rFonts w:ascii="Arial" w:cs="Arial" w:eastAsia="Arial" w:hAnsi="Arial"/>
          <w:sz w:val="18"/>
          <w:szCs w:val="18"/>
          <w:color w:val="auto"/>
        </w:rPr>
      </w:pPr>
    </w:p>
    <w:p>
      <w:pPr>
        <w:ind w:left="280" w:right="260" w:hanging="272"/>
        <w:spacing w:after="0" w:line="281" w:lineRule="auto"/>
        <w:tabs>
          <w:tab w:leader="none" w:pos="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Noninterest income includes activity from certain residential mortgage loans that were initially originated for sale and measured at fair value, and subsequently transferred to loans held for investment. Gains and losses from changes in fair value for these loans are reported in earnings as a component of noninterest income. For the three and nine months ended September 30, 2023, the Company recorded a net decrease in fair value of $343,000 and $285,000, as compared to a net decrease in fair value of $816,000 and $1.8 million for the three and nine months ended September 30, 2022, respectively. As of September 30, 2023 and 2022, there were $15.2 million and $14.2 million, respectively, in residential mortgage loans recorded at fair value as they were previously transferred from loans held for sale to loans held for investment.</w:t>
      </w:r>
    </w:p>
    <w:p>
      <w:pPr>
        <w:spacing w:after="0" w:line="3" w:lineRule="exact"/>
        <w:rPr>
          <w:rFonts w:ascii="Arial" w:cs="Arial" w:eastAsia="Arial" w:hAnsi="Arial"/>
          <w:sz w:val="16"/>
          <w:szCs w:val="16"/>
          <w:color w:val="auto"/>
        </w:rPr>
      </w:pPr>
    </w:p>
    <w:p>
      <w:pPr>
        <w:ind w:left="280" w:right="100" w:hanging="272"/>
        <w:spacing w:after="0" w:line="255"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Noninterest expense includes allocated overhead expense from general corporate activities. Allocation is determined based on a combination of segment assets and FTEs. For the three and nine months ended September 30, 2023 and 2022, the Home Lending segment included allocated overhead expenses of $1.5 million and $4.7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16 </w:t>
      </w:r>
      <w:r>
        <w:rPr>
          <w:rFonts w:ascii="Arial" w:cs="Arial" w:eastAsia="Arial" w:hAnsi="Arial"/>
          <w:sz w:val="18"/>
          <w:szCs w:val="18"/>
          <w:color w:val="auto"/>
        </w:rPr>
        <w:t>–</w:t>
      </w:r>
      <w:r>
        <w:rPr>
          <w:rFonts w:ascii="Arial" w:cs="Arial" w:eastAsia="Arial" w:hAnsi="Arial"/>
          <w:sz w:val="18"/>
          <w:szCs w:val="18"/>
          <w:b w:val="1"/>
          <w:bCs w:val="1"/>
          <w:color w:val="auto"/>
        </w:rPr>
        <w:t xml:space="preserve"> GOODWILL AND OTHER INTANGIBLE ASSETS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and certain other intangibles generally arise from business combinations accounted for under the acquisition method of accounting. Goodwill totaled $3.6 million at September 30, 2023, and $2.3 million at December 31, 2022, and represents the excess of the total acquisition price paid over the fair value of the assets acquired, net of the fair values of liabilities assumed in the Branch Purchase on February 24, 2023, and the purchase of four retail bank branches from Bank of America on January 22, 2016. Goodwill is not amortized but is evaluated for impairment on an annual basis at December 31 of each year or whenever events or changes in circumstances indicate the carrying value may not be recoverable. The Company performed an impairment analysis at September 30, 2023, and determined that no impairment of goodwill existed.</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Core deposit intangible (“CDI”) is evaluated for impairment whenever events or changes in circumstances indicate that its carrying amount may not be recoverable, with any changes in estimated useful life accounted for prospectively over the revised remaining life. As of September 30, 2023, management believes that there have been no events or changes in the circumstances that would indicate a potential impairment of CDI.</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changes in the Company’s other intangible assets comprised solely of CDI for the year ended September 30, 2023, and the nine months ended September 30,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Other Intangible Assets</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95"/>
        </w:trPr>
        <w:tc>
          <w:tcPr>
            <w:tcW w:w="6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270"/>
              <w:spacing w:after="0" w:line="195" w:lineRule="exact"/>
              <w:rPr>
                <w:sz w:val="20"/>
                <w:szCs w:val="20"/>
                <w:color w:val="auto"/>
              </w:rPr>
            </w:pPr>
            <w:r>
              <w:rPr>
                <w:rFonts w:ascii="Arial" w:cs="Arial" w:eastAsia="Arial" w:hAnsi="Arial"/>
                <w:sz w:val="18"/>
                <w:szCs w:val="18"/>
                <w:color w:val="auto"/>
                <w:w w:val="96"/>
              </w:rPr>
              <w:t>Accumulated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0"/>
        </w:trPr>
        <w:tc>
          <w:tcPr>
            <w:tcW w:w="6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Gross CDI</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Amortization</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Net CDI</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4,060</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2022</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3,369</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Additions as a result of the Branch Purchase</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17,438</w:t>
            </w:r>
          </w:p>
        </w:tc>
      </w:tr>
      <w:tr>
        <w:trPr>
          <w:trHeight w:val="216"/>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Balance, September 30, 2023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24,928</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(6,605)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18,323</w:t>
            </w:r>
          </w:p>
        </w:tc>
      </w:tr>
      <w:tr>
        <w:trPr>
          <w:trHeight w:val="20"/>
        </w:trPr>
        <w:tc>
          <w:tcPr>
            <w:tcW w:w="6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CDI represents the fair value of the intangible core deposit base acquired in business combinations. The CDI will be amortized on an accelerated basis over 10 years for the CDI related to the Branch Purchase, on a straight-line basis over 10 years for the CDI related to the Anchor Bank acquisition in November 2018 (“Anchor Acquisition”) and on an accelerated basis over approximately nine years for the CDI related to the four retail bank purchase from Bank of America on January 22, 2016. Total amortization expense was $1.0 million and $2.5 million for the three and nine months ended September 30, 2023, and $173,000 and $518,000 for the same periods in 2022, respectively.</w:t>
      </w:r>
    </w:p>
    <w:p>
      <w:pPr>
        <w:sectPr>
          <w:pgSz w:w="11900" w:h="16838" w:orient="portrait"/>
          <w:cols w:equalWidth="0" w:num="1">
            <w:col w:w="11240"/>
          </w:cols>
          <w:pgMar w:left="320" w:top="108"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78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80"/>
        </w:trPr>
        <w:tc>
          <w:tcPr>
            <w:tcW w:w="7820" w:type="dxa"/>
            <w:vAlign w:val="bottom"/>
            <w:gridSpan w:val="2"/>
          </w:tcPr>
          <w:p>
            <w:pPr>
              <w:spacing w:after="0"/>
              <w:rPr>
                <w:sz w:val="20"/>
                <w:szCs w:val="20"/>
                <w:color w:val="auto"/>
              </w:rPr>
            </w:pPr>
            <w:r>
              <w:rPr>
                <w:rFonts w:ascii="Arial" w:cs="Arial" w:eastAsia="Arial" w:hAnsi="Arial"/>
                <w:sz w:val="18"/>
                <w:szCs w:val="18"/>
                <w:color w:val="auto"/>
              </w:rPr>
              <w:t>Amortization expense for CDI is expected to be as follows at September 30, 2023:</w:t>
            </w:r>
          </w:p>
        </w:tc>
        <w:tc>
          <w:tcPr>
            <w:tcW w:w="1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23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2024</w:t>
            </w:r>
          </w:p>
        </w:tc>
        <w:tc>
          <w:tcPr>
            <w:tcW w:w="65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3,633</w:t>
            </w: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5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2026</w:t>
            </w:r>
          </w:p>
        </w:tc>
        <w:tc>
          <w:tcPr>
            <w:tcW w:w="65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2,846</w:t>
            </w: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65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8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5,173</w:t>
            </w:r>
          </w:p>
        </w:tc>
      </w:tr>
      <w:tr>
        <w:trPr>
          <w:trHeight w:val="249"/>
        </w:trPr>
        <w:tc>
          <w:tcPr>
            <w:tcW w:w="7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18,323</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17 </w:t>
      </w:r>
      <w:r>
        <w:rPr>
          <w:rFonts w:ascii="Arial" w:cs="Arial" w:eastAsia="Arial" w:hAnsi="Arial"/>
          <w:sz w:val="18"/>
          <w:szCs w:val="18"/>
          <w:color w:val="auto"/>
        </w:rPr>
        <w:t>–</w:t>
      </w:r>
      <w:r>
        <w:rPr>
          <w:rFonts w:ascii="Arial" w:cs="Arial" w:eastAsia="Arial" w:hAnsi="Arial"/>
          <w:sz w:val="18"/>
          <w:szCs w:val="18"/>
          <w:b w:val="1"/>
          <w:bCs w:val="1"/>
          <w:color w:val="auto"/>
        </w:rPr>
        <w:t xml:space="preserve">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accordance with Topic 606, revenues are recognized when control of promised goods or services is transferred to customers in an amount that reflects the consideration the Company expects to be entitled to in exchange for those goods or services. To determine revenue recognition for arrangements that an entity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that are promised within each contract and identifies those that contain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the Company’s revenue from contracts with customers in-scope of ASC 606 is recognized in noninterest income and included in our commercial and consumer banking segment. The following table presents noninterest income, segregated by revenue streams in-scope and out-of-scope and/or immaterial to Topic 606, for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auto"/>
                <w:w w:val="95"/>
              </w:rPr>
              <w:t>At or For the Three Months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4"/>
          </w:tcPr>
          <w:p>
            <w:pPr>
              <w:jc w:val="right"/>
              <w:ind w:right="230"/>
              <w:spacing w:after="0"/>
              <w:rPr>
                <w:sz w:val="20"/>
                <w:szCs w:val="20"/>
                <w:color w:val="auto"/>
              </w:rPr>
            </w:pPr>
            <w:r>
              <w:rPr>
                <w:rFonts w:ascii="Arial" w:cs="Arial" w:eastAsia="Arial" w:hAnsi="Arial"/>
                <w:sz w:val="18"/>
                <w:szCs w:val="18"/>
                <w:color w:val="auto"/>
                <w:w w:val="92"/>
              </w:rPr>
              <w:t>For the Nine Months Ended</w:t>
            </w:r>
          </w:p>
        </w:tc>
      </w:tr>
      <w:tr>
        <w:trPr>
          <w:trHeight w:val="230"/>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September 30,</w:t>
            </w: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r>
      <w:tr>
        <w:trPr>
          <w:trHeight w:val="21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In-scope of Topic 606:</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Debit card interchange fees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867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2,388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1,702</w:t>
            </w:r>
          </w:p>
        </w:tc>
      </w:tr>
      <w:tr>
        <w:trPr>
          <w:trHeight w:val="216"/>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Deposit service and account maintenance fees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r>
      <w:tr>
        <w:trPr>
          <w:trHeight w:val="210"/>
        </w:trPr>
        <w:tc>
          <w:tcPr>
            <w:tcW w:w="5980" w:type="dxa"/>
            <w:vAlign w:val="bottom"/>
          </w:tcPr>
          <w:p>
            <w:pPr>
              <w:ind w:left="180"/>
              <w:spacing w:after="0"/>
              <w:rPr>
                <w:sz w:val="20"/>
                <w:szCs w:val="20"/>
                <w:color w:val="auto"/>
              </w:rPr>
            </w:pPr>
            <w:r>
              <w:rPr>
                <w:rFonts w:ascii="Arial" w:cs="Arial" w:eastAsia="Arial" w:hAnsi="Arial"/>
                <w:sz w:val="18"/>
                <w:szCs w:val="18"/>
                <w:color w:val="auto"/>
              </w:rPr>
              <w:t>Noninterest income (in-scope of Topic 606)</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2,380</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Noninterest income (out-of-scope and/or immaterial to Topic 606)</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3,742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3,369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11,610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12,032</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4,982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4,181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15,034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14,412</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Service and Account Maintenance Fees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Bank earns fees from its deposit customers for account maintenance, transaction-based services, and overdraft charges. Account maintenance fees consist primarily of account fees and analyzed account fees charged on deposit accounts monthly. The performance obligation is satisfied and the fees are recognized monthly as the service period is completed. Transaction-based fees on deposit accounts are charged to deposit customers for specific services provided to the customer, such as wire fees, as well as charges against the account, such as fees for non-sufficient funds and overdrafts. The performance obligation is completed as the transaction occurs and the fees are recognized at the time each specific service is provided to the customer.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Debit Interchange Income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Debit and ATM interchange income represent fees earned when a debit card issued by the Bank is used. The Bank earns interchange fees from debit cardholder transactions through the Visa payment network. Interchange fees from cardholder transactions represent a percentage of the underlying transaction value and are recognized daily, concurrently with the transaction processing services provided to the cardholder. The performance obligation is satisfied and the fees are earned when the cost of the transaction is charged to the cardholders’ debit card.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w:t>
      </w:r>
      <w:r>
        <w:rPr>
          <w:rFonts w:ascii="Arial" w:cs="Arial" w:eastAsia="Arial" w:hAnsi="Arial"/>
          <w:sz w:val="18"/>
          <w:szCs w:val="18"/>
          <w:color w:val="auto"/>
        </w:rPr>
        <w:t>–</w:t>
      </w:r>
      <w:r>
        <w:rPr>
          <w:rFonts w:ascii="Arial" w:cs="Arial" w:eastAsia="Arial" w:hAnsi="Arial"/>
          <w:sz w:val="18"/>
          <w:szCs w:val="18"/>
          <w:b w:val="1"/>
          <w:bCs w:val="1"/>
          <w:color w:val="auto"/>
        </w:rPr>
        <w:t>Looking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report contains forward-looking statements, which can be identified by the use of words such as “believes,” “expects,” “anticipates,” “estimates,” or similar expressions. Forward-looking statements include, but are not limited to:</w:t>
      </w:r>
    </w:p>
    <w:p>
      <w:pPr>
        <w:spacing w:after="0" w:line="17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of our goals, intentions, and expectations;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regarding our business plans, prospects, growth, and operating strategies;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regarding the quality of our loan and investment portfolios;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estimates of our risks and future costs and benefits.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forward-looking statements are subject to significant risks and uncertainties. Actual results may differ materially from those contemplated by the forward-looking statements due to, among others, the following factors:</w:t>
      </w:r>
    </w:p>
    <w:p>
      <w:pPr>
        <w:spacing w:after="0" w:line="170" w:lineRule="exact"/>
        <w:rPr>
          <w:sz w:val="20"/>
          <w:szCs w:val="20"/>
          <w:color w:val="auto"/>
        </w:rPr>
      </w:pPr>
    </w:p>
    <w:p>
      <w:pPr>
        <w:jc w:val="both"/>
        <w:ind w:left="340" w:hanging="332"/>
        <w:spacing w:after="0" w:line="255"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expected revenues, cost savings, synergies and other benefits from our recently completed branch purchase, might not be realized within the expected time frames or at all and costs or difficulties relating to integration matters, including but not limited to customer and employee retention, might be greater than expected;</w:t>
      </w:r>
    </w:p>
    <w:p>
      <w:pPr>
        <w:spacing w:after="0" w:line="2" w:lineRule="exact"/>
        <w:rPr>
          <w:rFonts w:ascii="Arial" w:cs="Arial" w:eastAsia="Arial" w:hAnsi="Arial"/>
          <w:sz w:val="18"/>
          <w:szCs w:val="18"/>
          <w:color w:val="auto"/>
        </w:rPr>
      </w:pPr>
    </w:p>
    <w:p>
      <w:pPr>
        <w:ind w:left="340" w:right="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adverse impacts to economic conditions in the Company’s local market areas, other markets where the Company has lending relationships, or other aspects of the Company’s business operations or financial markets, including, without limitation, as a result of employment levels, labor shortages, the effects of inflation, a potential recession or slowed economic growth;</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interest rate environment, including the recent increases in the Board of Governors of the Federal Reserve System (“Federal Reserve”) benchmark rate and duration at which such increased interest rate levels are maintained, which could adversely affect our revenues and expenses, the values of our assets and obligations, and the availability and cost of capital and liquidity;</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continuing high inflation and the current and future monetary policies of the Federal Reserve in response thereto;</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any federal government shutdown;</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credit risks of lending activities, including changes in the level and trend of loan delinquencies, write offs, changes in our allowance for credit losses (“ACL”) for loans, and provision for credit losses on loans that may be impacted by deterioration in the housing and commercial real estate markets;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secondary market conditions and our ability to originate loans for sale and sell loans in the secondary market;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fluctuations in the demand for loans, the number of unsold homes, land and other properties, and fluctuations in real estate values in our market area;</w:t>
      </w:r>
    </w:p>
    <w:p>
      <w:pPr>
        <w:spacing w:after="0" w:line="32" w:lineRule="exact"/>
        <w:rPr>
          <w:rFonts w:ascii="Arial" w:cs="Arial" w:eastAsia="Arial" w:hAnsi="Arial"/>
          <w:sz w:val="16"/>
          <w:szCs w:val="16"/>
          <w:color w:val="auto"/>
        </w:rPr>
      </w:pPr>
    </w:p>
    <w:p>
      <w:pPr>
        <w:ind w:left="340" w:right="2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staffing fluctuations in response to product demand or the implementation of corporate strategies that affect our workforce and potential associated charges;</w:t>
      </w:r>
    </w:p>
    <w:p>
      <w:pPr>
        <w:ind w:left="340" w:right="2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use of estimates in determining fair value of certain of our assets, which estimates may prove to be incorrect and result in significant declines in valuation;</w:t>
      </w: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interest rate environment that reduce our interest margins or reduce the fair value of financial instruments;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competitive pressures among financial services companies;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execute our plans to grow our residential construction lending, our home lending operations, our warehouse lending, and the geographic expansion of our indirect home improvement lending;</w:t>
      </w: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and retain deposits;</w:t>
      </w:r>
    </w:p>
    <w:p>
      <w:pPr>
        <w:spacing w:after="0" w:line="9" w:lineRule="exact"/>
        <w:rPr>
          <w:rFonts w:ascii="Arial" w:cs="Arial" w:eastAsia="Arial" w:hAnsi="Arial"/>
          <w:sz w:val="18"/>
          <w:szCs w:val="18"/>
          <w:color w:val="auto"/>
        </w:rPr>
      </w:pPr>
    </w:p>
    <w:p>
      <w:pPr>
        <w:ind w:left="340" w:hanging="332"/>
        <w:spacing w:after="0" w:line="281"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successfully integrate any assets, liabilities, customers, systems, and management personnel we may in the future acquire into our operations and our ability to realize related revenue synergies and cost savings within expected time frames and any goodwill charges related thereto;</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control operating costs and expenses;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retain key members of our senior management team;</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consumer spending, borrowing, and savings habits;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manage our growth;</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bank failures or adverse developments at other banks and related negative press about the banking industry in general on investor and depositor sentiment;</w:t>
      </w:r>
    </w:p>
    <w:p>
      <w:pPr>
        <w:ind w:left="340" w:right="20" w:hanging="332"/>
        <w:spacing w:after="0" w:line="26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legislative or regulatory changes that adversely affect our business including changes in banking, securities and tax law, and in regulatory policies and principles, or the interpretation of regulatory capital or other rules;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pay dividends on our common stock;</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quality and composition of our securities portfolio and the impact of any adverse changes in the securities markets;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policies and practices, as may be adopted by the bank regulatory agencies, the Public Company Accounting Oversight Board or the Financial Accounting Standards Board (“FASB”);</w:t>
      </w: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and effects of litigation, including settlements and judgments;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security breaches, or other adverse events, failures, or interruptions in, or attacks on, our information technology systems or on the third-party vendors who perform several of our critical processing functions;</w:t>
      </w: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of key third-party vendors to perform their obligations to us;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economic impact of climate change, severe weather events, natural disasters, pandemics, epidemics and other public health crises, acts of war or terrorism, and other external events on our business;</w:t>
      </w: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economic, competitive, governmental, regulatory, and technical factors affecting our operations, pricing, products and services, and</w:t>
      </w:r>
    </w:p>
    <w:p>
      <w:pPr>
        <w:spacing w:after="0" w:line="9" w:lineRule="exact"/>
        <w:rPr>
          <w:rFonts w:ascii="Arial" w:cs="Arial" w:eastAsia="Arial" w:hAnsi="Arial"/>
          <w:sz w:val="18"/>
          <w:szCs w:val="18"/>
          <w:color w:val="auto"/>
        </w:rPr>
      </w:pPr>
    </w:p>
    <w:p>
      <w:pPr>
        <w:ind w:left="340" w:hanging="332"/>
        <w:spacing w:after="0" w:line="216" w:lineRule="exact"/>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risks described elsewhere in this Form 10</w:t>
      </w:r>
      <w:r>
        <w:rPr>
          <w:rFonts w:ascii="MS PGothic" w:cs="MS PGothic" w:eastAsia="MS PGothic" w:hAnsi="MS PGothic"/>
          <w:sz w:val="18"/>
          <w:szCs w:val="18"/>
          <w:color w:val="auto"/>
        </w:rPr>
        <w:t>‑</w:t>
      </w:r>
      <w:r>
        <w:rPr>
          <w:rFonts w:ascii="Arial" w:cs="Arial" w:eastAsia="Arial" w:hAnsi="Arial"/>
          <w:sz w:val="18"/>
          <w:szCs w:val="18"/>
          <w:color w:val="auto"/>
        </w:rPr>
        <w:t>Q and our other reports filed with or furnished to SEC, including our Annual Report on Form 10-K for the year ended December 31, 2022.</w:t>
      </w:r>
    </w:p>
    <w:p>
      <w:pPr>
        <w:spacing w:after="0" w:line="202"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Any of the forward-looking statements made in this Form 10</w:t>
      </w:r>
      <w:r>
        <w:rPr>
          <w:rFonts w:ascii="MS PGothic" w:cs="MS PGothic" w:eastAsia="MS PGothic" w:hAnsi="MS PGothic"/>
          <w:sz w:val="17"/>
          <w:szCs w:val="17"/>
          <w:color w:val="auto"/>
        </w:rPr>
        <w:t>‑</w:t>
      </w:r>
      <w:r>
        <w:rPr>
          <w:rFonts w:ascii="Arial" w:cs="Arial" w:eastAsia="Arial" w:hAnsi="Arial"/>
          <w:sz w:val="17"/>
          <w:szCs w:val="17"/>
          <w:color w:val="auto"/>
        </w:rPr>
        <w:t>Q and in other public statements may turn out to be wrong because of inaccurate assumptions we might make, because of the factors illustrated above or because of other factors that we cannot foresee. Forward-looking statements are based upon management’s beliefs and assumptions at the time they are made. The Company undertakes no obligation to update or revise any forward-looking statement included in this report or to update the reasons why actual results could differ from those contained in such statements, whether as a result of new information, future events or otherwise. In light of these risks, uncertainties and assumptions, the forward-looking statements discussed in this report might not occur and you should not put undue reliance on any 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FS Bancorp and its subsidiary bank, 1st Security Bank have been serving the Puget Sound area since 1936. Originally chartered as a credit union, known as Washington’s Credit Union, the credit union served various select employment groups. On April 1, 2004, the credit union converted to a Washington state-chartered mutual savings bank. On July 9, 2012, the Bank converted from mutual to stock ownership and became the wholly owned subsidiary of FS Bancorp.</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is relationship-driven, delivering banking and financial services to local families, local and regional businesses and industry niches in suburban communities in the greater Puget Sound area, the Kennewick-Pasco-Richland metropolitan area of Washington, also known as the Tri-Cities, Goldendale, Vancouver, and White Salmon, Washington and Manzanita, Newport, Ontario, Tillamook and Waldport, Oregon. On February 24, 2023, the Company completed its purchase of seven retail bank branches from Columbia State Bank (the “Branch Purchase”) and acquired approximately $425.5 million in deposits and $66.1 million in loans. The seven acquired branches are in the communities of Goldendale, and White Salmon, Washington, and Manzanita, Newport, Ontario, Tillamook, and Waldport, Oregon. The Branch Purchase expanded our Puget Sound-focused retail footprint into southeast Washington and the state of Oregon as well as providing an opportunity to extend our unique brand of community banking into those communities.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also maintains its long-standing indirect consumer lending platform which operates primarily throughout the Western United States and has been expanding its partnership with companies present in other areas of the country as well. The Company emphasizes long-term relationships with families and businesses within the communities served, working with them to meet their financial needs. The Company is also actively involved in community activities and events within these market areas, which further strengthens our relationships within those markets.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focuses on diversifying revenues, expanding lending channels, and growing the banking franchise. Management remains focused on building diversified revenue streams based upon credit, interest rate, and concentration risks. Our business plan remains as follows:</w:t>
      </w:r>
    </w:p>
    <w:p>
      <w:pPr>
        <w:spacing w:after="0" w:line="146"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Growing and diversifying our loan portfolio;</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strong asset quality;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Emphasizing lower cost core deposits to reduce the costs of funding our loan growth;</w:t>
      </w:r>
    </w:p>
    <w:p>
      <w:pPr>
        <w:spacing w:after="0" w:line="9" w:lineRule="exact"/>
        <w:rPr>
          <w:rFonts w:ascii="Arial" w:cs="Arial" w:eastAsia="Arial" w:hAnsi="Arial"/>
          <w:sz w:val="18"/>
          <w:szCs w:val="18"/>
          <w:color w:val="auto"/>
        </w:rPr>
      </w:pPr>
    </w:p>
    <w:p>
      <w:pPr>
        <w:ind w:left="340" w:right="340" w:hanging="332"/>
        <w:spacing w:after="0" w:line="265"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Capturing our customers’ full relationship by offering a wide range of products and services by leveraging our well-established involvement in our communities and by selectively emphasizing products and services designed to meet our customers’ banking needs; and</w:t>
      </w: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Expanding the Company’s markets.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 a diversified lender with a focus on the origination of one-to-four-family loans, commercial real estate mortgage loans, second mortgage or home equity loan products, consumer loans including indirect home improvement (“fixture secured”) loans which also include solar-related home improvement loans, marine lending, and commercial business loans. As part of our expanding lending products, the Company additionally offers residential mortgage and commercial construction warehouse lending consistent with our business plan to further diversify revenues. Historically, consumer loans, in particular, fixture secured loans had represented the largest portion of the Company’s loan portfolio and had traditionally been the mainstay of the Company’s lending strategy. At September 30, 2023, consumer loans represented 26.6% of the Company’s total gross loan portfolio, compared to 24.6% at September 30, 2022. In recent years, the Company has placed more of an emphasis on real estate lending products, such as one-to-four-family loans, commercial real estate loans, including speculative residential construction loans, and commercial business loans, while growing the current size of the consumer loan portfolio.</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Fixture secured loans to finance window, gutter, siding replacement, solar panels, spas, and other improvement renovations are a large and regionally expanding segment of the consumer loan portfolio. These fixture-secured consumer loans are dependent on the Bank’s contractor/dealer network of 92 active dealers located throughout Washington, Oregon, California, Idaho, Colorado, Nevada, Arizona, Minnesota, Texas, Utah, Massachusetts, Montana, and most recently, New Hampshire with five contractor/dealers responsible for 65.5% of the dollar volume of funded loans for the three months ended September 30, 2023. Management reviewed dealer concentrations and determined, as of September 30, 2023, any dealer owned by the same corporate entity will now be included under that corporate entity and not as a separate dealer. The Company funded $39.0 million or approximately 1,700 loans during the quarter ended September 30, 2023. The following table details fixture secured loan originations by state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60" w:type="dxa"/>
            <w:vAlign w:val="bottom"/>
          </w:tcPr>
          <w:p>
            <w:pPr>
              <w:spacing w:after="0"/>
              <w:rPr>
                <w:sz w:val="18"/>
                <w:szCs w:val="18"/>
                <w:color w:val="auto"/>
              </w:rPr>
            </w:pPr>
          </w:p>
        </w:tc>
        <w:tc>
          <w:tcPr>
            <w:tcW w:w="2440" w:type="dxa"/>
            <w:vAlign w:val="bottom"/>
            <w:gridSpan w:val="3"/>
          </w:tcPr>
          <w:p>
            <w:pPr>
              <w:jc w:val="right"/>
              <w:ind w:right="290"/>
              <w:spacing w:after="0"/>
              <w:rPr>
                <w:sz w:val="20"/>
                <w:szCs w:val="20"/>
                <w:color w:val="auto"/>
              </w:rPr>
            </w:pPr>
            <w:r>
              <w:rPr>
                <w:rFonts w:ascii="Arial" w:cs="Arial" w:eastAsia="Arial" w:hAnsi="Arial"/>
                <w:sz w:val="18"/>
                <w:szCs w:val="18"/>
                <w:color w:val="auto"/>
                <w:w w:val="92"/>
              </w:rPr>
              <w:t>For the Nine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3"/>
          </w:tcPr>
          <w:p>
            <w:pPr>
              <w:jc w:val="right"/>
              <w:ind w:right="590"/>
              <w:spacing w:after="0"/>
              <w:rPr>
                <w:sz w:val="20"/>
                <w:szCs w:val="20"/>
                <w:color w:val="auto"/>
              </w:rPr>
            </w:pPr>
            <w:r>
              <w:rPr>
                <w:rFonts w:ascii="Arial" w:cs="Arial" w:eastAsia="Arial" w:hAnsi="Arial"/>
                <w:sz w:val="18"/>
                <w:szCs w:val="18"/>
                <w:color w:val="auto"/>
              </w:rPr>
              <w:t>For the Year Ended</w:t>
            </w:r>
          </w:p>
        </w:tc>
        <w:tc>
          <w:tcPr>
            <w:tcW w:w="0" w:type="dxa"/>
            <w:vAlign w:val="bottom"/>
          </w:tcPr>
          <w:p>
            <w:pPr>
              <w:spacing w:after="0"/>
              <w:rPr>
                <w:sz w:val="1"/>
                <w:szCs w:val="1"/>
                <w:color w:val="auto"/>
              </w:rPr>
            </w:pPr>
          </w:p>
        </w:tc>
      </w:tr>
      <w:tr>
        <w:trPr>
          <w:trHeight w:val="230"/>
        </w:trPr>
        <w:tc>
          <w:tcPr>
            <w:tcW w:w="5840" w:type="dxa"/>
            <w:vAlign w:val="bottom"/>
            <w:vMerge w:val="restart"/>
          </w:tcPr>
          <w:p>
            <w:pPr>
              <w:spacing w:after="0"/>
              <w:rPr>
                <w:sz w:val="20"/>
                <w:szCs w:val="20"/>
                <w:color w:val="auto"/>
              </w:rPr>
            </w:pPr>
            <w:r>
              <w:rPr>
                <w:rFonts w:ascii="Arial" w:cs="Arial" w:eastAsia="Arial" w:hAnsi="Arial"/>
                <w:sz w:val="18"/>
                <w:szCs w:val="18"/>
                <w:color w:val="auto"/>
              </w:rPr>
              <w:t>State</w:t>
            </w:r>
          </w:p>
        </w:tc>
        <w:tc>
          <w:tcPr>
            <w:tcW w:w="100" w:type="dxa"/>
            <w:vAlign w:val="bottom"/>
            <w:vMerge w:val="restart"/>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September 30, 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December 31, 2022</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Percent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Percent</w:t>
            </w:r>
          </w:p>
        </w:tc>
        <w:tc>
          <w:tcPr>
            <w:tcW w:w="0" w:type="dxa"/>
            <w:vAlign w:val="bottom"/>
          </w:tcPr>
          <w:p>
            <w:pPr>
              <w:spacing w:after="0"/>
              <w:rPr>
                <w:sz w:val="1"/>
                <w:szCs w:val="1"/>
                <w:color w:val="auto"/>
              </w:rPr>
            </w:pPr>
          </w:p>
        </w:tc>
      </w:tr>
      <w:tr>
        <w:trPr>
          <w:trHeight w:val="209"/>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Washington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56,814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102,981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Oregon</w:t>
            </w: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38,002</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73,110</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California</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28,557</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59,175</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Idaho</w:t>
            </w: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11,573</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22,744</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Colorado</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5,489</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14,584</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Arizona</w:t>
            </w: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4,935</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5,029</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Nevada</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4,070</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4,869</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Minnesota</w:t>
            </w: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7,777</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28,503</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Texas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1,246</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Utah</w:t>
            </w: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3,887</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2,674</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Massachusetts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Montana</w:t>
            </w: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1,769</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577</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New Hampshire</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Total fixture secured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164,682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314,955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originates one-to-four-family residential mortgage loans through referrals from real estate agents, financial planners, builders, and from existing customers. Retail banking customers are also an important source of the Company’s loan originations. The Company originated $151.3 million of one-to-four-family loans (which included loans held for sale, loans held for investment and fixed seconds) in addition to $4.4 million of loans brokered to other institutions through the home lending segment during the three months ended September 30, 2023, of which $117.6 million were sold to investors. Of the loans sold to investors, $76.6 million were sold to the FNMA, FHLMC, FHLB, and/or GNMA with servicing rights retained for the purpose of further developing these customer relationships. At September 30, 2023, one-to-four-family residential mortgage loans held for investment, which excludes loans held for sale of $18.6 million, totaled $540.7 million, or 22.5%, of the total gross loan portfolio.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three months ended September 30, 2023, one-to-four-family loan originations and refinancing activity decreased as a result of increased market interest rates. Residential construction and development lending, while not as common as other loan origination options like one-to-four-family loans, will continue to be an important element in our total loan portfolio, and we will continue to take a disciplined approach by concentrating our efforts on loans to builders and developers in our market areas known to us. These short-term loans typically mature in six to 18 months. In addition, the funding is usually not fully disbursed at origination, thereby reducing our net loans receivable in the short term.</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significantly affected by prevailing economic conditions, as well as government policies and regulations concerning, among other things, monetary and fiscal affairs. Deposit flows are influenced by several factors, including interest rates paid on time deposits, other investments, account maturities, and the overall level of personal income and savings. Lending activities are influenced by the demand for funds, the number and quality of lenders, and regional economic cycles. Sources of funds for lending activities include primarily deposits, including brokered deposits, borrowings, payments on loans, and income provided from operations.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earnings are primarily dependent upon net interest income, the difference between interest income and interest expense. Interest income is a function of the balances of loans and investments outstanding during a given period and the yield earned on these loans and investments. Interest expense is a function of the amount of deposits and borrowings outstanding during the same period and interest rates paid on these deposits and borrowings.</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earnings are also significantly affected by fee income from mortgage banking activities, the provision for (recovery of) credit losses, service charges and fees, gains from sales of assets, operating expenses and income taxes. Most notable of these factors, the Company recorded a provision for credit losses $548,000 for the three months ended September 30, 2023, compared to $1.7 million for the same period one year ago. The decreased provision in the current period was primarily due to a decrease in net loan growth, particularly in consumer loans.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prepare our consolidated financial statements in accordance with GAAP. In doing so, we must make estimates and assumptions. Our critical accounting estimates are those estimates that involve a significant level of uncertainty at the time the estimate was made, and changes in the estimate that are reasonably likely to occur from period to period, or use of different estimates that we reasonably could have used in the current period, would have a material impact on our financial condition or results of operations. Accordingly, actual results could differ materially from our estimates. We base our estimates on past experience and other assumptions that we believe are reasonable under the circumstances, and we evaluate these estimates on an ongoing basis. Management believes that its critical accounting policies include the following:</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Allowance for Credit Losses on Held-to-Maturity Securities. </w:t>
      </w:r>
      <w:r>
        <w:rPr>
          <w:rFonts w:ascii="Arial" w:cs="Arial" w:eastAsia="Arial" w:hAnsi="Arial"/>
          <w:sz w:val="16"/>
          <w:szCs w:val="16"/>
          <w:color w:val="auto"/>
        </w:rPr>
        <w:t>Management measures expected credit losses on held-to-maturity securities by individual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security. Accrued interest receivable on held-to-maturity debt securities is excluded from the estimate of credit losses. The estimate of expected credit losses considers credit ratings and historical credit loss information that is adjusted for current conditions and reasonable and supportable forecasts.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held-to-maturity portfolio consists entirely of corporate securities. Securities are generally rated investment grade or higher. Securities are analyzed individually to establish a reserve.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Allowance for Credit Losses on Available-for-Sale Securities. </w:t>
      </w:r>
      <w:r>
        <w:rPr>
          <w:rFonts w:ascii="Arial" w:cs="Arial" w:eastAsia="Arial" w:hAnsi="Arial"/>
          <w:sz w:val="17"/>
          <w:szCs w:val="17"/>
          <w:color w:val="auto"/>
        </w:rPr>
        <w:t>For available-for-sale securities in an unrealized loss position, management first assesses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whether it intends to sell, or is more likely than not to be required to sell, the security before recovery of its amortized cost basis. If either of the criteria regarding intent or requirement to sell is met, the security’s amortized cost basis is written down to fair value through income. For debt securities available-for-sale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ACL is recorded, limited by the amount that the fair value is less than the amortized cost basis.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the ACL are recorded as a provision for (or reversal of) credit loss expense. Losses are charged against the allowance when management believes the uncollectibility of an available-for-sale security is confirmed or when either of the criteria regarding intent or requirement to sell is met. Accrued interest receivable on available-for-sale debt securities is not included in the estimate of credit losses.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Allowance for Credit Losses on Loans. </w:t>
      </w:r>
      <w:r>
        <w:rPr>
          <w:rFonts w:ascii="Arial" w:cs="Arial" w:eastAsia="Arial" w:hAnsi="Arial"/>
          <w:sz w:val="18"/>
          <w:szCs w:val="18"/>
          <w:color w:val="auto"/>
        </w:rPr>
        <w:t>The ACL for loans is a valuation account that is deducted from the loans’ amortized cost basis to present the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expected to be collected on the loans. Loans are charged off against the allowance when management believes the uncollectibility of a loan balance is confirmed and recoveries are credited to the allowance when received. In the case of recoveries, amounts may not exceed the aggregate of amounts previously charged off.</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utilizes relevant available information, from internal and external sources, relating to past events, current conditions, historical loss experience, and reasonable and supportable forecasts. The lookback period in the analysis includes historical data from 2009 to present. Adjustments to historical loss information are made when management determines historical data is not likely reflective of the current portfolio such as limited data sets or lack of default or loss history. Management may selectively apply external market data to subjectively adjust the Company’s own loss history including index or peer data. Accrued interest receivable is excluded from the estimate of credit losses for loans.</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Collective Assessment. </w:t>
      </w:r>
      <w:r>
        <w:rPr>
          <w:rFonts w:ascii="Arial" w:cs="Arial" w:eastAsia="Arial" w:hAnsi="Arial"/>
          <w:sz w:val="16"/>
          <w:szCs w:val="16"/>
          <w:color w:val="auto"/>
        </w:rPr>
        <w:t>The ACL for loans is measured on a collective cohort basis when similar risk characteristics exist. Generally, collectively assessed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loans are grouped by call report code and then risk-grade grouping. Risk grade is grouped within each call report code by pass, watch, special mention, substandard, and doubtful. Other loan types are separated into their own cohorts due to specific risk characteristics for that pool of loans.</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elected a non-discounted cash flow methodology with probability of default (“PD”) and loss given default (“LGD”) for all call report code cohorts (“cohorts”), except for the indirect and marine portfolios which are evaluated under a vintage methodology. The vintage methodology measures the expected loss calculation for future periods based on historical performance by the origination period of loans with similar life cycles and risk characteristics. Guaranteed portions of loans are measured with zero risk due to cash collateral and full guaranty.</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PD calculation looks at the historical loan portfolio at points in time (each month during the lookback period) to determine the probability that loans in a certain cohort will default over the next 12-month period. A default is defined as a loan that has moved to past due 90 days and greater, nonaccrual status, or experienced a charge-off during the period. In cohorts where the Company’s historical data is insufficient due to a minimal amount of default activity or zero defaults, management uses index PDs comprised of rates derived from the PD experience of other community banks in place of the Company’s historical PDs. Additionally, management reviews all other cohorts to determine if index PDs should be used outside of these criteria.</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LGD calculation looks at actual losses (net charge-offs) experienced over the entire lookback period for each cohort of loans. The aggregate loss amount is divided by the exposure at default to determine an LGD rate. All defaults (non-accrual, charge-off, or greater than 90 days past due) occurring during the lookback period are included in the denominator, whether a loss occurred or not and exposure at default is determined by the loan balance immediately preceding the default event (i.e., nonaccrual or charge-off). Due to limited charge-off history, management uses index LGDs comprised of rates derived from the LGD experience of other community banks in place of the Company’s historical LGDs.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utilizes reasonable and supportable forecasts of future economic conditions when estimating the ACL for loans. The calculation includes a 12-month PD forecast based on the Company’s regression model comparing peer nonperforming loan ratios to the national unemployment rate. After the forecast period, PD rates revert on a straight-line basis back to long-term historical average rates over a 12-month period. Due to limited default history, management uses index PDs comprised of rates derived from the PD experience of other community banks in place of the Company’s historical PDs.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recognizes that all significant factors that affect the collectability of the loan portfolio must be considered to determine the estimated credit losses as of the evaluation date. Furthermore, the methodology, in and of itself and even when selectively adjusted by comparison to market and peer data, does not provide a sufficient basis to determine the estimated credit losses. The Company adjusts the modeled historical losses by qualitative and environmental adjustments to incorporate all significant risks to form a sufficient basis to estimate the credit losses.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Individual Assessment. </w:t>
      </w:r>
      <w:r>
        <w:rPr>
          <w:rFonts w:ascii="Arial" w:cs="Arial" w:eastAsia="Arial" w:hAnsi="Arial"/>
          <w:sz w:val="18"/>
          <w:szCs w:val="18"/>
          <w:color w:val="auto"/>
        </w:rPr>
        <w:t>Loans classified as nonaccrual, are reviewed quarterly for potential individual assessment. Any loan classified as a nonaccrual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not determined to need individual assessment is evaluated collectively within its respective cohort.</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Where the primary and/or expected source of repayment of a specific loan is believed to be the future liquidation of available collateral, impairment will generally be measured based upon expected future collateral proceeds, net of disposition expenses including sales commissions as well as other costs potentially necessary to sell the asset(s) (i.e., past due taxes, liens, etc.). Estimates of future collateral proceeds will be based upon available appraisals, reference to recent valuations of comparable properties, use of consultants or other professionals with relevant market and/or property-specific knowledge, and any other sources of information believed appropriate by management under the specific circumstances. When appraisals are ordered to support the impairment analysis of an impaired loan, the appraisal is reviewed by the Company’s internal appraisal reviewer.</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Where the primary and/or expected source of repayment of a specific loan is believed to be the receipt of principal and interest payments from the borrower and/or the refinancing of the loan by another creditor, impairment will generally be measured based upon the present value of expected proceeds discounted at the contractual interest rate. Expected refinancing proceeds may be estimated from review of term sheets received by the borrower from other creditors and/or from the Company’s knowledge of terms generally available from other banks.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Determining the Contractual Term. </w:t>
      </w:r>
      <w:r>
        <w:rPr>
          <w:rFonts w:ascii="Arial" w:cs="Arial" w:eastAsia="Arial" w:hAnsi="Arial"/>
          <w:sz w:val="18"/>
          <w:szCs w:val="18"/>
          <w:color w:val="auto"/>
        </w:rPr>
        <w:t>Expected credit losses are estimated over the contractual term of the loans, adjusted for expected prepayments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appropriate. The contractual term excludes expected extensions, renewals and modifications. Prepayment assumptions will be determined by analysis of historical behavior by loan cohort.</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Allowance for Credit Losses on Unfunded Commitments. </w:t>
      </w:r>
      <w:r>
        <w:rPr>
          <w:rFonts w:ascii="Arial" w:cs="Arial" w:eastAsia="Arial" w:hAnsi="Arial"/>
          <w:sz w:val="17"/>
          <w:szCs w:val="17"/>
          <w:color w:val="auto"/>
        </w:rPr>
        <w:t>The Company estimates expected credit losses over the contractual period in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is exposed to credit risk via a contractual obligation to extend credit unless that obligation is unconditionally cancellable by the Company. The ACL for unfunded commitments is adjusted through a provision for credit loss expense. The estimate includes consideration of the likelihood that funding will occur and an estimate of expected credit losses on commitments expected to be funded over its estimated life. The estimate utilizes the same factors and assumptions as the ACL for loans and is applied at the same collective cohort level.</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Mortgage Servicing Rights. </w:t>
      </w:r>
      <w:r>
        <w:rPr>
          <w:rFonts w:ascii="Arial" w:cs="Arial" w:eastAsia="Arial" w:hAnsi="Arial"/>
          <w:sz w:val="18"/>
          <w:szCs w:val="18"/>
          <w:color w:val="auto"/>
        </w:rPr>
        <w:t>Servicing assets are recognized as separate assets when rights are acquired through the purchase or through the sale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assets. Generally, purchased servicing rights are capitalized at the cost to acquire the rights. For sales of mortgage loans, the value of MSR is capitalized during the month of sale. Fair value is based on market prices for comparable mortgage contracts, when available, or alternatively, is based on a valuation model that calculates the present value of estimated future net servicing income. The valuation model incorporates assumptions that market participants would use in estimating future net servicing income, such as the cost to service, the discount rate, the custodial earnings rate, an inflation rate, ancillary income, prepayment speeds, and default rates and losses.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Servicing assets are evaluated quarterly for impairment based upon the fair value of the rights as compared to amortized cost. Impairment is determined by stratifying rights into tranches based on predominant characteristics, such as interest rate, loan type, and investor type. Impairment is recognized through a valuation allowance for an individual tranche, to the extent that fair value is less than the capitalized amount for the tranches. If the Company later determines that all or a portion of the impairment no longer exists for a particular tranche, a reduction of the allowance may be recorded as a recovery and an increase to income. Capitalized servicing rights are stated separately on the Consolidated Balance Sheets and are amortized into noninterest income in proportion to, and over the period of, the estimated future net servicing income of the underlying financial assets.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Derivatives and Hedging Activity. </w:t>
      </w:r>
      <w:r>
        <w:rPr>
          <w:rFonts w:ascii="Arial" w:cs="Arial" w:eastAsia="Arial" w:hAnsi="Arial"/>
          <w:sz w:val="17"/>
          <w:szCs w:val="17"/>
          <w:color w:val="auto"/>
        </w:rPr>
        <w:t>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requires that derivatives of the Company be recorded in the consolidated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statements at fair value. Management considers its accounting policy for derivatives to be a critical accounting policy because these instruments have certain interest rate risk characteristics that change in value based upon changes in the capital markets. Fair values for derivative assets and liabilities are measured on a recurring basis. The Company’s primary use of derivative instruments is related to the mortgage banking activities in the form of commitments to extend credit, commitments to sell loans, TBA mortgage-backed securities trades and option contracts to mitigate the risk of the commitments to extend credit. Estimates of the percentage of commitments to extend credit on loans to be held for sale that may not fund are based upon historical data and current market trends. The fair value adjustments of the derivatives are recorded on the Consolidated Statements of Income with offsets to other assets or other liabilities on the Consolidated Balance Sheets.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Derivative instruments not related to mortgage banking activities primarily relate to interest rate swap agreements accounted for as cash flow hedges and fair value hedges. To qualify for hedge accounting, derivatives must be highly effective at reducing the risk associated with the exposure being hedged and must be designated as a hedge at the inception of the derivative contract. If derivative instruments are designated as fair value hedges, and such hedges are highly effective, both the change in the fair value of the hedge and the hedged item are included in current earnings. If derivative instruments are designated as cash flow hedges, fair value adjustments related to the effective portion are recorded in other comprehensive income and are reclassified to earnings when the hedged transaction is reflected in earnings. If derivative instruments are designated as cash flow hedges, fair value adjustments related to the effective portion are recorded in other comprehensive income and are reclassified to earnings when the hedged transaction is reflected in earnings. Ineffective portions of cash flow hedges are reflected in earnings as they occur. Actual cash receipts and/or payments and related accruals on derivatives related to hedges are recorded as adjustments to the interest income or interest expense associated with the hedged item. During the life of the hedge, the Company formally assesses whether derivatives designated as hedging instruments continue to be highly effective in offsetting changes in the fair value or cash flows of hedged items. If it is determined that a hedge has ceased to be highly effective, the Company will discontinue hedge accounting prospectively. At such time, previous adjustments to the carrying value of the hedged item are reversed into current earnings and the derivative instrument is reclassified to a trading position recorded at fair value. For derivatives not designated as hedges, changes in fair value are recognized in earnings, in noninterest income.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Fair Value. </w:t>
      </w:r>
      <w:r>
        <w:rPr>
          <w:rFonts w:ascii="Arial" w:cs="Arial" w:eastAsia="Arial" w:hAnsi="Arial"/>
          <w:sz w:val="17"/>
          <w:szCs w:val="17"/>
          <w:color w:val="auto"/>
        </w:rPr>
        <w:t>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establishes a hierarchical disclosure framework associated with the level of pricing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observability utilized in measuring financial instruments at fair value. The degree of judgment utilized in measuring the fair value of financial instruments generally correlates to the level of pricing observability. Financial instruments with readily available active quoted prices or for which fair value can be measured from actively quoted prices generally will have a higher degree of pricing observability and a lesser degree of judgment utilized in measuring fair value. Conversely, financial instruments rarely traded or not quoted will generally have little or no pricing observability and a higher degree of judgment utilized in measuring fair value. Pricing observability is impacted by several factors, including the type of financial instrument, whether the financial instrument is new to the market and not yet established and the characteristics specific to the transaction. The objective of a fair value measurement is to estimate the price at which an orderly transaction to sell the asset or to transfer the liability would take place between market participants at the measurement date under current market conditions (that is, an exit price at the measurement date from the perspective of a market participant that holds the asset or owes the liability). For additional details, see “Note 11 – Fair Value Measurements” of the Notes to Consolidated Financial Statements included in Part I. Item 1 of this report.</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Business Combinations and Goodwill</w:t>
      </w:r>
      <w:r>
        <w:rPr>
          <w:rFonts w:ascii="Arial" w:cs="Arial" w:eastAsia="Arial" w:hAnsi="Arial"/>
          <w:sz w:val="17"/>
          <w:szCs w:val="17"/>
          <w:color w:val="auto"/>
        </w:rPr>
        <w:t>. Pursuant to applicable accounting guidance, we recognize assets acquired, including identified intangible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 liabilities assumed in acquisitions at their fair values as of the acquisition date, with the related transaction costs expensed in the period incurred. Determining the fair value of assets acquired and liabilities assumed often involves estimates based on internal or third-party valuations which include appraisals, discounted cash flow analysis, or other valuation techniques that may include estimates of attrition, inflation, asset growth rates, discount rates, credit risk, multiples of earnings, or other relevant factors. The determination of fair value may require us to make point-in-time estimates about discount rates, future expected cash flows, market conditions, and other future events that can be volatile in nature and challenging to assess. While we use the best estimates and assumptions to accurately value assets acquired and liabilities assumed at the acquisition date, the estimates are inherently uncertain and subject to refinement.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primary identifiable intangible asset we typically record in connection with a whole bank or bank branch acquisition is the value of the core deposit intangibles which represents the estimated value of the long-term deposit relationships acquired in the transaction. Determining the amount of identifiable intangible assets and their average lives involves multiple assumptions and estimates and is typically determined by performing a discounted cash flow analysis, which involves a combination of any or all the following assumptions: customer attrition/runoff, alternative funding costs, deposit servicing costs, and discount rates. The core deposit intangibles are amortized over the estimated useful lives of the deposit accounts based on a method that we believe reasonably approximates the anticipated benefit stream from this intangible. The estimated useful lives are periodically reviewed for reasonableness and have generally been estimated to have a life ranging from seven to ten years, with an accelerated rate of amortization. We review identifiable intangible assets for impairment whenever events or changes in circumstances indicate that the carrying value may not be recoverable. Our policy is that an impairment loss is recognized, equal to the difference between the asset’s carrying amount and its fair value, if the sum of the expected undiscounted future cash flows is less than the carrying amount of the asset. Estimating future cash flows involves the use of multiple estimates and assumptions, such as those listed above.</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ACL for purchase credit deteriorated (“PCD”) assets is recognized within business combination accounting with no initial impact to net income. Changes in estimates of expected credit losses on PCD loans after acquisition are recognized as provision expense (or reversal of provision expense) in subsequent periods as they arise. The ACL for non-PCD assets is recognized as provision expense in the same reporting period as the business combination. Estimated loan losses for acquired loans are determined using methodologies and applying estimates and assumptions that were described previously in the Allowance for Credit Losses on Loans section.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Non-PCD loans acquired are generally estimated at fair value using a discounted cash flow approach with assumptions of discount rate, remaining life, prepayments, probability of default, and loss given default. The actual cash flows on these loans could differ materially from the fair value estimates. The amount we record as the fair values for the loans is generally less than the contractual unpaid principal balance due from the borrowers, with the difference being referred to as the “discount” on the acquired loans. Discounts on acquired non-PCD loans are accreted to interest income over their estimated remaining lives, which may include prepayment estimates in certain circumstances.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Similarly, premiums or discounts on acquired debt are accreted or amortized to interest expense over their remaining lives. Actual accretion or amortization of premiums and discounts from a business acquisition may differ materially from our estimates impacting our operating results.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Goodwill arising from business combinations represents the excess of the purchase price over the sum of the estimated fair values of the tangible and identifiable intangible assets acquired less the estimated fair value of the liabilities assumed. Goodwill has an indefinite useful life and is evaluated for impairment annually or more frequently if events and circumstances indicate that the asset might be impaired. An impairment loss is recognized to the extent that the carrying amount exceeds the asset’s fair value. We believe that the accounting for goodwill also involves a higher degree of judgment than most other significant accounting policies. ASC 350–10 establishes standards for an impairment assessment of goodwill.</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each reporting date between annual goodwill impairment tests, we consider potential indicators of impairment. Generally, absent potential impairment indicators, we perform an annual assessment of whether the events and circumstances resulted in it being more likely than not that the fair value of any reporting unit was less than its carrying value. Impairment indicators considered include the condition of the economy and banking industry; government intervention and regulatory updates; the impact of recent events to financial performance and cost factors of the reporting unit; performance of the Company's stock, and other relevant events.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taxes are reflected in the Company’s consolidated financial statements to show the tax effects of the operations and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in the consolidated financial statements and consist of taxes currently payable plus deferred taxes. ASC 740,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requires the asset and liability approach for financial accounting and reporting for deferred income taxes. Deferred tax assets and liabilities result from temporary differences between the financial statement carrying amounts and the tax bases of assets and liabilities. They are reflected at currently enacted income tax rates applicable to the period in which the deferred tax assets or liabilities are expected to be realized or settled and are determined using the assets and liability method of accounting. The deferred income tax provision represents the difference between net deferred tax asset/liability at the beginning and end of the reported period. In formulating the deferred tax asset, the Company is required to estimate income and taxes in the jurisdiction in which the Company operates. This process involves estimating the actual current tax exposure for the reported period together with assessing temporary differences resulting from differing treatment of items, such as depreciation and the provision for credit losses, for tax and financial reporting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tax assets and liabilities occur when taxable income is larger or smaller than reported income on the income statements due to accounting valuation methods that differ from tax, as well as tax rate estimates and payments made quarterly and adjusted to actual at the end of the year. Deferred tax assets and liabilities are temporary differences deductible or payable in future periods. The Company had net deferred tax assets of $7.4 million and $6.7 million, at September 30, 2023 and December 31, 2022,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Financial Condition at September 30, 2023 and December 31, 2022</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Assets. </w:t>
      </w:r>
      <w:r>
        <w:rPr>
          <w:rFonts w:ascii="Arial" w:cs="Arial" w:eastAsia="Arial" w:hAnsi="Arial"/>
          <w:sz w:val="16"/>
          <w:szCs w:val="16"/>
          <w:color w:val="auto"/>
        </w:rPr>
        <w:t>Total assets increased $287.2 million to $2.92 billion at September 30, 2023, from $2.63 billion at December 31, 2022, primarily due to an increase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loans receivable, net of $184.7 million, approximately $60.1 million of which was acquired in the Branch Purchase, as well as increases in total cash and cash equivalents of $39.2 million, securities available-for-sale of $22.7 million, CDI, net of $15.0 million, certificates of deposit (“CDs”) at other financial institutions of $12.9 million, other assets of $9.3 million, premises and equipment of $5.8 million, accrued interest receivable of $2.8 million, and goodwill of $1.3 million. These increases were partially offset by decreases in FHLB stock of $6.9 million and loans held for sale of $1.5 million.</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Loans receivable, net increased $184.7 million to $2.38 billion at September 30, 2023, from $2.19 billion at December 31, 2022, which included approximately $60.1 million in loans acquired in the Branch Purchase. Total real estate loans increased $84.7 million, including increases in one-to-four-family loans of $71.2 million, commercial real estate loans of $30.6 million, multi-family loans of $23.9 million, and home equity loans of $11.7 million, partially offset by a decrease in construction and development loans of $52.7 million. Undisbursed construction and development loan commitments decreased $40.5 million, to $161.2 million at September 30, 2023, as compared to $201.7 million at December 31, 2022. Consumer loans increased $70.5 million primarily due to an increase of $66.7 million in indirect home improvement loans and $3.3 million in marine loans. Commercial business loans increased $32.0 million as a result of an increase in commercial and industrial lending of $39.7 million, partially offset by a decrease in warehouse lending of $7.7 million.</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Loans held for sale, consisting of one-to-four-family loans, decreased by $1.5 million to $18.6 million at September 30, 2023, from $20.1 million at December 31, 2022. The Company continues to invest in its home lending operations and strategically add production staff in the markets we serve.</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One-to-four-family loan originations for the nine months ended September 30, 2023, included $292.3 million of loans originated for sale, $117.3 million of portfolio loans including first and second liens, and $12.3 million of loans brokered to other institutions.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Originations of one-to-four-family loans for the periods indicated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(Dollars in thousands)</w:t>
            </w:r>
          </w:p>
        </w:tc>
        <w:tc>
          <w:tcPr>
            <w:tcW w:w="16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9"/>
          </w:tcPr>
          <w:p>
            <w:pPr>
              <w:ind w:left="860"/>
              <w:spacing w:after="0"/>
              <w:rPr>
                <w:sz w:val="20"/>
                <w:szCs w:val="20"/>
                <w:color w:val="auto"/>
              </w:rPr>
            </w:pPr>
            <w:r>
              <w:rPr>
                <w:rFonts w:ascii="Arial" w:cs="Arial" w:eastAsia="Arial" w:hAnsi="Arial"/>
                <w:sz w:val="18"/>
                <w:szCs w:val="18"/>
                <w:color w:val="auto"/>
                <w:w w:val="92"/>
              </w:rPr>
              <w:t>For the Nine Months Ended September 30,</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color w:val="auto"/>
              </w:rPr>
              <w:t>2023</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2022</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ind w:right="230"/>
              <w:spacing w:after="0"/>
              <w:rPr>
                <w:sz w:val="20"/>
                <w:szCs w:val="20"/>
                <w:color w:val="auto"/>
              </w:rPr>
            </w:pPr>
            <w:r>
              <w:rPr>
                <w:rFonts w:ascii="Arial" w:cs="Arial" w:eastAsia="Arial" w:hAnsi="Arial"/>
                <w:sz w:val="18"/>
                <w:szCs w:val="18"/>
                <w:color w:val="auto"/>
                <w:w w:val="92"/>
              </w:rPr>
              <w:t>$ Change</w:t>
            </w:r>
          </w:p>
        </w:tc>
        <w:tc>
          <w:tcPr>
            <w:tcW w:w="120" w:type="dxa"/>
            <w:vAlign w:val="bottom"/>
          </w:tcPr>
          <w:p>
            <w:pPr>
              <w:spacing w:after="0"/>
              <w:rPr>
                <w:sz w:val="18"/>
                <w:szCs w:val="18"/>
                <w:color w:val="auto"/>
              </w:rPr>
            </w:pPr>
          </w:p>
        </w:tc>
        <w:tc>
          <w:tcPr>
            <w:tcW w:w="1320" w:type="dxa"/>
            <w:vAlign w:val="bottom"/>
            <w:vMerge w:val="restart"/>
          </w:tcPr>
          <w:p>
            <w:pPr>
              <w:jc w:val="right"/>
              <w:ind w:right="31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Percent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Percent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Purchase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387,211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549,259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(162,048)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Refinance</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34,635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148,335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421,846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697,594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(275,748)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nine months ended September 30, 2023, the Company sold $320.9 million of one-to-four-family loans compared to sales of $639.0 million for the same period one year ago. Gross margin on home loan sales increased to 3.07% for the nine months ended September 30, 2023, compared to 2.85% for the nine months ended September 30, 2022. Gross margin is defined as the margin on loans sold (cash sales) without the impact of deferred costs.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ACL for loans was $30.5 million or 1.27% of gross loans receivable (excluding loans held for sale), at September 30, 2023, compared to $28.0 million or 1.26% of gross loans receivable (excluding loans held for sale), at December 31, 2022. The increase was primarily due to an increase in loans and increased reserves on individually evaluated nonaccrual loans.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Loans classified as substandard decreased $1.0 million to $19.2 million at September 30, 2023, compared to $20.2 million at December 31, 2022. The decrease was primarily due to a decrease of $1.8 million in commercial real estate loans, partially offset by increases of $600,000 in indirect home improvement loans and $200,000 in one-to-four-family loans. Nonperforming loans, consisting solely of nonaccrual loans, decreased $3.1 million to $5.6 million at September 30, 2023, from $8.7 million at December 31, 2022. The ratio of nonperforming loans to total gross loans was 0.23% at September 30, 2023, compared to 0.39% at December 31, 2022. There was one OREO property in the amount of $570,000 (a closed branch in Centralia, Washington) at both September 30, 2023 and December 31, 2022.</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Liabilities. </w:t>
      </w:r>
      <w:r>
        <w:rPr>
          <w:rFonts w:ascii="Arial" w:cs="Arial" w:eastAsia="Arial" w:hAnsi="Arial"/>
          <w:sz w:val="18"/>
          <w:szCs w:val="18"/>
          <w:color w:val="auto"/>
        </w:rPr>
        <w:t>Total liabilities increased $268.2 million to $2.67 billion at September 30, 2023, from $2.40 billion at December 31, 2022, primarily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increases of $326.7 million in deposits, $5.3 million in other liabilities and $795,000 in operating lease liability, offset by a decrease of $64.6 million in borrowings.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deposits increased $326.7 million to $2.45 billion at September 30, 2023, from $2.13 billion at December 31, 2022, due to the Branch Purchase in which we acquired approximately $424.9 million in deposits. CDs increased $287.2 million to $1.02 billion at September 30, 2023, from $729.8 million at December 31, 2022. Transactional accounts (noninterest-bearing checking, interest-bearing checking and escrow accounts) increased $200.3 million to $889.6 million at September 30, 2023, from $689.3 million at December 31, 2022, due to increases of $105.7 million in noninterest-bearing checking, $84.3 million in interest-bearing checking and $10.3 in escrow accounts related to mortgages serviced. Money market and savings accounts decreased $160.8 million to $547.9 million at September 30, 2023, from $708.6 million at December 31, 2022 as depositors shifted funds to higher yielding CDs and other investment alternatives.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Deposits are summarized as follows at the dates indicated:</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478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December 31,</w:t>
            </w:r>
          </w:p>
        </w:tc>
      </w:tr>
      <w:tr>
        <w:trPr>
          <w:trHeight w:val="230"/>
        </w:trPr>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r>
      <w:tr>
        <w:trPr>
          <w:trHeight w:val="210"/>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checking</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643,670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537,938</w:t>
            </w:r>
          </w:p>
        </w:tc>
        <w:tc>
          <w:tcPr>
            <w:tcW w:w="20" w:type="dxa"/>
            <w:vAlign w:val="bottom"/>
          </w:tcPr>
          <w:p>
            <w:pPr>
              <w:spacing w:after="0"/>
              <w:rPr>
                <w:sz w:val="18"/>
                <w:szCs w:val="18"/>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Interest-bearing checking (1)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219,469</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135,127</w:t>
            </w:r>
          </w:p>
        </w:tc>
        <w:tc>
          <w:tcPr>
            <w:tcW w:w="20" w:type="dxa"/>
            <w:vAlign w:val="bottom"/>
          </w:tcPr>
          <w:p>
            <w:pPr>
              <w:spacing w:after="0"/>
              <w:rPr>
                <w:sz w:val="18"/>
                <w:szCs w:val="18"/>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157,901</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134,358</w:t>
            </w:r>
          </w:p>
        </w:tc>
        <w:tc>
          <w:tcPr>
            <w:tcW w:w="20" w:type="dxa"/>
            <w:vAlign w:val="bottom"/>
          </w:tcPr>
          <w:p>
            <w:pPr>
              <w:spacing w:after="0"/>
              <w:rPr>
                <w:sz w:val="18"/>
                <w:szCs w:val="18"/>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Money market (2)</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389,962</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574,290</w:t>
            </w:r>
          </w:p>
        </w:tc>
        <w:tc>
          <w:tcPr>
            <w:tcW w:w="20" w:type="dxa"/>
            <w:vAlign w:val="bottom"/>
          </w:tcPr>
          <w:p>
            <w:pPr>
              <w:spacing w:after="0"/>
              <w:rPr>
                <w:sz w:val="18"/>
                <w:szCs w:val="18"/>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CDs less than $100,000 (3)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527,032</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440,785</w:t>
            </w:r>
          </w:p>
        </w:tc>
        <w:tc>
          <w:tcPr>
            <w:tcW w:w="20" w:type="dxa"/>
            <w:vAlign w:val="bottom"/>
          </w:tcPr>
          <w:p>
            <w:pPr>
              <w:spacing w:after="0"/>
              <w:rPr>
                <w:sz w:val="18"/>
                <w:szCs w:val="18"/>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CDs of $100,000 through $250,000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406,545</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195,447</w:t>
            </w:r>
          </w:p>
        </w:tc>
        <w:tc>
          <w:tcPr>
            <w:tcW w:w="20" w:type="dxa"/>
            <w:vAlign w:val="bottom"/>
          </w:tcPr>
          <w:p>
            <w:pPr>
              <w:spacing w:after="0"/>
              <w:rPr>
                <w:sz w:val="18"/>
                <w:szCs w:val="18"/>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CDs of $250,000 and over (4)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83,377</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93,560</w:t>
            </w:r>
          </w:p>
        </w:tc>
        <w:tc>
          <w:tcPr>
            <w:tcW w:w="20" w:type="dxa"/>
            <w:vAlign w:val="bottom"/>
          </w:tcPr>
          <w:p>
            <w:pPr>
              <w:spacing w:after="0"/>
              <w:rPr>
                <w:sz w:val="18"/>
                <w:szCs w:val="18"/>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Escrow accounts related to mortgages serviced (5)</w:t>
            </w:r>
          </w:p>
        </w:tc>
        <w:tc>
          <w:tcPr>
            <w:tcW w:w="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26,488</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16,236</w:t>
            </w:r>
          </w:p>
        </w:tc>
        <w:tc>
          <w:tcPr>
            <w:tcW w:w="20" w:type="dxa"/>
            <w:vAlign w:val="bottom"/>
          </w:tcPr>
          <w:p>
            <w:pPr>
              <w:spacing w:after="0"/>
              <w:rPr>
                <w:sz w:val="18"/>
                <w:szCs w:val="18"/>
                <w:color w:val="auto"/>
              </w:rPr>
            </w:pPr>
          </w:p>
        </w:tc>
      </w:tr>
      <w:tr>
        <w:trPr>
          <w:trHeight w:val="249"/>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2,454,444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2,127,741</w:t>
            </w:r>
          </w:p>
        </w:tc>
        <w:tc>
          <w:tcPr>
            <w:tcW w:w="20" w:type="dxa"/>
            <w:vAlign w:val="bottom"/>
          </w:tcPr>
          <w:p>
            <w:pPr>
              <w:spacing w:after="0"/>
              <w:rPr>
                <w:sz w:val="21"/>
                <w:szCs w:val="21"/>
                <w:color w:val="auto"/>
              </w:rPr>
            </w:pPr>
          </w:p>
        </w:tc>
      </w:tr>
      <w:tr>
        <w:trPr>
          <w:trHeight w:val="35"/>
        </w:trPr>
        <w:tc>
          <w:tcPr>
            <w:tcW w:w="1120" w:type="dxa"/>
            <w:vAlign w:val="bottom"/>
            <w:tcBorders>
              <w:top w:val="single" w:sz="8" w:color="CCEEFF"/>
              <w:bottom w:val="single" w:sz="8" w:color="auto"/>
            </w:tcBorders>
          </w:tcPr>
          <w:p>
            <w:pPr>
              <w:spacing w:after="0"/>
              <w:rPr>
                <w:sz w:val="3"/>
                <w:szCs w:val="3"/>
                <w:color w:val="auto"/>
              </w:rPr>
            </w:pPr>
          </w:p>
        </w:tc>
        <w:tc>
          <w:tcPr>
            <w:tcW w:w="3660" w:type="dxa"/>
            <w:vAlign w:val="bottom"/>
            <w:tcBorders>
              <w:top w:val="single" w:sz="8" w:color="CCEEFF"/>
            </w:tcBorders>
          </w:tcPr>
          <w:p>
            <w:pPr>
              <w:spacing w:after="0"/>
              <w:rPr>
                <w:sz w:val="3"/>
                <w:szCs w:val="3"/>
                <w:color w:val="auto"/>
              </w:rPr>
            </w:pPr>
          </w:p>
        </w:tc>
        <w:tc>
          <w:tcPr>
            <w:tcW w:w="560" w:type="dxa"/>
            <w:vAlign w:val="bottom"/>
            <w:tcBorders>
              <w:top w:val="single" w:sz="8" w:color="CCEEFF"/>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340" w:type="dxa"/>
            <w:vAlign w:val="bottom"/>
            <w:tcBorders>
              <w:top w:val="single" w:sz="8" w:color="CCEEFF"/>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40"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$50.1 million and $2.3 million of brokered deposits at September 30, 2023 and December 31, 2022, respectively.</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$51,000 and $59.7 million of brokered deposits at September 30, 2023 and December 31, 2022, respectively.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$323.3 million and $332.0 million of brokered CDs at September 30, 2023 and December 31, 2022, respectively.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CDs that meet or exceed the FDIC insurance limit.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Noninterest-bearing checking.</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 had uninsured deposits of approximately $591.6 million or 24.1% of total deposits, at September 30, 2023, compared to approximately $560.0 million or 26.3% of total deposits at December 31, 2022. The uninsured amounts are estimates based on the methodologies and assumptions used for the Bank’s regulatory reporting requirements.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2023, borrowings totaled $121.9 million and were comprised of advances from the Federal Reserve Bank’s Term Funding Program of $90.0 million, overnight funding of $28.0 million, and advances from the and FHLB fixed-rate advances of $3.9 million. Borrowings decreased $64.6 million to $121.9 million at September 30, 2023, from $186.5 million of FHLB advances at December 31, 2022. The decrease was partially attributable to a shift in funding mix to brokered CDs.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Stockholders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Equity. </w:t>
      </w:r>
      <w:r>
        <w:rPr>
          <w:rFonts w:ascii="Arial" w:cs="Arial" w:eastAsia="Arial" w:hAnsi="Arial"/>
          <w:sz w:val="18"/>
          <w:szCs w:val="18"/>
          <w:color w:val="auto"/>
        </w:rPr>
        <w:t>Total stockholders’ equity increased $19.0 million to $250.7 million at September 30, 2023, from $231.7 million at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The increase in stockholders’ equity at September 30, 2023, compared to December 31, 2022, was primarily due to net income of $26.3 million, partially offset by dividends paid of $5.8 million. In addition, stockholders’ equity was positively impacted by unrealized gains on fair value and cash flow hedges of $3.6 million, net of tax, and unrealized net losses in securities available-for-sale of $7.3 million, net of tax, reflecting changes in market interest rates during the period, resulting in a $3.8 million decrease in accumulated other comprehensive income. Book value per common share was $32.58 at September 30, 2023, compared to $30.42 at December 31, 2022.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calculated book value per share at September 30, 2023, based on 7,693,951 common shares, which was the difference between the 7,796,095 reported common shares and 102,144 unvested restricted stock shares outstanding as of that date. We calculated book value per share at December 31, 2022, based on 7,617,655 common shares, which was the difference between the 7,736,185 reported common shares and 118,530 unvested restricted stock shares outstanding as of that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of Operations for the Three Months Ended September 30, 2023 and 2022</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Net income was $9.0 million for the three months ended September 30, 2023, and $8.5 million for the three months ended September 30,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increase in net income for the three months ended September 30, 2023, was primarily due to a $3.1 million or 11.3% increase in net interest income, a $1.2 million or 68.1% decrease in the provision for credit losses, and an $801,000 or 19.2% increase in noninterest income, partially offset by a $4.2 million or 22.0% increase in noninterest expense and a $335,000 or 15.3% increase in provision for income taxes.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Average Balances, Interest and Average Yields/Cost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table sets forth for the periods indicated, information regarding average balances of assets and liabilities, as well as the total dollar amounts of interest income from average interest-earning assets and interest expense on average interest-bearing liabilities, resultant yields, interest rate spread, net interest margin (otherwise known as net yield on interest-earning assets), and the ratio of average interest-earning assets to average interest-bearing liabilities. Also presented is the weighted average yield on interest-earning assets, rates paid on interest-bearing liabilities and the resultant spread at for the periods presented. Average balances are daily average balances. Nonaccrual loans have been included in the table as loans carrying a zero yield. The yields on tax-exempt municipal bonds have not been computed on a tax equivalent basis.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(Dollars in thousands)</w:t>
            </w:r>
          </w:p>
        </w:tc>
        <w:tc>
          <w:tcPr>
            <w:tcW w:w="100" w:type="dxa"/>
            <w:vAlign w:val="bottom"/>
          </w:tcPr>
          <w:p>
            <w:pPr>
              <w:spacing w:after="0"/>
              <w:rPr>
                <w:sz w:val="18"/>
                <w:szCs w:val="18"/>
                <w:color w:val="auto"/>
              </w:rPr>
            </w:pPr>
          </w:p>
        </w:tc>
        <w:tc>
          <w:tcPr>
            <w:tcW w:w="3860" w:type="dxa"/>
            <w:vAlign w:val="bottom"/>
            <w:gridSpan w:val="7"/>
          </w:tcPr>
          <w:p>
            <w:pPr>
              <w:jc w:val="center"/>
              <w:ind w:right="170"/>
              <w:spacing w:after="0"/>
              <w:rPr>
                <w:sz w:val="20"/>
                <w:szCs w:val="20"/>
                <w:color w:val="auto"/>
              </w:rPr>
            </w:pPr>
            <w:r>
              <w:rPr>
                <w:rFonts w:ascii="Arial" w:cs="Arial" w:eastAsia="Arial" w:hAnsi="Arial"/>
                <w:sz w:val="18"/>
                <w:szCs w:val="18"/>
                <w:color w:val="auto"/>
                <w:w w:val="90"/>
              </w:rPr>
              <w:t>For the Three Months 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gridSpan w:val="7"/>
          </w:tcPr>
          <w:p>
            <w:pPr>
              <w:jc w:val="center"/>
              <w:ind w:right="170"/>
              <w:spacing w:after="0"/>
              <w:rPr>
                <w:sz w:val="20"/>
                <w:szCs w:val="20"/>
                <w:color w:val="auto"/>
              </w:rPr>
            </w:pPr>
            <w:r>
              <w:rPr>
                <w:rFonts w:ascii="Arial" w:cs="Arial" w:eastAsia="Arial" w:hAnsi="Arial"/>
                <w:sz w:val="18"/>
                <w:szCs w:val="18"/>
                <w:color w:val="auto"/>
                <w:w w:val="90"/>
              </w:rPr>
              <w:t>For the Three Months Ended</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color w:val="auto"/>
                <w:w w:val="88"/>
              </w:rPr>
              <w:t>September 30, 2023</w:t>
            </w: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color w:val="auto"/>
                <w:w w:val="88"/>
              </w:rPr>
              <w:t>September 30, 2022</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Interest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Interest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b w:val="1"/>
                <w:bCs w:val="1"/>
                <w:color w:val="auto"/>
              </w:rPr>
              <w:t>Average Balances</w:t>
            </w:r>
          </w:p>
        </w:tc>
        <w:tc>
          <w:tcPr>
            <w:tcW w:w="10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Earned/ Paid</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Yield/ Rate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Earned/ Paid</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Yield/ Rate</w:t>
            </w: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w w:val="99"/>
              </w:rPr>
              <w:t>Loans receivable, net and loans held for</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 xml:space="preserve">sale </w:t>
            </w:r>
            <w:r>
              <w:rPr>
                <w:rFonts w:ascii="Arial" w:cs="Arial" w:eastAsia="Arial" w:hAnsi="Arial"/>
                <w:sz w:val="14"/>
                <w:szCs w:val="14"/>
                <w:color w:val="auto"/>
              </w:rPr>
              <w:t>(1) (2)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2,423,691</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39,874</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2,083,561</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29,563</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6"/>
              </w:rPr>
              <w:t>Taxable AFS mortgage-backed securities</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99,575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83,981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186"/>
        </w:trPr>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line="216" w:lineRule="exact"/>
              <w:rPr>
                <w:sz w:val="20"/>
                <w:szCs w:val="20"/>
                <w:color w:val="auto"/>
              </w:rPr>
            </w:pPr>
            <w:r>
              <w:rPr>
                <w:rFonts w:ascii="Arial" w:cs="Arial" w:eastAsia="Arial" w:hAnsi="Arial"/>
                <w:sz w:val="16"/>
                <w:szCs w:val="16"/>
                <w:color w:val="auto"/>
              </w:rPr>
              <w:t xml:space="preserve">Taxable AFS investment securities </w:t>
            </w:r>
            <w:r>
              <w:rPr>
                <w:rFonts w:ascii="Arial" w:cs="Arial" w:eastAsia="Arial" w:hAnsi="Arial"/>
                <w:sz w:val="25"/>
                <w:szCs w:val="25"/>
                <w:color w:val="auto"/>
                <w:vertAlign w:val="superscript"/>
              </w:rPr>
              <w:t>(3)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66,237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61,052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Tax-exempt AFS investment securities </w:t>
            </w:r>
            <w:r>
              <w:rPr>
                <w:rFonts w:ascii="Arial" w:cs="Arial" w:eastAsia="Arial" w:hAnsi="Arial"/>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Taxable HTM investment securities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FHLB stock</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w w:val="94"/>
              </w:rPr>
              <w:t>Interest-bearing deposits at other financial</w:t>
            </w:r>
          </w:p>
        </w:tc>
        <w:tc>
          <w:tcPr>
            <w:tcW w:w="1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68,369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29,080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00" w:type="dxa"/>
            <w:vAlign w:val="bottom"/>
          </w:tcPr>
          <w:p>
            <w:pPr>
              <w:spacing w:after="0"/>
              <w:rPr>
                <w:sz w:val="20"/>
                <w:szCs w:val="20"/>
                <w:color w:val="auto"/>
              </w:rPr>
            </w:pPr>
            <w:r>
              <w:rPr>
                <w:rFonts w:ascii="Arial" w:cs="Arial" w:eastAsia="Arial" w:hAnsi="Arial"/>
                <w:sz w:val="18"/>
                <w:szCs w:val="18"/>
                <w:color w:val="auto"/>
              </w:rPr>
              <w:t>institutions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2,799,334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43,270</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2,406,071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31,304</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Noninterest-earning assets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102,052</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69,601</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2,901,386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2,475,672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2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Savings and money market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Interest-bearing checking</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187,746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153,054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982,725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8,290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Borrowings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138,013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49,500</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49,434</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0"/>
        </w:trPr>
        <w:tc>
          <w:tcPr>
            <w:tcW w:w="3200" w:type="dxa"/>
            <w:vAlign w:val="bottom"/>
          </w:tcPr>
          <w:p>
            <w:pPr>
              <w:ind w:left="180"/>
              <w:spacing w:after="0"/>
              <w:rPr>
                <w:sz w:val="20"/>
                <w:szCs w:val="20"/>
                <w:color w:val="auto"/>
              </w:rPr>
            </w:pPr>
            <w:r>
              <w:rPr>
                <w:rFonts w:ascii="Arial" w:cs="Arial" w:eastAsia="Arial" w:hAnsi="Arial"/>
                <w:sz w:val="18"/>
                <w:szCs w:val="18"/>
                <w:b w:val="1"/>
                <w:bCs w:val="1"/>
                <w:color w:val="auto"/>
              </w:rPr>
              <w:t>Total interest-bearing liabilities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1,928,770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12,636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1,626,631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3,777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accounts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Other noninterest-bearing liabilities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39,365</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32,663</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2,644,135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2,247,786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2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Net interest income</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tcPr>
          <w:p>
            <w:pPr>
              <w:jc w:val="right"/>
              <w:ind w:right="10"/>
              <w:spacing w:after="0" w:line="196" w:lineRule="exact"/>
              <w:rPr>
                <w:sz w:val="20"/>
                <w:szCs w:val="20"/>
                <w:color w:val="auto"/>
              </w:rPr>
            </w:pPr>
            <w:r>
              <w:rPr>
                <w:rFonts w:ascii="Arial" w:cs="Arial" w:eastAsia="Arial" w:hAnsi="Arial"/>
                <w:sz w:val="18"/>
                <w:szCs w:val="18"/>
                <w:color w:val="auto"/>
              </w:rPr>
              <w:t>30,634</w:t>
            </w: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tcPr>
          <w:p>
            <w:pPr>
              <w:jc w:val="right"/>
              <w:ind w:right="10"/>
              <w:spacing w:after="0" w:line="196" w:lineRule="exact"/>
              <w:rPr>
                <w:sz w:val="20"/>
                <w:szCs w:val="20"/>
                <w:color w:val="auto"/>
              </w:rPr>
            </w:pPr>
            <w:r>
              <w:rPr>
                <w:rFonts w:ascii="Arial" w:cs="Arial" w:eastAsia="Arial" w:hAnsi="Arial"/>
                <w:sz w:val="18"/>
                <w:szCs w:val="18"/>
                <w:color w:val="auto"/>
              </w:rPr>
              <w:t>27,527</w:t>
            </w: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interest rate spread</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196"/>
        </w:trPr>
        <w:tc>
          <w:tcPr>
            <w:tcW w:w="3200" w:type="dxa"/>
            <w:vAlign w:val="bottom"/>
          </w:tcPr>
          <w:p>
            <w:pPr>
              <w:spacing w:after="0" w:line="196" w:lineRule="exact"/>
              <w:rPr>
                <w:sz w:val="20"/>
                <w:szCs w:val="20"/>
                <w:color w:val="auto"/>
              </w:rPr>
            </w:pPr>
            <w:r>
              <w:rPr>
                <w:rFonts w:ascii="Arial" w:cs="Arial" w:eastAsia="Arial" w:hAnsi="Arial"/>
                <w:sz w:val="18"/>
                <w:szCs w:val="18"/>
                <w:b w:val="1"/>
                <w:bCs w:val="1"/>
                <w:color w:val="auto"/>
              </w:rPr>
              <w:t>Net earning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870,564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779,440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interest margin</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178"/>
        </w:trPr>
        <w:tc>
          <w:tcPr>
            <w:tcW w:w="3200" w:type="dxa"/>
            <w:vAlign w:val="bottom"/>
          </w:tcPr>
          <w:p>
            <w:pPr>
              <w:spacing w:after="0" w:line="178" w:lineRule="exact"/>
              <w:rPr>
                <w:sz w:val="20"/>
                <w:szCs w:val="20"/>
                <w:color w:val="auto"/>
              </w:rPr>
            </w:pPr>
            <w:r>
              <w:rPr>
                <w:rFonts w:ascii="Arial" w:cs="Arial" w:eastAsia="Arial" w:hAnsi="Arial"/>
                <w:sz w:val="18"/>
                <w:szCs w:val="18"/>
                <w:b w:val="1"/>
                <w:bCs w:val="1"/>
                <w:color w:val="auto"/>
              </w:rPr>
              <w:t>Average interest-earning assets to</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Arial" w:cs="Arial" w:eastAsia="Arial" w:hAnsi="Arial"/>
                <w:sz w:val="18"/>
                <w:szCs w:val="18"/>
                <w:b w:val="1"/>
                <w:bCs w:val="1"/>
                <w:color w:val="auto"/>
              </w:rPr>
              <w:t>average interest-bearing liabilities</w:t>
            </w: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145.14%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147.92%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30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average loans receivable, net balances include nonaccrual loans.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Includes net deferred fee recognition of $1.4 million and $2.0 million for the three months ended September 30, 2023 and 2022, respectively.</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Shown at amortized cost.</w:t>
      </w:r>
    </w:p>
    <w:p>
      <w:pPr>
        <w:sectPr>
          <w:pgSz w:w="11900" w:h="16838" w:orient="portrait"/>
          <w:cols w:equalWidth="0" w:num="1">
            <w:col w:w="11240"/>
          </w:cols>
          <w:pgMar w:left="320" w:top="125" w:right="3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Net Interest Income. </w:t>
      </w:r>
      <w:r>
        <w:rPr>
          <w:rFonts w:ascii="Arial" w:cs="Arial" w:eastAsia="Arial" w:hAnsi="Arial"/>
          <w:sz w:val="16"/>
          <w:szCs w:val="16"/>
          <w:color w:val="auto"/>
        </w:rPr>
        <w:t>Net interest income increased $3.1 million to $30.6 million for the three months ended September 30, 2023, from $27.5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September 30, 2022, as a result of an increase in interest income on loans, taxable AFS investment securities and interest-bearing deposits at other financial institutions, partially offset by an increase in interest expense. Total interest income increased $12.0 million for the three months ended September 30, 2023, compared to the same period in 2022, primarily due to an increase of $10.3 million in interest income on loans receivable, including fees, primarily due to new loans being originated at higher rates and variable-rate loans repricing higher following recent increases in market interest rates. In addition, interest income on taxable AFS investment securities and interest-bearing deposits at other financial institutions increased $1.1 million and $620,000, respectively, during the three months ended September 30, 2023, compared to the same period in 2022, primarily due to recent increases in market interest rates. Total interest expense increased $8.9 million for the three months ended September 30, 2023, primarily as a result of higher market interest rates, higher utilization of borrowings and a shift in deposit mix from transactional accounts to higher cost CDs.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interest margin (“NIM”) decreased 20 basis points to 4.34% for the three months ended September 30, 2023, from 4.54% for the same quarter in the prior year. The decrease in NIM reflects the rise of average balances of higher costing CDs and borrowings which reduced the impact of new loan originations at higher interest rates and variable rate interest-earning assets repricing higher following recent increases in market interest rates.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Interest Income. </w:t>
      </w:r>
      <w:r>
        <w:rPr>
          <w:rFonts w:ascii="Arial" w:cs="Arial" w:eastAsia="Arial" w:hAnsi="Arial"/>
          <w:sz w:val="17"/>
          <w:szCs w:val="17"/>
          <w:color w:val="auto"/>
        </w:rPr>
        <w:t>Interest income for the three months ended September 30, 2023, increased $12.0 million to $43.3 million, from $31.3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months ended September 30, 2022. The increase during the period was primarily attributable to the $393.3 million increase in the average balance of total interest-earning assets and a 97-basis point increase in the average yield on total interest-earning assets.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compares average interest-earning asset balances, associated yields, and resulting changes in interest income for the three months ended September 30, 2023 and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(Dollars in thousands)</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jc w:val="center"/>
              <w:ind w:left="90"/>
              <w:spacing w:after="0"/>
              <w:rPr>
                <w:sz w:val="20"/>
                <w:szCs w:val="20"/>
                <w:color w:val="auto"/>
              </w:rPr>
            </w:pPr>
            <w:r>
              <w:rPr>
                <w:rFonts w:ascii="Arial" w:cs="Arial" w:eastAsia="Arial" w:hAnsi="Arial"/>
                <w:sz w:val="18"/>
                <w:szCs w:val="18"/>
                <w:color w:val="auto"/>
                <w:w w:val="89"/>
              </w:rPr>
              <w:t>Three Months Ended September 30,</w:t>
            </w: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2023</w:t>
            </w: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2022</w:t>
            </w:r>
          </w:p>
        </w:tc>
        <w:tc>
          <w:tcPr>
            <w:tcW w:w="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520"/>
              <w:spacing w:after="0" w:line="195" w:lineRule="exact"/>
              <w:rPr>
                <w:sz w:val="20"/>
                <w:szCs w:val="20"/>
                <w:color w:val="auto"/>
              </w:rPr>
            </w:pPr>
            <w:r>
              <w:rPr>
                <w:rFonts w:ascii="Arial" w:cs="Arial" w:eastAsia="Arial" w:hAnsi="Arial"/>
                <w:sz w:val="18"/>
                <w:szCs w:val="18"/>
                <w:color w:val="auto"/>
                <w:w w:val="89"/>
              </w:rPr>
              <w:t>Average</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520"/>
              <w:spacing w:after="0" w:line="195" w:lineRule="exact"/>
              <w:rPr>
                <w:sz w:val="20"/>
                <w:szCs w:val="20"/>
                <w:color w:val="auto"/>
              </w:rPr>
            </w:pPr>
            <w:r>
              <w:rPr>
                <w:rFonts w:ascii="Arial" w:cs="Arial" w:eastAsia="Arial" w:hAnsi="Arial"/>
                <w:sz w:val="18"/>
                <w:szCs w:val="18"/>
                <w:color w:val="auto"/>
                <w:w w:val="89"/>
              </w:rPr>
              <w:t>Average</w:t>
            </w: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7"/>
              </w:rPr>
              <w:t>$ Change</w:t>
            </w: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540"/>
              <w:spacing w:after="0"/>
              <w:rPr>
                <w:sz w:val="20"/>
                <w:szCs w:val="20"/>
                <w:color w:val="auto"/>
              </w:rPr>
            </w:pPr>
            <w:r>
              <w:rPr>
                <w:rFonts w:ascii="Arial" w:cs="Arial" w:eastAsia="Arial" w:hAnsi="Arial"/>
                <w:sz w:val="18"/>
                <w:szCs w:val="18"/>
                <w:color w:val="auto"/>
                <w:w w:val="89"/>
              </w:rPr>
              <w:t>Balance</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540"/>
              <w:spacing w:after="0"/>
              <w:rPr>
                <w:sz w:val="20"/>
                <w:szCs w:val="20"/>
                <w:color w:val="auto"/>
              </w:rPr>
            </w:pPr>
            <w:r>
              <w:rPr>
                <w:rFonts w:ascii="Arial" w:cs="Arial" w:eastAsia="Arial" w:hAnsi="Arial"/>
                <w:sz w:val="18"/>
                <w:szCs w:val="18"/>
                <w:color w:val="auto"/>
                <w:w w:val="89"/>
              </w:rPr>
              <w:t>Balance</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 Interest</w:t>
            </w:r>
          </w:p>
        </w:tc>
      </w:tr>
      <w:tr>
        <w:trPr>
          <w:trHeight w:val="230"/>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Yield</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Yield</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Loans receivable, net and loans held for sale </w:t>
            </w:r>
            <w:r>
              <w:rPr>
                <w:rFonts w:ascii="Arial" w:cs="Arial" w:eastAsia="Arial" w:hAnsi="Arial"/>
                <w:sz w:val="24"/>
                <w:szCs w:val="24"/>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2,423,691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2,083,561</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Taxable AFS mortgage-backed securities (2)</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99,575</w:t>
            </w:r>
          </w:p>
        </w:tc>
        <w:tc>
          <w:tcPr>
            <w:tcW w:w="220" w:type="dxa"/>
            <w:vAlign w:val="bottom"/>
          </w:tcPr>
          <w:p>
            <w:pPr>
              <w:spacing w:after="0"/>
              <w:rPr>
                <w:sz w:val="18"/>
                <w:szCs w:val="18"/>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83,981</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46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Taxable AFS investment securities </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66,237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61,052</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w:t>
            </w:r>
          </w:p>
        </w:tc>
      </w:tr>
      <w:tr>
        <w:trPr>
          <w:trHeight w:val="216"/>
        </w:trPr>
        <w:tc>
          <w:tcPr>
            <w:tcW w:w="4620" w:type="dxa"/>
            <w:vAlign w:val="bottom"/>
          </w:tcPr>
          <w:p>
            <w:pPr>
              <w:spacing w:after="0" w:line="216" w:lineRule="exact"/>
              <w:rPr>
                <w:sz w:val="20"/>
                <w:szCs w:val="20"/>
                <w:color w:val="auto"/>
              </w:rPr>
            </w:pPr>
            <w:r>
              <w:rPr>
                <w:rFonts w:ascii="Arial" w:cs="Arial" w:eastAsia="Arial" w:hAnsi="Arial"/>
                <w:sz w:val="16"/>
                <w:szCs w:val="16"/>
                <w:color w:val="auto"/>
              </w:rPr>
              <w:t xml:space="preserve">Tax-exempt AFS investment securities </w:t>
            </w:r>
            <w:r>
              <w:rPr>
                <w:rFonts w:ascii="Arial" w:cs="Arial" w:eastAsia="Arial" w:hAnsi="Arial"/>
                <w:sz w:val="25"/>
                <w:szCs w:val="25"/>
                <w:color w:val="auto"/>
                <w:vertAlign w:val="superscript"/>
              </w:rPr>
              <w:t>(2)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128,336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131,973</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Taxable HTM investment securities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8,500</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5.04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FHLB stock</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7,924</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Interest-bearing deposits at other financial institutions</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68,369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1.99</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620" w:type="dxa"/>
            <w:vAlign w:val="bottom"/>
          </w:tcPr>
          <w:p>
            <w:pPr>
              <w:ind w:left="180"/>
              <w:spacing w:after="0"/>
              <w:rPr>
                <w:sz w:val="20"/>
                <w:szCs w:val="20"/>
                <w:color w:val="auto"/>
              </w:rPr>
            </w:pPr>
            <w:r>
              <w:rPr>
                <w:rFonts w:ascii="Arial" w:cs="Arial" w:eastAsia="Arial" w:hAnsi="Arial"/>
                <w:sz w:val="18"/>
                <w:szCs w:val="18"/>
                <w:color w:val="auto"/>
              </w:rPr>
              <w:t>Total interest-earning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2,799,334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6.13%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2,406,071</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5.16%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11,966</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30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average loans receivable, net balances include nonaccrual loans.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Shown at amortized cost.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increased $8.9 million to $12.6 million for the three months ended September 30, 2023, from $3.8 million for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year quarter, primarily due to an increase of interest expense on deposits of $7.9 million and on borrowings of $993,000. The average cost of funds for total interest-bearing liabilities increased 168 basis points to 2.60% for the three months ended September 30, 2023, from 0.92% for the three months ended September 30, 2022. The increase in interest expense was predominantly due to an increase in cost for deposits and borrowings as well as an increase in the average balances of CDs and borrowings. The average cost of total interest-bearing deposits increased 167 basis points to 2.38%, for the three months ended September 30, 2023, compared to 0.71%, for the three months ended September 30, 2022. The average cost of funds, including noninterest-bearing checking, increased 124 basis points to 1.92% for the three months ended September 30, 2023, from 0.68% for the three months ended September 30, 2022.</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details average balances of interest-bearing liabilities, associated rates, and resulting change in interest expense for the three months ended September 30, 2023 and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(Dollars in thousands)</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7"/>
          </w:tcPr>
          <w:p>
            <w:pPr>
              <w:jc w:val="center"/>
              <w:ind w:left="90"/>
              <w:spacing w:after="0"/>
              <w:rPr>
                <w:sz w:val="20"/>
                <w:szCs w:val="20"/>
                <w:color w:val="auto"/>
              </w:rPr>
            </w:pPr>
            <w:r>
              <w:rPr>
                <w:rFonts w:ascii="Arial" w:cs="Arial" w:eastAsia="Arial" w:hAnsi="Arial"/>
                <w:sz w:val="18"/>
                <w:szCs w:val="18"/>
                <w:color w:val="auto"/>
                <w:w w:val="89"/>
              </w:rPr>
              <w:t>Three Months Ended September 30,</w:t>
            </w: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2023</w:t>
            </w:r>
          </w:p>
        </w:tc>
        <w:tc>
          <w:tcPr>
            <w:tcW w:w="8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center"/>
              <w:ind w:right="540"/>
              <w:spacing w:after="0" w:line="195" w:lineRule="exact"/>
              <w:rPr>
                <w:sz w:val="20"/>
                <w:szCs w:val="20"/>
                <w:color w:val="auto"/>
              </w:rPr>
            </w:pPr>
            <w:r>
              <w:rPr>
                <w:rFonts w:ascii="Arial" w:cs="Arial" w:eastAsia="Arial" w:hAnsi="Arial"/>
                <w:sz w:val="18"/>
                <w:szCs w:val="18"/>
                <w:color w:val="auto"/>
                <w:w w:val="89"/>
              </w:rPr>
              <w:t>Average</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center"/>
              <w:ind w:right="540"/>
              <w:spacing w:after="0" w:line="195" w:lineRule="exact"/>
              <w:rPr>
                <w:sz w:val="20"/>
                <w:szCs w:val="20"/>
                <w:color w:val="auto"/>
              </w:rPr>
            </w:pPr>
            <w:r>
              <w:rPr>
                <w:rFonts w:ascii="Arial" w:cs="Arial" w:eastAsia="Arial" w:hAnsi="Arial"/>
                <w:sz w:val="18"/>
                <w:szCs w:val="18"/>
                <w:color w:val="auto"/>
                <w:w w:val="89"/>
              </w:rPr>
              <w:t>Average</w:t>
            </w: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7"/>
              </w:rPr>
              <w:t>$ Change</w:t>
            </w: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560"/>
              <w:spacing w:after="0"/>
              <w:rPr>
                <w:sz w:val="20"/>
                <w:szCs w:val="20"/>
                <w:color w:val="auto"/>
              </w:rPr>
            </w:pPr>
            <w:r>
              <w:rPr>
                <w:rFonts w:ascii="Arial" w:cs="Arial" w:eastAsia="Arial" w:hAnsi="Arial"/>
                <w:sz w:val="18"/>
                <w:szCs w:val="18"/>
                <w:color w:val="auto"/>
                <w:w w:val="89"/>
              </w:rPr>
              <w:t>Balance</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560"/>
              <w:spacing w:after="0"/>
              <w:rPr>
                <w:sz w:val="20"/>
                <w:szCs w:val="20"/>
                <w:color w:val="auto"/>
              </w:rPr>
            </w:pPr>
            <w:r>
              <w:rPr>
                <w:rFonts w:ascii="Arial" w:cs="Arial" w:eastAsia="Arial" w:hAnsi="Arial"/>
                <w:sz w:val="18"/>
                <w:szCs w:val="18"/>
                <w:color w:val="auto"/>
                <w:w w:val="89"/>
              </w:rPr>
              <w:t>Balance</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 Interest</w:t>
            </w:r>
          </w:p>
        </w:tc>
      </w:tr>
      <w:tr>
        <w:trPr>
          <w:trHeight w:val="230"/>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Rate</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9"/>
              </w:rPr>
              <w:t>Rate</w:t>
            </w:r>
          </w:p>
        </w:tc>
        <w:tc>
          <w:tcPr>
            <w:tcW w:w="3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5"/>
              </w:rPr>
              <w:t>Expense</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Savings and money market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570,786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829,460</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Interest-bearing checking</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187,746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153,054</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982,725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475,533</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Borrowings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138,013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119,150</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993</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Subordinated note</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49,434</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3.89</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620" w:type="dxa"/>
            <w:vAlign w:val="bottom"/>
          </w:tcPr>
          <w:p>
            <w:pPr>
              <w:ind w:left="180"/>
              <w:spacing w:after="0"/>
              <w:rPr>
                <w:sz w:val="20"/>
                <w:szCs w:val="20"/>
                <w:color w:val="auto"/>
              </w:rPr>
            </w:pPr>
            <w:r>
              <w:rPr>
                <w:rFonts w:ascii="Arial" w:cs="Arial" w:eastAsia="Arial" w:hAnsi="Arial"/>
                <w:sz w:val="18"/>
                <w:szCs w:val="18"/>
                <w:color w:val="auto"/>
              </w:rPr>
              <w:t>Total interest-bearing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1,928,770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2.60%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1,626,631</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0.92%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8,859</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Provision for Credit Losses. </w:t>
      </w:r>
      <w:r>
        <w:rPr>
          <w:rFonts w:ascii="Arial" w:cs="Arial" w:eastAsia="Arial" w:hAnsi="Arial"/>
          <w:sz w:val="17"/>
          <w:szCs w:val="17"/>
          <w:color w:val="auto"/>
        </w:rPr>
        <w:t>For the three months ended September 30, 2023, the provision for credit losses was $548,000, consisting of a $684,000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 for credit losses on loans and a $14,000 provision for credit losses on securities held-to-maturity, partially offset by a $149,000 reversal of the allowance for credit losses on unfunded loan commitments, compared to $1.7 million provision for credit losses for the three months ended September 30, 2022, consisting of a $2.0 million provision for credit losses on loans, offset by a $305,000 reversal of credit losses on unfunded loan commitments. The provision for credit losses on loans reflects the increase in total loans receivable and net charge-offs for the three months ended September 30, 2023, while the reversal of the allowance for credit losses on unfunded loan commitments for the three months ended September 30, 2023, was a result of a decrease in total unfunded commitments during current quarter.</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three months ended September 30, 2023, net loan charge-offs totaled $533,000, compared to $563,000 during the three months ended September 30, 2022. The decrease was primarily due to decreases in net charge-offs of $388,000 in deposit overdrafts and $35,000 in marine loans, partially offset by net increases of $387,000 in indirect home improvement loans and $3,000 in other loans. A further decline in national and local economic conditions, as a result the effects of inflation, a potential recession or slowed economic growth, among other economic factors, could result in a material increase in the ACL for loans and may adversely affect the Company’s financial condition and result of operations.</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Noninterest Income. </w:t>
      </w:r>
      <w:r>
        <w:rPr>
          <w:rFonts w:ascii="Arial" w:cs="Arial" w:eastAsia="Arial" w:hAnsi="Arial"/>
          <w:sz w:val="16"/>
          <w:szCs w:val="16"/>
          <w:color w:val="auto"/>
        </w:rPr>
        <w:t>Noninterest income increased $801,000 to $5.0 million for the three months ended September 30, 2023, from $4.2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September 30, 2022. The increase reflects a $555,000 increase in service charges and fee income, primarily as a result of a $588,000 increase in deposit fees, including interchange income, and an increase of $473,000 in gain on sale of loans, partially offset by a $239,000 decrease other noninterest income. As of September 30, 2023, the servicing rights were being amortized over an approximate six-year period. Gross margin on home loan sales increased to 3.08% for the three months ended September 30, 2023, from 2.85% for the three months ended September 30, 2022.</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 xml:space="preserve">Noninterest Expense. </w:t>
      </w:r>
      <w:r>
        <w:rPr>
          <w:rFonts w:ascii="Arial" w:cs="Arial" w:eastAsia="Arial" w:hAnsi="Arial"/>
          <w:sz w:val="16"/>
          <w:szCs w:val="16"/>
          <w:color w:val="auto"/>
        </w:rPr>
        <w:t>Noninterest expense increased $4.2 million to $23.6 million for the three months ended September 30, 2023, from $19.3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September 30, 2022. The increase was primarily the result a $2.1 million increase in salaries and benefits, largely due to an increase in the number of FTEs as a result of the Branch Acquisition. Other increases included $829,000 in amortization of CDI, $597,000 in operations expense, $293,000 in data processing, $244,000 in occupancy expense, and $232,000 in marketing and advertising, offset by a decrease of $182,000 in loan costs.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efficiency ratio, which is calculated by dividing noninterest expense by total net interest income and noninterest income, worsened to 66.22% for the three months ended September 30, 2023, compared to 60.99% for the three months ended September 30, 2022, primarily due to the increase in noninterest expenses, much of which was related to the Branch Acquisition.</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For the three months ended September 30, 2023, the Company recorded a provision for income taxes of $2.5 million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$2.2 million for the three months ended September 30, 2022. The increase in the income taxes provision was primarily due to an $830,000 increase in pre-tax income during the three months ended September 30, 2023, as compared to the same quarter last year. The effective corporate income tax rates for the three months ended September 30, 2023 and 2022 were 22.0% and 20.6%, respectively. The increase in the effective corporate income tax rate was attributable to a decrease in nontaxable income between periods.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of Operations for the Nine Months Ended September 30, 2023 and 2022</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Net income was $26.3 million for the nine months ended September 30, 2023, and $22.0 million for the nine months ended September 30,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increase in net income for the nine months ended September 30, 2023 compared to the same period in 2022, was primarily due to a $17.9 million, or 23.8%, increase in net interest income and a $1.3 million, or 27.2%, decrease in the provision for credit losses, partially offset by a $14.0 million, or 24.4%, increase in noninterest expense and a $1.5 million, or 28.1%, increase in provision for income taxes.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Average Balances, Interest and Average Yields/Cost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table sets forth for the periods indicated, information regarding average balances of assets and liabilities, as well as the total dollar amounts of interest income from average interest-earning assets and interest expense on average interest-bearing liabilities, resultant yields, interest rate spread, net interest margin (otherwise known as net yield on interest-earning assets), and the ratio of average interest-earning assets to average interest-bearing liabilities. Also presented is the weighted average yield on interest-earning assets, rates paid on interest-bearing liabilities and the resultant spread at for the periods presented. Average balances are daily average balances. Nonaccrual loans have been included in the table as loans carrying a zero yield. The yields on tax-exempt municipal bonds have not been computed on a tax equivalent basis.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(Dollars in thousands)</w:t>
            </w:r>
          </w:p>
        </w:tc>
        <w:tc>
          <w:tcPr>
            <w:tcW w:w="100" w:type="dxa"/>
            <w:vAlign w:val="bottom"/>
          </w:tcPr>
          <w:p>
            <w:pPr>
              <w:spacing w:after="0"/>
              <w:rPr>
                <w:sz w:val="18"/>
                <w:szCs w:val="18"/>
                <w:color w:val="auto"/>
              </w:rPr>
            </w:pPr>
          </w:p>
        </w:tc>
        <w:tc>
          <w:tcPr>
            <w:tcW w:w="3860" w:type="dxa"/>
            <w:vAlign w:val="bottom"/>
            <w:gridSpan w:val="7"/>
          </w:tcPr>
          <w:p>
            <w:pPr>
              <w:jc w:val="center"/>
              <w:ind w:right="170"/>
              <w:spacing w:after="0"/>
              <w:rPr>
                <w:sz w:val="20"/>
                <w:szCs w:val="20"/>
                <w:color w:val="auto"/>
              </w:rPr>
            </w:pPr>
            <w:r>
              <w:rPr>
                <w:rFonts w:ascii="Arial" w:cs="Arial" w:eastAsia="Arial" w:hAnsi="Arial"/>
                <w:sz w:val="18"/>
                <w:szCs w:val="18"/>
                <w:color w:val="auto"/>
                <w:w w:val="90"/>
              </w:rPr>
              <w:t>For the Nine Months 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gridSpan w:val="7"/>
          </w:tcPr>
          <w:p>
            <w:pPr>
              <w:jc w:val="center"/>
              <w:ind w:right="170"/>
              <w:spacing w:after="0"/>
              <w:rPr>
                <w:sz w:val="20"/>
                <w:szCs w:val="20"/>
                <w:color w:val="auto"/>
              </w:rPr>
            </w:pPr>
            <w:r>
              <w:rPr>
                <w:rFonts w:ascii="Arial" w:cs="Arial" w:eastAsia="Arial" w:hAnsi="Arial"/>
                <w:sz w:val="18"/>
                <w:szCs w:val="18"/>
                <w:color w:val="auto"/>
                <w:w w:val="90"/>
              </w:rPr>
              <w:t>For the Nine Months Ended</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color w:val="auto"/>
                <w:w w:val="88"/>
              </w:rPr>
              <w:t>September 30, 2023</w:t>
            </w: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color w:val="auto"/>
                <w:w w:val="88"/>
              </w:rPr>
              <w:t>September 30, 2022</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Interest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Interest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b w:val="1"/>
                <w:bCs w:val="1"/>
                <w:color w:val="auto"/>
              </w:rPr>
              <w:t>Average Balances</w:t>
            </w:r>
          </w:p>
        </w:tc>
        <w:tc>
          <w:tcPr>
            <w:tcW w:w="10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Earned/ Paid</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Yield/ Rate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Earned/ Paid</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Yield/ Rate</w:t>
            </w: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w w:val="99"/>
              </w:rPr>
              <w:t>Loans receivable, net and loans held for</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 xml:space="preserve">sale </w:t>
            </w:r>
            <w:r>
              <w:rPr>
                <w:rFonts w:ascii="Arial" w:cs="Arial" w:eastAsia="Arial" w:hAnsi="Arial"/>
                <w:sz w:val="14"/>
                <w:szCs w:val="14"/>
                <w:color w:val="auto"/>
              </w:rPr>
              <w:t>(1) (2)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2,362,885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114,082</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1,953,305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77,885</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6"/>
              </w:rPr>
              <w:t>Taxable AFS mortgage-backed securities</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87,357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1,162</w:t>
            </w:r>
          </w:p>
        </w:tc>
        <w:tc>
          <w:tcPr>
            <w:tcW w:w="12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87,687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1,466</w:t>
            </w:r>
          </w:p>
        </w:tc>
        <w:tc>
          <w:tcPr>
            <w:tcW w:w="12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86"/>
        </w:trPr>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line="216" w:lineRule="exact"/>
              <w:rPr>
                <w:sz w:val="20"/>
                <w:szCs w:val="20"/>
                <w:color w:val="auto"/>
              </w:rPr>
            </w:pPr>
            <w:r>
              <w:rPr>
                <w:rFonts w:ascii="Arial" w:cs="Arial" w:eastAsia="Arial" w:hAnsi="Arial"/>
                <w:sz w:val="16"/>
                <w:szCs w:val="16"/>
                <w:color w:val="auto"/>
              </w:rPr>
              <w:t xml:space="preserve">Taxable AFS investment securities </w:t>
            </w:r>
            <w:r>
              <w:rPr>
                <w:rFonts w:ascii="Arial" w:cs="Arial" w:eastAsia="Arial" w:hAnsi="Arial"/>
                <w:sz w:val="25"/>
                <w:szCs w:val="25"/>
                <w:color w:val="auto"/>
                <w:vertAlign w:val="superscript"/>
              </w:rPr>
              <w:t>(3)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2,961</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Tax-exempt AFS investment securities </w:t>
            </w:r>
            <w:r>
              <w:rPr>
                <w:rFonts w:ascii="Arial" w:cs="Arial" w:eastAsia="Arial" w:hAnsi="Arial"/>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Taxable HTM investment securities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FHLB stock</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w w:val="94"/>
              </w:rPr>
              <w:t>Interest-bearing deposits at other financial</w:t>
            </w:r>
          </w:p>
        </w:tc>
        <w:tc>
          <w:tcPr>
            <w:tcW w:w="1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67,163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34,705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00" w:type="dxa"/>
            <w:vAlign w:val="bottom"/>
          </w:tcPr>
          <w:p>
            <w:pPr>
              <w:spacing w:after="0"/>
              <w:rPr>
                <w:sz w:val="20"/>
                <w:szCs w:val="20"/>
                <w:color w:val="auto"/>
              </w:rPr>
            </w:pPr>
            <w:r>
              <w:rPr>
                <w:rFonts w:ascii="Arial" w:cs="Arial" w:eastAsia="Arial" w:hAnsi="Arial"/>
                <w:sz w:val="18"/>
                <w:szCs w:val="18"/>
                <w:color w:val="auto"/>
              </w:rPr>
              <w:t>institutions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2,720,573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122,749</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2,281,064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82,875</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8"/>
                <w:szCs w:val="18"/>
                <w:color w:val="auto"/>
              </w:rPr>
              <w:t>Noninterest-earning assets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88,936</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79,273</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2,809,509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2,360,337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2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Savings and money market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Interest-bearing checking</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171,192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186,856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892,035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19,514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Borrowings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107,254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3,749</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64,855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49,484</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49,417</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0"/>
        </w:trPr>
        <w:tc>
          <w:tcPr>
            <w:tcW w:w="3200" w:type="dxa"/>
            <w:vAlign w:val="bottom"/>
          </w:tcPr>
          <w:p>
            <w:pPr>
              <w:ind w:left="180"/>
              <w:spacing w:after="0"/>
              <w:rPr>
                <w:sz w:val="20"/>
                <w:szCs w:val="20"/>
                <w:color w:val="auto"/>
              </w:rPr>
            </w:pPr>
            <w:r>
              <w:rPr>
                <w:rFonts w:ascii="Arial" w:cs="Arial" w:eastAsia="Arial" w:hAnsi="Arial"/>
                <w:sz w:val="18"/>
                <w:szCs w:val="18"/>
                <w:b w:val="1"/>
                <w:bCs w:val="1"/>
                <w:color w:val="auto"/>
              </w:rPr>
              <w:t>Total interest-bearing liabilities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1,860,426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29,901</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1,505,453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7,897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accounts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Other noninterest-bearing liabilities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36,095</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31,346</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2,560,840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2,124,971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2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Net interest income</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tcPr>
          <w:p>
            <w:pPr>
              <w:jc w:val="right"/>
              <w:ind w:right="10"/>
              <w:spacing w:after="0" w:line="196" w:lineRule="exact"/>
              <w:rPr>
                <w:sz w:val="20"/>
                <w:szCs w:val="20"/>
                <w:color w:val="auto"/>
              </w:rPr>
            </w:pPr>
            <w:r>
              <w:rPr>
                <w:rFonts w:ascii="Arial" w:cs="Arial" w:eastAsia="Arial" w:hAnsi="Arial"/>
                <w:sz w:val="18"/>
                <w:szCs w:val="18"/>
                <w:color w:val="auto"/>
              </w:rPr>
              <w:t>92,848</w:t>
            </w: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tcPr>
          <w:p>
            <w:pPr>
              <w:jc w:val="right"/>
              <w:ind w:right="10"/>
              <w:spacing w:after="0" w:line="196" w:lineRule="exact"/>
              <w:rPr>
                <w:sz w:val="20"/>
                <w:szCs w:val="20"/>
                <w:color w:val="auto"/>
              </w:rPr>
            </w:pPr>
            <w:r>
              <w:rPr>
                <w:rFonts w:ascii="Arial" w:cs="Arial" w:eastAsia="Arial" w:hAnsi="Arial"/>
                <w:sz w:val="18"/>
                <w:szCs w:val="18"/>
                <w:color w:val="auto"/>
              </w:rPr>
              <w:t>74,978</w:t>
            </w: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interest rate spread</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197"/>
        </w:trPr>
        <w:tc>
          <w:tcPr>
            <w:tcW w:w="3200" w:type="dxa"/>
            <w:vAlign w:val="bottom"/>
          </w:tcPr>
          <w:p>
            <w:pPr>
              <w:spacing w:after="0" w:line="196" w:lineRule="exact"/>
              <w:rPr>
                <w:sz w:val="20"/>
                <w:szCs w:val="20"/>
                <w:color w:val="auto"/>
              </w:rPr>
            </w:pPr>
            <w:r>
              <w:rPr>
                <w:rFonts w:ascii="Arial" w:cs="Arial" w:eastAsia="Arial" w:hAnsi="Arial"/>
                <w:sz w:val="18"/>
                <w:szCs w:val="18"/>
                <w:b w:val="1"/>
                <w:bCs w:val="1"/>
                <w:color w:val="auto"/>
              </w:rPr>
              <w:t>Net earning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860,147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775,611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interest margin</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178"/>
        </w:trPr>
        <w:tc>
          <w:tcPr>
            <w:tcW w:w="3200" w:type="dxa"/>
            <w:vAlign w:val="bottom"/>
          </w:tcPr>
          <w:p>
            <w:pPr>
              <w:spacing w:after="0" w:line="178" w:lineRule="exact"/>
              <w:rPr>
                <w:sz w:val="20"/>
                <w:szCs w:val="20"/>
                <w:color w:val="auto"/>
              </w:rPr>
            </w:pPr>
            <w:r>
              <w:rPr>
                <w:rFonts w:ascii="Arial" w:cs="Arial" w:eastAsia="Arial" w:hAnsi="Arial"/>
                <w:sz w:val="18"/>
                <w:szCs w:val="18"/>
                <w:b w:val="1"/>
                <w:bCs w:val="1"/>
                <w:color w:val="auto"/>
              </w:rPr>
              <w:t>Average interest-earning assets to</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Arial" w:cs="Arial" w:eastAsia="Arial" w:hAnsi="Arial"/>
                <w:sz w:val="18"/>
                <w:szCs w:val="18"/>
                <w:b w:val="1"/>
                <w:bCs w:val="1"/>
                <w:color w:val="auto"/>
              </w:rPr>
              <w:t>average interest-bearing liabilities</w:t>
            </w: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146.23%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151.52%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0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average loans receivable, net balances include nonaccrual loans.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net deferred fee recognition of $4.7 million and $6.2 million for the nine months ended September 30, 2023 and 2022, respectively.</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Shown at amortized cost.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Net Interest Income. </w:t>
      </w:r>
      <w:r>
        <w:rPr>
          <w:rFonts w:ascii="Arial" w:cs="Arial" w:eastAsia="Arial" w:hAnsi="Arial"/>
          <w:sz w:val="18"/>
          <w:szCs w:val="18"/>
          <w:color w:val="auto"/>
        </w:rPr>
        <w:t>Net interest income increased $17.9 million to $92.8 million for the nine months ended September 30, 2023, from $75.0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September 30, 2022. This increase was primarily the result of an increase in loans and variable rate loans repricing higher and, to a lesser extent, increases in interest income from taxable AFS investment securities and interest-bearing deposits at other financial institutions, partially offset by an increase in interest expense.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Total interest income increased $39.9 million for the nine months ended September 30, 2023, compared to the same period in 2022, primarily due to an increase of $36.2 million in interest income on loans receivable, including fees, primarily due to new loans being originated at higher rates and variable-rate loans repricing higher following recent increases in market interest rates. In addition, interest income on taxable AFS investment securities and interest-bearing deposits at other financial institutions increased $1.8 million and $1.8 million, respectively, during the three months ended September 30, 2023 compared to the same period in 2022, primarily due to recent increases in market interest rates. Total interest expense increased $22.0 million for the nine months ended September 30, 2023, compared to the same period in 2022, primarily as a result of higher interest rates, higher utilization of borrowings and a shift in deposit mix from transactional accounts to higher cost CDs.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NIM increased 17 basis points to 4.56% for the nine months ended September 30, 2023, from 4.39% for the same period in the prior year. The increase in NIM reflects new loan originations at higher interest rates and variable rate interest-earning assets repricing higher following recent increases in market interest rates. The benefit of the higher rates and increase in interest earning assets was partially offset by rising deposit and borrowing costs. Increases in average balances of higher costing CDs and borrowings placed additional pressure on NIM.</w:t>
      </w:r>
    </w:p>
    <w:p>
      <w:pPr>
        <w:sectPr>
          <w:pgSz w:w="11900" w:h="16838" w:orient="portrait"/>
          <w:cols w:equalWidth="0" w:num="1">
            <w:col w:w="11240"/>
          </w:cols>
          <w:pgMar w:left="320" w:top="125" w:right="339" w:bottom="642"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642"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for the nine months ended September 30, 2023, increased $39.9 million to $122.7 million, from $82.9 million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2022. The increase during the period was primarily attributable to a $439.5 million increase in the average balance of total interest-earning assets and a 117-basis point increase in the average yield on total interest-earning assets.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average interest-earning asset balances, associated yields, and resulting changes in interest income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(Dollars in thousands)</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jc w:val="center"/>
              <w:ind w:left="90"/>
              <w:spacing w:after="0"/>
              <w:rPr>
                <w:sz w:val="20"/>
                <w:szCs w:val="20"/>
                <w:color w:val="auto"/>
              </w:rPr>
            </w:pPr>
            <w:r>
              <w:rPr>
                <w:rFonts w:ascii="Arial" w:cs="Arial" w:eastAsia="Arial" w:hAnsi="Arial"/>
                <w:sz w:val="18"/>
                <w:szCs w:val="18"/>
                <w:color w:val="auto"/>
                <w:w w:val="89"/>
              </w:rPr>
              <w:t>Nine Months Ended September 30,</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2023</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2022</w:t>
            </w: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95"/>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520"/>
              <w:spacing w:after="0" w:line="195" w:lineRule="exact"/>
              <w:rPr>
                <w:sz w:val="20"/>
                <w:szCs w:val="20"/>
                <w:color w:val="auto"/>
              </w:rPr>
            </w:pPr>
            <w:r>
              <w:rPr>
                <w:rFonts w:ascii="Arial" w:cs="Arial" w:eastAsia="Arial" w:hAnsi="Arial"/>
                <w:sz w:val="18"/>
                <w:szCs w:val="18"/>
                <w:color w:val="auto"/>
                <w:w w:val="89"/>
              </w:rPr>
              <w:t>Average</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520"/>
              <w:spacing w:after="0" w:line="195" w:lineRule="exact"/>
              <w:rPr>
                <w:sz w:val="20"/>
                <w:szCs w:val="20"/>
                <w:color w:val="auto"/>
              </w:rPr>
            </w:pPr>
            <w:r>
              <w:rPr>
                <w:rFonts w:ascii="Arial" w:cs="Arial" w:eastAsia="Arial" w:hAnsi="Arial"/>
                <w:sz w:val="18"/>
                <w:szCs w:val="18"/>
                <w:color w:val="auto"/>
                <w:w w:val="89"/>
              </w:rPr>
              <w:t>Average</w:t>
            </w: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87"/>
              </w:rPr>
              <w:t>$ Change</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540"/>
              <w:spacing w:after="0"/>
              <w:rPr>
                <w:sz w:val="20"/>
                <w:szCs w:val="20"/>
                <w:color w:val="auto"/>
              </w:rPr>
            </w:pPr>
            <w:r>
              <w:rPr>
                <w:rFonts w:ascii="Arial" w:cs="Arial" w:eastAsia="Arial" w:hAnsi="Arial"/>
                <w:sz w:val="18"/>
                <w:szCs w:val="18"/>
                <w:color w:val="auto"/>
                <w:w w:val="89"/>
              </w:rPr>
              <w:t>Balance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540"/>
              <w:spacing w:after="0"/>
              <w:rPr>
                <w:sz w:val="20"/>
                <w:szCs w:val="20"/>
                <w:color w:val="auto"/>
              </w:rPr>
            </w:pPr>
            <w:r>
              <w:rPr>
                <w:rFonts w:ascii="Arial" w:cs="Arial" w:eastAsia="Arial" w:hAnsi="Arial"/>
                <w:sz w:val="18"/>
                <w:szCs w:val="18"/>
                <w:color w:val="auto"/>
                <w:w w:val="89"/>
              </w:rPr>
              <w:t>Balance</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1"/>
              </w:rPr>
              <w:t>in Interest</w:t>
            </w:r>
          </w:p>
        </w:tc>
      </w:tr>
      <w:tr>
        <w:trPr>
          <w:trHeight w:val="230"/>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Yield</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Yield</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1"/>
              </w:rPr>
              <w:t>Income</w:t>
            </w:r>
          </w:p>
        </w:tc>
      </w:tr>
      <w:tr>
        <w:trPr>
          <w:trHeight w:val="209"/>
        </w:trPr>
        <w:tc>
          <w:tcPr>
            <w:tcW w:w="462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Loans receivable, net and loans held for sale </w:t>
            </w:r>
            <w:r>
              <w:rPr>
                <w:rFonts w:ascii="Arial" w:cs="Arial" w:eastAsia="Arial" w:hAnsi="Arial"/>
                <w:sz w:val="24"/>
                <w:szCs w:val="24"/>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2,362,885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0"/>
              </w:rPr>
              <w:t>6.46%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1,953,305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5.33%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36,197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Taxable AFS mortgage-backed securities (2)</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87,357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87,687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16"/>
        </w:trPr>
        <w:tc>
          <w:tcPr>
            <w:tcW w:w="46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Taxable AFS investment securities </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61,103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2,109</w:t>
            </w:r>
          </w:p>
        </w:tc>
      </w:tr>
      <w:tr>
        <w:trPr>
          <w:trHeight w:val="216"/>
        </w:trPr>
        <w:tc>
          <w:tcPr>
            <w:tcW w:w="4620" w:type="dxa"/>
            <w:vAlign w:val="bottom"/>
          </w:tcPr>
          <w:p>
            <w:pPr>
              <w:spacing w:after="0" w:line="216" w:lineRule="exact"/>
              <w:rPr>
                <w:sz w:val="20"/>
                <w:szCs w:val="20"/>
                <w:color w:val="auto"/>
              </w:rPr>
            </w:pPr>
            <w:r>
              <w:rPr>
                <w:rFonts w:ascii="Arial" w:cs="Arial" w:eastAsia="Arial" w:hAnsi="Arial"/>
                <w:sz w:val="16"/>
                <w:szCs w:val="16"/>
                <w:color w:val="auto"/>
              </w:rPr>
              <w:t xml:space="preserve">Tax-exempt AFS investment securities </w:t>
            </w:r>
            <w:r>
              <w:rPr>
                <w:rFonts w:ascii="Arial" w:cs="Arial" w:eastAsia="Arial" w:hAnsi="Arial"/>
                <w:sz w:val="25"/>
                <w:szCs w:val="25"/>
                <w:color w:val="auto"/>
                <w:vertAlign w:val="superscript"/>
              </w:rPr>
              <w:t>(2)</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129,195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130,605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Taxable HTM investment securities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FHLB stock</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Interest-bearing deposits at other financial institutions</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67,163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34,705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1,826</w:t>
            </w:r>
          </w:p>
        </w:tc>
      </w:tr>
      <w:tr>
        <w:trPr>
          <w:trHeight w:val="210"/>
        </w:trPr>
        <w:tc>
          <w:tcPr>
            <w:tcW w:w="4620" w:type="dxa"/>
            <w:vAlign w:val="bottom"/>
          </w:tcPr>
          <w:p>
            <w:pPr>
              <w:ind w:left="180"/>
              <w:spacing w:after="0"/>
              <w:rPr>
                <w:sz w:val="20"/>
                <w:szCs w:val="20"/>
                <w:color w:val="auto"/>
              </w:rPr>
            </w:pPr>
            <w:r>
              <w:rPr>
                <w:rFonts w:ascii="Arial" w:cs="Arial" w:eastAsia="Arial" w:hAnsi="Arial"/>
                <w:sz w:val="18"/>
                <w:szCs w:val="18"/>
                <w:color w:val="auto"/>
              </w:rPr>
              <w:t>Total interest-earning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2,720,573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Arial" w:cs="Arial" w:eastAsia="Arial" w:hAnsi="Arial"/>
                <w:sz w:val="18"/>
                <w:szCs w:val="18"/>
                <w:color w:val="auto"/>
                <w:w w:val="90"/>
              </w:rPr>
              <w:t>6.03%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2,281,064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w w:val="90"/>
              </w:rPr>
              <w:t>4.86%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39,874</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0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average loans receivable, net balances include nonaccrual loans.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Shown at amortized cost.</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increased $22.0 million to $29.9 million for the nine months ended September 30, 2023, from $7.9 million for the same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 in the prior year, primarily due to an increase of interest expense on deposits of $19.3 million, primarily higher costing CDs, and on borrowings of $2.7 million. The average cost of funds for total interest-bearing liabilities increased 145 basis points to 2.15% for the nine months ended September 30, 2023, from 0.70% for the nine months ended September 30, 2022. The increase in interest expense was predominantly due to the increase in market rate for deposits, a shift in deposits to higher costing CDs, and an increase in the average balance of borrowings. The average cost of total interest-bearing deposits increased 142 basis points to 1.94%, for the nine months ended September 30, 2023, compared to 0.52%, for the nine months ended September 30, 2022. The average cost of funds, including noninterest-bearing checking, increased 108 basis points to 1.58% for the nine months ended September 30, 2023, from 0.50% for the nine months ended September 30, 2022.</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details average balances of interest-bearing liabilities, associated rates and resulting changes in interest expense for the nine months ended September 30, 2023 and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(Dollars in thousands)</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7"/>
          </w:tcPr>
          <w:p>
            <w:pPr>
              <w:jc w:val="center"/>
              <w:ind w:left="92"/>
              <w:spacing w:after="0"/>
              <w:rPr>
                <w:sz w:val="20"/>
                <w:szCs w:val="20"/>
                <w:color w:val="auto"/>
              </w:rPr>
            </w:pPr>
            <w:r>
              <w:rPr>
                <w:rFonts w:ascii="Arial" w:cs="Arial" w:eastAsia="Arial" w:hAnsi="Arial"/>
                <w:sz w:val="18"/>
                <w:szCs w:val="18"/>
                <w:color w:val="auto"/>
                <w:w w:val="89"/>
              </w:rPr>
              <w:t>Nine Months Ended September 30,</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2023</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95"/>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center"/>
              <w:ind w:right="540"/>
              <w:spacing w:after="0" w:line="195" w:lineRule="exact"/>
              <w:rPr>
                <w:sz w:val="20"/>
                <w:szCs w:val="20"/>
                <w:color w:val="auto"/>
              </w:rPr>
            </w:pPr>
            <w:r>
              <w:rPr>
                <w:rFonts w:ascii="Arial" w:cs="Arial" w:eastAsia="Arial" w:hAnsi="Arial"/>
                <w:sz w:val="18"/>
                <w:szCs w:val="18"/>
                <w:color w:val="auto"/>
                <w:w w:val="89"/>
              </w:rPr>
              <w:t>Average</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center"/>
              <w:ind w:right="540"/>
              <w:spacing w:after="0" w:line="195" w:lineRule="exact"/>
              <w:rPr>
                <w:sz w:val="20"/>
                <w:szCs w:val="20"/>
                <w:color w:val="auto"/>
              </w:rPr>
            </w:pPr>
            <w:r>
              <w:rPr>
                <w:rFonts w:ascii="Arial" w:cs="Arial" w:eastAsia="Arial" w:hAnsi="Arial"/>
                <w:sz w:val="18"/>
                <w:szCs w:val="18"/>
                <w:color w:val="auto"/>
                <w:w w:val="89"/>
              </w:rPr>
              <w:t>Average</w:t>
            </w: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87"/>
              </w:rPr>
              <w:t>$ Change</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560"/>
              <w:spacing w:after="0"/>
              <w:rPr>
                <w:sz w:val="20"/>
                <w:szCs w:val="20"/>
                <w:color w:val="auto"/>
              </w:rPr>
            </w:pPr>
            <w:r>
              <w:rPr>
                <w:rFonts w:ascii="Arial" w:cs="Arial" w:eastAsia="Arial" w:hAnsi="Arial"/>
                <w:sz w:val="18"/>
                <w:szCs w:val="18"/>
                <w:color w:val="auto"/>
                <w:w w:val="89"/>
              </w:rPr>
              <w:t>Balance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560"/>
              <w:spacing w:after="0"/>
              <w:rPr>
                <w:sz w:val="20"/>
                <w:szCs w:val="20"/>
                <w:color w:val="auto"/>
              </w:rPr>
            </w:pPr>
            <w:r>
              <w:rPr>
                <w:rFonts w:ascii="Arial" w:cs="Arial" w:eastAsia="Arial" w:hAnsi="Arial"/>
                <w:sz w:val="18"/>
                <w:szCs w:val="18"/>
                <w:color w:val="auto"/>
                <w:w w:val="89"/>
              </w:rPr>
              <w:t>Balance</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1"/>
              </w:rPr>
              <w:t>in Interest</w:t>
            </w:r>
          </w:p>
        </w:tc>
      </w:tr>
      <w:tr>
        <w:trPr>
          <w:trHeight w:val="230"/>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Rate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9"/>
              </w:rPr>
              <w:t>Rate</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5"/>
              </w:rPr>
              <w:t>Expense</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Savings and money market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640,461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0"/>
              </w:rPr>
              <w:t>0.85%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792,036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0.40%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Interest-bearing checking</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171,192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186,856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892,035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412,289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0.87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16,826</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Borrowings</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107,254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64,855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2,746</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Subordinated note</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49,484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49,417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Pr>
          <w:p>
            <w:pPr>
              <w:ind w:left="180"/>
              <w:spacing w:after="0"/>
              <w:rPr>
                <w:sz w:val="20"/>
                <w:szCs w:val="20"/>
                <w:color w:val="auto"/>
              </w:rPr>
            </w:pPr>
            <w:r>
              <w:rPr>
                <w:rFonts w:ascii="Arial" w:cs="Arial" w:eastAsia="Arial" w:hAnsi="Arial"/>
                <w:sz w:val="18"/>
                <w:szCs w:val="18"/>
                <w:color w:val="auto"/>
              </w:rPr>
              <w:t>Total interest-bearing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1,860,426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ind w:left="560"/>
              <w:spacing w:after="0" w:line="250" w:lineRule="exact"/>
              <w:rPr>
                <w:sz w:val="20"/>
                <w:szCs w:val="20"/>
                <w:color w:val="auto"/>
              </w:rPr>
            </w:pPr>
            <w:r>
              <w:rPr>
                <w:rFonts w:ascii="Arial" w:cs="Arial" w:eastAsia="Arial" w:hAnsi="Arial"/>
                <w:sz w:val="15"/>
                <w:szCs w:val="15"/>
                <w:color w:val="auto"/>
              </w:rPr>
              <w:t>2.15</w:t>
            </w:r>
            <w:r>
              <w:rPr>
                <w:rFonts w:ascii="Arial" w:cs="Arial" w:eastAsia="Arial" w:hAnsi="Arial"/>
                <w:sz w:val="28"/>
                <w:szCs w:val="28"/>
                <w:color w:val="auto"/>
                <w:vertAlign w:val="superscript"/>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1,505,453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ind w:left="40"/>
              <w:spacing w:after="0" w:line="250" w:lineRule="exact"/>
              <w:rPr>
                <w:sz w:val="20"/>
                <w:szCs w:val="20"/>
                <w:color w:val="auto"/>
              </w:rPr>
            </w:pPr>
            <w:r>
              <w:rPr>
                <w:rFonts w:ascii="Arial" w:cs="Arial" w:eastAsia="Arial" w:hAnsi="Arial"/>
                <w:sz w:val="15"/>
                <w:szCs w:val="15"/>
                <w:color w:val="auto"/>
              </w:rPr>
              <w:t>0.70</w:t>
            </w:r>
            <w:r>
              <w:rPr>
                <w:rFonts w:ascii="Arial" w:cs="Arial" w:eastAsia="Arial" w:hAnsi="Arial"/>
                <w:sz w:val="28"/>
                <w:szCs w:val="28"/>
                <w:color w:val="auto"/>
                <w:vertAlign w:val="superscript"/>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22,004</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Provision for Credit Losses. </w:t>
      </w:r>
      <w:r>
        <w:rPr>
          <w:rFonts w:ascii="Arial" w:cs="Arial" w:eastAsia="Arial" w:hAnsi="Arial"/>
          <w:sz w:val="18"/>
          <w:szCs w:val="18"/>
          <w:color w:val="auto"/>
        </w:rPr>
        <w:t>For the nine months ended September 30, 2023, the provision for credit losses was $3.4 million, consisting of a $4.1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for credit losses on loans partially offset by a $745,000 reversal of the allowance for credit losses on unfunded loan commitments, compared to a $4.6 million provision for credit losses for the nine months ended September 30, 2022, consisting of a $4.5 million provision for credit losses on loans and a $180,000 provision for credit losses on unfunded loan commitments. The provision for credit losses on loans reflects the increase in total loans receivable, increased net charge-offs, and increased reserves on individually evaluated nonaccrual loans. The reversal of the allowance for credit losses on unfunded loan commitments for the nine months ended September 30, 2023, was a result of a decrease in total unfunded commitments during current period.</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nine months ended September 30, 2023, net loan charge-offs totaled $1.6 million, compared to $843,000 during the nine months ended September 30, 2022. The increase was primarily due to increases in net charge-offs of $972,000 in indirect home improvement loans, $164,000 in marine loans, $10,000 in home equity loans, and $2,000 in other loans, offset by a net decrease of $400,000 in deposit overdrafts charge-offs. Management attributes the increase in net charge-offs primarily to volatile economic conditions. A further decline in national and local economic conditions, as a result the effects of inflation, a potential recession or slowed economic growth, among other economic factors, could result in a material increase in the ACL for loans and may adversely affect the Company’s financial condition and result of operations.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Noninterest Income. </w:t>
      </w:r>
      <w:r>
        <w:rPr>
          <w:rFonts w:ascii="Arial" w:cs="Arial" w:eastAsia="Arial" w:hAnsi="Arial"/>
          <w:sz w:val="17"/>
          <w:szCs w:val="17"/>
          <w:color w:val="auto"/>
        </w:rPr>
        <w:t>Noninterest income increased $622,000 to $15.0 million for the nine months ended September 30, 2023, from $14.4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nine months ended September 30, 2022. The increase reflects a $2.2 million increase in service charges and fee income, primarily as a result of a $1.5 million increase in deposit fees, including interchange income, and a $871,000 increase in servicing fee income from non-portfolio serviced loans, net of mortgage servicing rights amortization, and a $391,000 increase in other noninterest income, partially offset by decreases of $2.0 million in gain on sale of loans due primarily to a reduction in origination and sales volume of loans held for sale. Gross margin on home loan sales increased to 3.07% for the nine months ended September 30, 2023, from 2.85% for the nine months ended September 30, 2022.</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Noninterest Expense. </w:t>
      </w:r>
      <w:r>
        <w:rPr>
          <w:rFonts w:ascii="Arial" w:cs="Arial" w:eastAsia="Arial" w:hAnsi="Arial"/>
          <w:sz w:val="18"/>
          <w:szCs w:val="18"/>
          <w:color w:val="auto"/>
        </w:rPr>
        <w:t>Noninterest expense increased $14.0 million to $71.3 million for the nine months ended September 30, 2023, from $57.3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September 30, 2022. The increase was primarily a result of a $5.8 million increase in salaries and benefits largely due to an increase in the number of FTEs as a result of the Branch Acquisition. Other increases included $2.1 million in operations, $2.0 million in amortization of core deposit intangible, $1.6 million in acquisition costs, $928,000 in FDIC insurance due to asset growth and an increase in assessment rates, $845,000 in occupancy expense, $729,000 in data processing, and $420,000 in marketing and advertising, offset by a decrease of $386,000 in professional and board fees.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efficiency ratio weakened to 66.10% for the nine months ended September 30, 2023, compared to 64.14% for the nine months ended September 30, 2022, primarily representing the increase in noninterest expense due to the Branch Acquisition.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For the nine months ended September 30, 2023, the Company recorded a provision for income taxes of $6.9 million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$5.4 million for the nine months ended September 30, 2022. The increase in the income tax provision was primarily due to a $5.8 million increase in pre-tax income during the nine months ended September 30, 2023, as compared to the same period last year. The effective corporate income tax rates for the nine months ended September 30, 2023 and 2022 were 20.8% and 19.7%, respectively. The increase in the effective corporate income tax rate was attributable to a decrease in nontaxable income between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maintains a liquidity position that it believes will adequately provide funding for loan demand and deposit runoff that may occur in the normal course of business. The Company relies on several different sources to meet potential liquidity demands. The primary sources are increases in deposit accounts, FHLB advances, purchases of federal funds, sale of securities available-for-sale, cash flows from loan payments, sales of one-to-four-family loans held for sale, and maturing securities. While the maturities and the scheduled amortization of loans are a predictable source of funds, deposit flows and mortgage prepayments are greatly influenced by general interest rates, economic conditions and competition.</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 must maintain an adequate level of liquidity to ensure the availability of sufficient funds to fund its operations. The Bank generally maintains sufficient cash and short-term investments to meet short-term liquidity needs. At September 30, 2023, the Bank’s total borrowing capacity was $672.0 million with the FHLB of Des Moines, with unused borrowing capacity of $667.7 million. The FHLB borrowing limit is based on certain categories of loans, primarily real estate loans that qualify as collateral for FHLB advances. At September 30, 2023, the Bank held approximately $1.03 billion in loans that qualify as collateral for FHLB advances.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the availability of liquidity from the FHLB of Des Moines, the Bank maintains a short-term borrowing line with the FRB with a limit of $222.3 million and a combined credit limit of $101.0 million in written federal funds lines of credit through correspondent banking relationships at September 30, 2023. The FRB borrowing limit is based on certain categories of loans, primarily consumer loans that qualify as collateral for FRB line of credit. At September 30, 2023, the Bank held approximately $629.3 million in loans that qualify as collateral for the FRB line of credit. Additionally, securities with a carrying value of $73.7 million were pledged primarily to provide contingent liquidity through the Bank Term Funding Program at the Federal Reserve Bank at September 30, 2023, with a current limit of $90.0 million and no unused borrowing capacity. Subject to market conditions, we expect to utilize these borrowing facilities from time to time in the future to fund loan originations and deposit withdrawals, to satisfy other financial commitments, repay maturing debt and to take advantage of investment opportunities to the extent feasible.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Bank’s Asset and Liability Management Policy permits management to utilize brokered deposits up to 20% of deposits or $492.7 million at September 30, 2023. Total brokered deposits at September 30, 2023 were $373.5 million. Management utilizes brokered deposits to mitigate interest rate risk and to enhance liquidity when appropriate.</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Liquidity management is both a daily and long-term function of the Company’s management. Excess liquidity is generally invested in short-term investments, such as overnight deposits and federal funds. On a longer-term basis, a strategy is maintained of investing in various lending products and investment securities, including U.S. Government obligations and U.S. agency securities. The Company uses sources of funds primarily to meet ongoing commitments, pay maturing deposits, fund withdrawals, and to fund loan commitments. At September 30, 2023, outstanding loan commitments, including unused lines of credit totaled $548.5 million. The Company purchased $46.9 million in securities during the nine months ended September 30, 2023. Securities purchased during the nine months ended September 30, 2022 totaled $24.0 million. Securities repayments, maturities and sales in those periods were $13.5 million and $17.8 million, respectively.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Bank’s liquidity is also affected by the volume of loans sold and loan principal payments. During the nine months ended September 30, 2023 and 2022, the Bank sold $320.9 million and $663.8 million in loans and loan participation interests, respectively.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Bank’s liquidity has been positively impacted by increases in deposit levels. Total deposits increased $326.7 million during the nine months ended September 30, 2023 primarily driven by the Branch Purchase with assumed deposits remaining of $301.2 million and growth in CDs. CDs scheduled to mature in three months or less at September 30, 2023, totaled $338.8 million. It is management’s policy to offer deposit rates that are competitive with other local financial institutions. Based on this strategy, management believes that a majority of maturing relationship deposits will remain with the Bank. Excess liquidity from the Branch Purchase was used to repay borrowings.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remainder of 2023, we project that fixed commitments will include $483,000 of operating lease payments. No FHLB advances are scheduled to mature for the remainder of 2023. For information regarding our operating leases, see “Note 7 – Leases” of the Notes to Consolidated Financial Statements included in this report.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separate legal entity from the Bank, FS Bancorp, Inc. must provide for its own liquidity. In addition to its own operating expenses (many of which are paid to the Bank), FS Bancorp is responsible for paying for any stock repurchases, dividends declared to its stockholders, interest and principal on outstanding debt, and other general corporate expenses. Sources of capital and liquidity for FS Bancorp include distributions from the Bank and the issuance of debt or equity securities, although there are regulatory restrictions on the ability of the Bank to make distributions.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Dividends and other capital distributions from the Bank are subject to regulatory notice and certain restrictions. The unrestricted cash of FS Bancorp held at the Bank on an unconsolidated basis totaled $8.7 million at September 30, 2023. The Company currently expects to continue the current practice of paying quarterly cash dividends on common stock subject to the Board of Directors' discretion to modify or terminate this practice at any time and for any reason without prior notice. Our current quarterly common stock dividend rate is $0.25 per share, which we believe is a dividend rate per share which enables us to balance our multiple objectives of managing and investing in the Bank, and returning a substantial portion of our cash to our shareholders. Assuming continued payment during 2023 at this rate of $0.25 per share, our total dividends paid each quarter would be approximately $1.9 million based on the number of the current outstanding shares as of September 30, 2023.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FS Bancorp’s current stock repurchase program, approximately $4.7 million remained available for future repurchases as of September 30, 2023. See “Unregistered Sales of Equity Securities, Use of Proceeds, and Issuer Purchases of Equity Securities” in Item 2, Part II of this Form 10-Q for additional information relating to stock repurchases.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FS Bancorp, on an unconsolidated basis, had $8.7 million in unrestricted cash to meet liquidity needs.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Bank is subject to minimum capital requirements imposed by the FDIC. Based on its capital levels at September 30, 2023, the Bank exceeded these requirements as of that date. Consistent with our goals to operate a sound and profitable organization, our policy is for the Bank to maintain a well-capitalized status under the capital categories of the FDIC. Based on capital levels at September 30, 2023, the Bank was considered to be well capitalized. At September 30, 2023, the Bank exceeded all regulatory capital requirements with Tier 1 leverage-based capital, Tier 1 risk-based capital, total risk-based capital, and common equity Tier 1 capital ratios of 10.3%, 11.8%, 13.1%, and 11.8%, respectively.</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bank holding company registered with the Federal Reserve, the Company is subject to the capital adequacy requirements of the Federal Reserve. Bank holding companies with less than $3.0 billion in assets are generally not subject to compliance with the Federal Reserve’s capital regulations, which are generally the same as the capital regulations applicable to the Bank. The Federal Reserve has a policy that a bank holding company is required to serve as a source of financial and managerial strength to the holding company’s subsidiary bank and the Federal Reserve expects the holding company’s subsidiary bank to be well capitalized under the prompt corrective action regulations. If FS Bancorp were subject to regulatory capital guidelines for bank holding companies with $3.0 billion or more in assets at September 30, 2023, FS Bancorp would have exceeded all regulatory capital requirements. For informational purposes, the regulatory capital ratios calculated for FS Bancorp at September 30, 2023 were 8.9% for Tier 1 leverage-based capital, 10.2% for Tier 1 risk-based capital, 13.4% for total risk-based capital, and 10.2% for CET 1 capital ratio. For additional information regarding regulatory capital compliance, see the discussion included in “Note 14 – Regulatory Capital” to the Notes to Consolidated Financial Statements included in Part I. Item 1 of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the market risk disclosures contained in FS Bancorp’s Annual Report on Form 10-K for the fiscal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620" w:hanging="612"/>
        <w:spacing w:after="0"/>
        <w:tabs>
          <w:tab w:leader="none" w:pos="6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An evaluation of the disclosure controls and procedures as defined in Rule 13a</w:t>
      </w:r>
      <w:r>
        <w:rPr>
          <w:rFonts w:ascii="MS PGothic" w:cs="MS PGothic" w:eastAsia="MS PGothic" w:hAnsi="MS PGothic"/>
          <w:sz w:val="17"/>
          <w:szCs w:val="17"/>
          <w:color w:val="auto"/>
        </w:rPr>
        <w:t>‑</w:t>
      </w:r>
      <w:r>
        <w:rPr>
          <w:rFonts w:ascii="Arial" w:cs="Arial" w:eastAsia="Arial" w:hAnsi="Arial"/>
          <w:sz w:val="17"/>
          <w:szCs w:val="17"/>
          <w:color w:val="auto"/>
        </w:rPr>
        <w:t>15(e) of the Exchange Act was carried out as of September 30, 2023 under the supervision and with the participation of the Company’s Chief Executive Officer (“CEO”) and Chief Financial Officer (“CFO”) and several other members of the Company’s senior management. In designing and evaluating the Company’s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CEO and CFO concluded that based on their evaluation at September 30, 2023, the Company’s disclosure controls and procedures were effective in ensuring that information we are required to disclose in the reports we file or submit under the Exchange Act is (1) recorded, processed, summarized, and reported within the time periods specified in the SEC’s rules and forms, and (2) accumulated and communicated to FS Bancorp management, including its CEO and CFO, as appropriate to allow timely decisions regarding required disclosure, specified in the SEC’s rules and forms.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There were no significant changes in the Company’s internal control over financial reporting that occurred during the three months ended September 30, 2023, that have materially affected or are reasonably likely to materially affect our internal control over financial reporting. The Company does not expect that its disclosure controls and procedures and internal control over financial reporting will prevent all error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may be circumvented by the individual acts of some persons, by collusion of two or more people, or by override of the control. The design of any control procedure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procedure, misstatements due to error or fraud may occur and not be detected.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normal course of business, the Company occasionally becomes involved in various legal proceedings. In the opinion of management, any liability from such proceedings would not have a material adverse effect on the business or financial condition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the Risk Factors previously disclosed in FS Bancorp’s Annual Report on Form 10-K for the fiscal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table summarizes common stock repurchases during the three months ended September 30,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color w:val="auto"/>
                <w:w w:val="94"/>
              </w:rPr>
              <w:t>Maximum</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Arial" w:cs="Arial" w:eastAsia="Arial" w:hAnsi="Arial"/>
                <w:sz w:val="18"/>
                <w:szCs w:val="18"/>
                <w:color w:val="auto"/>
                <w:w w:val="93"/>
              </w:rPr>
              <w:t>Total Number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color w:val="auto"/>
                <w:w w:val="93"/>
              </w:rPr>
              <w:t>Dollar Value of</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Arial" w:cs="Arial" w:eastAsia="Arial" w:hAnsi="Arial"/>
                <w:sz w:val="18"/>
                <w:szCs w:val="18"/>
                <w:color w:val="auto"/>
                <w:w w:val="85"/>
              </w:rPr>
              <w:t>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color w:val="auto"/>
                <w:w w:val="84"/>
              </w:rPr>
              <w:t>Shares that</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27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Arial" w:cs="Arial" w:eastAsia="Arial" w:hAnsi="Arial"/>
                <w:sz w:val="18"/>
                <w:szCs w:val="18"/>
                <w:color w:val="auto"/>
                <w:w w:val="86"/>
              </w:rPr>
              <w:t>Repurchased as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color w:val="auto"/>
                <w:w w:val="92"/>
              </w:rPr>
              <w:t>May Yet Be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30"/>
              <w:spacing w:after="0"/>
              <w:rPr>
                <w:sz w:val="20"/>
                <w:szCs w:val="20"/>
                <w:color w:val="auto"/>
              </w:rPr>
            </w:pPr>
            <w:r>
              <w:rPr>
                <w:rFonts w:ascii="Arial" w:cs="Arial" w:eastAsia="Arial" w:hAnsi="Arial"/>
                <w:sz w:val="18"/>
                <w:szCs w:val="18"/>
                <w:color w:val="auto"/>
                <w:w w:val="91"/>
              </w:rPr>
              <w:t>Total Number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270"/>
              <w:spacing w:after="0"/>
              <w:rPr>
                <w:sz w:val="20"/>
                <w:szCs w:val="20"/>
                <w:color w:val="auto"/>
              </w:rPr>
            </w:pPr>
            <w:r>
              <w:rPr>
                <w:rFonts w:ascii="Arial" w:cs="Arial" w:eastAsia="Arial" w:hAnsi="Arial"/>
                <w:sz w:val="18"/>
                <w:szCs w:val="18"/>
                <w:color w:val="auto"/>
                <w:w w:val="87"/>
              </w:rPr>
              <w:t>Price</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Arial" w:cs="Arial" w:eastAsia="Arial" w:hAnsi="Arial"/>
                <w:sz w:val="18"/>
                <w:szCs w:val="18"/>
                <w:color w:val="auto"/>
                <w:w w:val="94"/>
              </w:rPr>
              <w:t>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color w:val="auto"/>
                <w:w w:val="87"/>
              </w:rPr>
              <w:t>Repurchased</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30"/>
              <w:spacing w:after="0"/>
              <w:rPr>
                <w:sz w:val="20"/>
                <w:szCs w:val="20"/>
                <w:color w:val="auto"/>
              </w:rPr>
            </w:pPr>
            <w:r>
              <w:rPr>
                <w:rFonts w:ascii="Arial" w:cs="Arial" w:eastAsia="Arial" w:hAnsi="Arial"/>
                <w:sz w:val="18"/>
                <w:szCs w:val="18"/>
                <w:color w:val="auto"/>
                <w:w w:val="88"/>
              </w:rPr>
              <w:t>of Shares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270"/>
              <w:spacing w:after="0"/>
              <w:rPr>
                <w:sz w:val="20"/>
                <w:szCs w:val="20"/>
                <w:color w:val="auto"/>
              </w:rPr>
            </w:pPr>
            <w:r>
              <w:rPr>
                <w:rFonts w:ascii="Arial" w:cs="Arial" w:eastAsia="Arial" w:hAnsi="Arial"/>
                <w:sz w:val="18"/>
                <w:szCs w:val="18"/>
                <w:color w:val="auto"/>
                <w:w w:val="89"/>
              </w:rPr>
              <w:t>Paid per</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Arial" w:cs="Arial" w:eastAsia="Arial" w:hAnsi="Arial"/>
                <w:sz w:val="18"/>
                <w:szCs w:val="18"/>
                <w:color w:val="auto"/>
                <w:w w:val="89"/>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color w:val="auto"/>
                <w:w w:val="88"/>
              </w:rPr>
              <w:t>Under the</w:t>
            </w:r>
          </w:p>
        </w:tc>
      </w:tr>
      <w:tr>
        <w:trPr>
          <w:trHeight w:val="230"/>
        </w:trPr>
        <w:tc>
          <w:tcPr>
            <w:tcW w:w="450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5"/>
              </w:rPr>
              <w:t>Purchased</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3"/>
              </w:rPr>
              <w:t>Share</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Plan or Program</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0"/>
              </w:rPr>
              <w:t>Plan or Program</w:t>
            </w: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July 1, 2023 - July 31, 2023</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August 1, 2023 - August 31, 2023(1)</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11,006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30.73</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color w:val="auto"/>
              </w:rPr>
              <w:t>11,006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4,661,786</w:t>
            </w:r>
          </w:p>
        </w:tc>
      </w:tr>
      <w:tr>
        <w:trPr>
          <w:trHeight w:val="216"/>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1, 2023 - September 30, 2023</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4500" w:type="dxa"/>
            <w:vAlign w:val="bottom"/>
          </w:tcPr>
          <w:p>
            <w:pPr>
              <w:ind w:left="180"/>
              <w:spacing w:after="0"/>
              <w:rPr>
                <w:sz w:val="20"/>
                <w:szCs w:val="20"/>
                <w:color w:val="auto"/>
              </w:rPr>
            </w:pPr>
            <w:r>
              <w:rPr>
                <w:rFonts w:ascii="Arial" w:cs="Arial" w:eastAsia="Arial" w:hAnsi="Arial"/>
                <w:sz w:val="18"/>
                <w:szCs w:val="18"/>
                <w:color w:val="auto"/>
              </w:rPr>
              <w:t>Total for the quarter</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11,006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30.73</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color w:val="auto"/>
              </w:rPr>
              <w:t>11,006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4,661,786</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8"/>
        <w:spacing w:after="0" w:line="277"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11,006 shares were surrendered by participants included in the 2018 Equity Incentive Plan in satisfaction of payment for withholding taxes for vesting of restricted stock shares .</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August 15, 2023, the Company announced that its Board of Directors authorized the implementation of a stock repurchase program for the repurchase up to $5.0 million of shares, or 2.5% of its outstanding shares of common stock as of that date, in the open market, in privately negotiated transactions or shares withheld upon the exercise of equity awards from time to time over a 12-month period until July 31, 2024, at such prices as may be determined by the Company's management, such program to commence no sooner than the third trading day after the public announcement of this repurchase program.</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repurchase program permits shares to be repurchased in open market or private transactions or pursuant to a trading plan adopted in accordance with Rule 10b5-1 of the Securities and Exchange Commission (“SEC”).</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Repurchases will be made at management's discretion at prices management considers to be attractive and in the best interests of both the Company and its shareholders, subject to the availability of stock, general market conditions, the trading price of the stock, alternative uses for capital, and the Company's financial performance. Open market purchases will be conducted in accordance with the limitations set forth in Rule 10b-18 of the SEC and other applicable legal requirements.</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Trading Plans. During the three months ended September 30, 2023, no director or officer (as defined in Rule 16a-1(f) under the Exchange Act) of the Company adopted or terminated a “Rule 10b5-1 trading arrangement” or “non-Rule 10b5-1 trading arrangement,” as each term is defined in Item 408(a) of Regulation S-K.</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8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81">
        <w:r>
          <w:rPr>
            <w:rFonts w:ascii="Arial" w:cs="Arial" w:eastAsia="Arial" w:hAnsi="Arial"/>
            <w:sz w:val="16"/>
            <w:szCs w:val="16"/>
            <w:u w:val="single" w:color="auto"/>
            <w:color w:val="0000EE"/>
          </w:rPr>
          <w:t>Articles of Incorporation of FS Bancorp, Inc. (1)</w:t>
        </w:r>
      </w:hyperlink>
    </w:p>
    <w:p>
      <w:pPr>
        <w:spacing w:after="0" w:line="23" w:lineRule="exact"/>
        <w:rPr>
          <w:sz w:val="20"/>
          <w:szCs w:val="20"/>
          <w:color w:val="auto"/>
        </w:rPr>
      </w:pPr>
    </w:p>
    <w:p>
      <w:pPr>
        <w:ind w:left="68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82">
        <w:r>
          <w:rPr>
            <w:rFonts w:ascii="Arial" w:cs="Arial" w:eastAsia="Arial" w:hAnsi="Arial"/>
            <w:sz w:val="16"/>
            <w:szCs w:val="16"/>
            <w:u w:val="single" w:color="auto"/>
            <w:color w:val="0000EE"/>
          </w:rPr>
          <w:t>Bylaws of FS Bancorp, Inc. (2)</w:t>
        </w:r>
      </w:hyperlink>
    </w:p>
    <w:p>
      <w:pPr>
        <w:spacing w:after="0" w:line="9" w:lineRule="exact"/>
        <w:rPr>
          <w:sz w:val="20"/>
          <w:szCs w:val="20"/>
          <w:color w:val="auto"/>
        </w:rPr>
      </w:pPr>
    </w:p>
    <w:p>
      <w:pPr>
        <w:ind w:left="68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83">
        <w:r>
          <w:rPr>
            <w:rFonts w:ascii="Arial" w:cs="Arial" w:eastAsia="Arial" w:hAnsi="Arial"/>
            <w:sz w:val="16"/>
            <w:szCs w:val="16"/>
            <w:u w:val="single" w:color="auto"/>
            <w:color w:val="0000EE"/>
          </w:rPr>
          <w:t>Form of Common Stock Certificate of FS Bancorp, Inc. (1)</w:t>
        </w:r>
      </w:hyperlink>
    </w:p>
    <w:p>
      <w:pPr>
        <w:spacing w:after="0" w:line="9" w:lineRule="exact"/>
        <w:rPr>
          <w:sz w:val="20"/>
          <w:szCs w:val="20"/>
          <w:color w:val="auto"/>
        </w:rPr>
      </w:pPr>
    </w:p>
    <w:p>
      <w:pPr>
        <w:ind w:left="68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84">
        <w:r>
          <w:rPr>
            <w:rFonts w:ascii="Arial" w:cs="Arial" w:eastAsia="Arial" w:hAnsi="Arial"/>
            <w:sz w:val="16"/>
            <w:szCs w:val="16"/>
            <w:u w:val="single" w:color="auto"/>
            <w:color w:val="0000EE"/>
          </w:rPr>
          <w:t>Indenture dated February 10, 2021, by and between FS Bancorp, Inc. and U.S. Bank National Association, as trustee (3)</w:t>
        </w:r>
      </w:hyperlink>
    </w:p>
    <w:p>
      <w:pPr>
        <w:spacing w:after="0" w:line="9" w:lineRule="exact"/>
        <w:rPr>
          <w:sz w:val="20"/>
          <w:szCs w:val="20"/>
          <w:color w:val="auto"/>
        </w:rPr>
      </w:pPr>
    </w:p>
    <w:p>
      <w:pPr>
        <w:ind w:left="1140" w:hanging="453"/>
        <w:spacing w:after="0" w:line="250"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84">
        <w:r>
          <w:rPr>
            <w:rFonts w:ascii="Arial" w:cs="Arial" w:eastAsia="Arial" w:hAnsi="Arial"/>
            <w:sz w:val="18"/>
            <w:szCs w:val="18"/>
            <w:u w:val="single" w:color="auto"/>
            <w:color w:val="0000EE"/>
          </w:rPr>
          <w:t>Forms of 3.75 Fixed-to-Floating Rate Subordinated Notes due 2031 (included as Exhibit A-1 and Exhibit A-2 to the Indenture filed as</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Exhibit 4.2 hereto (3)</w:t>
        </w:r>
      </w:hyperlink>
    </w:p>
    <w:p>
      <w:pPr>
        <w:spacing w:after="0" w:line="1" w:lineRule="exact"/>
        <w:rPr>
          <w:sz w:val="20"/>
          <w:szCs w:val="20"/>
          <w:color w:val="auto"/>
        </w:rPr>
      </w:pPr>
    </w:p>
    <w:p>
      <w:pPr>
        <w:ind w:left="60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r:id="rId85">
        <w:r>
          <w:rPr>
            <w:rFonts w:ascii="Arial" w:cs="Arial" w:eastAsia="Arial" w:hAnsi="Arial"/>
            <w:sz w:val="16"/>
            <w:szCs w:val="16"/>
            <w:u w:val="single" w:color="auto"/>
            <w:color w:val="0000EE"/>
          </w:rPr>
          <w:t>Severance Agreement between 1st Security Bank of Washington and Joseph C. Adams (1)</w:t>
        </w:r>
      </w:hyperlink>
    </w:p>
    <w:p>
      <w:pPr>
        <w:spacing w:after="0" w:line="9" w:lineRule="exact"/>
        <w:rPr>
          <w:sz w:val="20"/>
          <w:szCs w:val="20"/>
          <w:color w:val="auto"/>
        </w:rPr>
      </w:pPr>
    </w:p>
    <w:p>
      <w:pPr>
        <w:ind w:left="60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86">
        <w:r>
          <w:rPr>
            <w:rFonts w:ascii="Arial" w:cs="Arial" w:eastAsia="Arial" w:hAnsi="Arial"/>
            <w:sz w:val="16"/>
            <w:szCs w:val="16"/>
            <w:u w:val="single" w:color="auto"/>
            <w:color w:val="0000EE"/>
          </w:rPr>
          <w:t>Form of Change of Control Agreement between 1st Security Bank of Washington and Matthew D. Mullet (1)</w:t>
        </w:r>
      </w:hyperlink>
    </w:p>
    <w:p>
      <w:pPr>
        <w:spacing w:after="0" w:line="9" w:lineRule="exact"/>
        <w:rPr>
          <w:sz w:val="20"/>
          <w:szCs w:val="20"/>
          <w:color w:val="auto"/>
        </w:rPr>
      </w:pPr>
    </w:p>
    <w:p>
      <w:pPr>
        <w:ind w:left="60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87">
        <w:r>
          <w:rPr>
            <w:rFonts w:ascii="Arial" w:cs="Arial" w:eastAsia="Arial" w:hAnsi="Arial"/>
            <w:sz w:val="16"/>
            <w:szCs w:val="16"/>
            <w:u w:val="single" w:color="auto"/>
            <w:color w:val="0000EE"/>
          </w:rPr>
          <w:t>FS Bancorp, Inc. 2013 Equity Incentive Plan (the “2013 Plan”) (4)</w:t>
        </w:r>
      </w:hyperlink>
    </w:p>
    <w:p>
      <w:pPr>
        <w:spacing w:after="0" w:line="9" w:lineRule="exact"/>
        <w:rPr>
          <w:sz w:val="20"/>
          <w:szCs w:val="20"/>
          <w:color w:val="auto"/>
        </w:rPr>
      </w:pPr>
    </w:p>
    <w:p>
      <w:pPr>
        <w:ind w:left="60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88">
        <w:r>
          <w:rPr>
            <w:rFonts w:ascii="Arial" w:cs="Arial" w:eastAsia="Arial" w:hAnsi="Arial"/>
            <w:sz w:val="16"/>
            <w:szCs w:val="16"/>
            <w:u w:val="single" w:color="auto"/>
            <w:color w:val="0000EE"/>
          </w:rPr>
          <w:t>Form of Incentive Stock Option Agreement under the 2013 Plan (4)</w:t>
        </w:r>
      </w:hyperlink>
    </w:p>
    <w:p>
      <w:pPr>
        <w:spacing w:after="0" w:line="9" w:lineRule="exact"/>
        <w:rPr>
          <w:sz w:val="20"/>
          <w:szCs w:val="20"/>
          <w:color w:val="auto"/>
        </w:rPr>
      </w:pPr>
    </w:p>
    <w:p>
      <w:pPr>
        <w:ind w:left="60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89">
        <w:r>
          <w:rPr>
            <w:rFonts w:ascii="Arial" w:cs="Arial" w:eastAsia="Arial" w:hAnsi="Arial"/>
            <w:sz w:val="16"/>
            <w:szCs w:val="16"/>
            <w:u w:val="single" w:color="auto"/>
            <w:color w:val="0000EE"/>
          </w:rPr>
          <w:t>Form of Non-Qualified Stock Option Agreement under the 2013 Plan (4)</w:t>
        </w:r>
      </w:hyperlink>
    </w:p>
    <w:p>
      <w:pPr>
        <w:spacing w:after="0" w:line="9" w:lineRule="exact"/>
        <w:rPr>
          <w:sz w:val="20"/>
          <w:szCs w:val="20"/>
          <w:color w:val="auto"/>
        </w:rPr>
      </w:pPr>
    </w:p>
    <w:p>
      <w:pPr>
        <w:ind w:left="60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90">
        <w:r>
          <w:rPr>
            <w:rFonts w:ascii="Arial" w:cs="Arial" w:eastAsia="Arial" w:hAnsi="Arial"/>
            <w:sz w:val="16"/>
            <w:szCs w:val="16"/>
            <w:u w:val="single" w:color="auto"/>
            <w:color w:val="0000EE"/>
          </w:rPr>
          <w:t>Form of Restricted Stock Agreement under the 2013 Plan (4)</w:t>
        </w:r>
      </w:hyperlink>
    </w:p>
    <w:p>
      <w:pPr>
        <w:spacing w:after="0" w:line="9" w:lineRule="exact"/>
        <w:rPr>
          <w:sz w:val="20"/>
          <w:szCs w:val="20"/>
          <w:color w:val="auto"/>
        </w:rPr>
      </w:pPr>
    </w:p>
    <w:p>
      <w:pPr>
        <w:ind w:left="1140" w:hanging="543"/>
        <w:spacing w:after="0" w:line="250"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91">
        <w:r>
          <w:rPr>
            <w:rFonts w:ascii="Arial" w:cs="Arial" w:eastAsia="Arial" w:hAnsi="Arial"/>
            <w:sz w:val="18"/>
            <w:szCs w:val="18"/>
            <w:u w:val="single" w:color="auto"/>
            <w:color w:val="0000EE"/>
          </w:rPr>
          <w:t>Form of change of control agreement with Donn C. Costa, Dennis O’Leary, Erin Burr, Victoria Jarman, Kelli Nielsen, and May-Ling</w:t>
        </w:r>
      </w:hyperlink>
      <w:r>
        <w:rPr>
          <w:rFonts w:ascii="Arial" w:cs="Arial" w:eastAsia="Arial" w:hAnsi="Arial"/>
          <w:sz w:val="18"/>
          <w:szCs w:val="18"/>
          <w:u w:val="single" w:color="auto"/>
          <w:color w:val="0000EE"/>
        </w:rPr>
        <w:t xml:space="preserve"> </w:t>
      </w:r>
      <w:hyperlink r:id="rId91">
        <w:r>
          <w:rPr>
            <w:rFonts w:ascii="Arial" w:cs="Arial" w:eastAsia="Arial" w:hAnsi="Arial"/>
            <w:sz w:val="18"/>
            <w:szCs w:val="18"/>
            <w:u w:val="single" w:color="auto"/>
            <w:color w:val="0000EE"/>
          </w:rPr>
          <w:t>Sowell (5)</w:t>
        </w:r>
      </w:hyperlink>
    </w:p>
    <w:p>
      <w:pPr>
        <w:spacing w:after="0" w:line="1" w:lineRule="exact"/>
        <w:rPr>
          <w:sz w:val="20"/>
          <w:szCs w:val="20"/>
          <w:color w:val="auto"/>
        </w:rPr>
      </w:pPr>
    </w:p>
    <w:p>
      <w:pPr>
        <w:ind w:left="50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92">
        <w:r>
          <w:rPr>
            <w:rFonts w:ascii="Arial" w:cs="Arial" w:eastAsia="Arial" w:hAnsi="Arial"/>
            <w:sz w:val="16"/>
            <w:szCs w:val="16"/>
            <w:u w:val="single" w:color="auto"/>
            <w:color w:val="0000EE"/>
          </w:rPr>
          <w:t>FS Bancorp, Inc. 2018 Equity Incentive Plan (6)</w:t>
        </w:r>
      </w:hyperlink>
    </w:p>
    <w:p>
      <w:pPr>
        <w:spacing w:after="0" w:line="9" w:lineRule="exact"/>
        <w:rPr>
          <w:sz w:val="20"/>
          <w:szCs w:val="20"/>
          <w:color w:val="auto"/>
        </w:rPr>
      </w:pPr>
    </w:p>
    <w:p>
      <w:pPr>
        <w:ind w:left="52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hyperlink r:id="rId93">
        <w:r>
          <w:rPr>
            <w:rFonts w:ascii="Arial" w:cs="Arial" w:eastAsia="Arial" w:hAnsi="Arial"/>
            <w:sz w:val="16"/>
            <w:szCs w:val="16"/>
            <w:u w:val="single" w:color="auto"/>
            <w:color w:val="0000EE"/>
          </w:rPr>
          <w:t>Form of Incentive Stock Option Award Agreement under the 2018 Equity Incentive Plan (6)</w:t>
        </w:r>
      </w:hyperlink>
    </w:p>
    <w:p>
      <w:pPr>
        <w:spacing w:after="0" w:line="9" w:lineRule="exact"/>
        <w:rPr>
          <w:sz w:val="20"/>
          <w:szCs w:val="20"/>
          <w:color w:val="auto"/>
        </w:rPr>
      </w:pPr>
    </w:p>
    <w:p>
      <w:pPr>
        <w:ind w:left="50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94">
        <w:r>
          <w:rPr>
            <w:rFonts w:ascii="Arial" w:cs="Arial" w:eastAsia="Arial" w:hAnsi="Arial"/>
            <w:sz w:val="16"/>
            <w:szCs w:val="16"/>
            <w:u w:val="single" w:color="auto"/>
            <w:color w:val="0000EE"/>
          </w:rPr>
          <w:t>Form of Non-Qualified Stock Option Award Agreement under the 2018 Equity Incentive Plan (6)</w:t>
        </w:r>
      </w:hyperlink>
    </w:p>
    <w:p>
      <w:pPr>
        <w:spacing w:after="0" w:line="9" w:lineRule="exact"/>
        <w:rPr>
          <w:sz w:val="20"/>
          <w:szCs w:val="20"/>
          <w:color w:val="auto"/>
        </w:rPr>
      </w:pPr>
    </w:p>
    <w:p>
      <w:pPr>
        <w:ind w:left="50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10.13</w:t>
      </w:r>
      <w:r>
        <w:rPr>
          <w:sz w:val="20"/>
          <w:szCs w:val="20"/>
          <w:color w:val="auto"/>
        </w:rPr>
        <w:tab/>
      </w:r>
      <w:hyperlink r:id="rId95">
        <w:r>
          <w:rPr>
            <w:rFonts w:ascii="Arial" w:cs="Arial" w:eastAsia="Arial" w:hAnsi="Arial"/>
            <w:sz w:val="16"/>
            <w:szCs w:val="16"/>
            <w:u w:val="single" w:color="auto"/>
            <w:color w:val="0000EE"/>
          </w:rPr>
          <w:t>Form of Restricted Stock Award Agreement under the 2018 Equity Incentive Plan (6)</w:t>
        </w:r>
      </w:hyperlink>
    </w:p>
    <w:p>
      <w:pPr>
        <w:spacing w:after="0" w:line="9" w:lineRule="exact"/>
        <w:rPr>
          <w:sz w:val="20"/>
          <w:szCs w:val="20"/>
          <w:color w:val="auto"/>
        </w:rPr>
      </w:pPr>
    </w:p>
    <w:p>
      <w:pPr>
        <w:ind w:left="50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10.14</w:t>
      </w:r>
      <w:r>
        <w:rPr>
          <w:sz w:val="20"/>
          <w:szCs w:val="20"/>
          <w:color w:val="auto"/>
        </w:rPr>
        <w:tab/>
      </w:r>
      <w:hyperlink r:id="rId96">
        <w:r>
          <w:rPr>
            <w:rFonts w:ascii="Arial" w:cs="Arial" w:eastAsia="Arial" w:hAnsi="Arial"/>
            <w:sz w:val="16"/>
            <w:szCs w:val="16"/>
            <w:u w:val="single" w:color="auto"/>
            <w:color w:val="0000EE"/>
          </w:rPr>
          <w:t>FS Bancorp, Inc. Nonqualified 2022 Stock Purchase Plan (7)</w:t>
        </w:r>
      </w:hyperlink>
    </w:p>
    <w:p>
      <w:pPr>
        <w:spacing w:after="0" w:line="9" w:lineRule="exact"/>
        <w:rPr>
          <w:sz w:val="20"/>
          <w:szCs w:val="20"/>
          <w:color w:val="auto"/>
        </w:rPr>
      </w:pPr>
    </w:p>
    <w:p>
      <w:pPr>
        <w:ind w:left="50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97">
        <w:r>
          <w:rPr>
            <w:rFonts w:ascii="Arial" w:cs="Arial" w:eastAsia="Arial" w:hAnsi="Arial"/>
            <w:sz w:val="16"/>
            <w:szCs w:val="16"/>
            <w:u w:val="single" w:color="auto"/>
            <w:color w:val="0000EE"/>
          </w:rPr>
          <w:t>Form of Enrollment/Change Form under the FS Bancorp, Inc. Nonqualified 2022 Stock Purchase Plan (7)</w:t>
        </w:r>
      </w:hyperlink>
    </w:p>
    <w:p>
      <w:pPr>
        <w:spacing w:after="0" w:line="9"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EE"/>
        </w:rPr>
        <w:t>Certification of Chief Executive Officer Pursuant to Section 302 of the Sarbanes-Oxley Act of 2002</w:t>
      </w:r>
    </w:p>
    <w:p>
      <w:pPr>
        <w:spacing w:after="0" w:line="9"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EE"/>
        </w:rPr>
        <w:t>Certification of Chief Financial Officer Pursuant to Section 302 of the Sarbanes-Oxley Act of 2002</w:t>
      </w:r>
    </w:p>
    <w:p>
      <w:pPr>
        <w:spacing w:after="0" w:line="9"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u w:val="single" w:color="auto"/>
          <w:color w:val="0000EE"/>
        </w:rPr>
        <w:t>Certification of Chief Executive Officer Pursuant to Section 906 of the Sarbanes-Oxley Act of 2002</w:t>
      </w:r>
    </w:p>
    <w:p>
      <w:pPr>
        <w:spacing w:after="0" w:line="9"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u w:val="single" w:color="auto"/>
          <w:color w:val="0000EE"/>
        </w:rPr>
        <w:t>Certification of Chief Financial Officer Pursuant to Section 906 of the Sarbanes-Oxley Act of 2002</w:t>
      </w:r>
    </w:p>
    <w:p>
      <w:pPr>
        <w:spacing w:after="0" w:line="9" w:lineRule="exact"/>
        <w:rPr>
          <w:sz w:val="20"/>
          <w:szCs w:val="20"/>
          <w:color w:val="auto"/>
        </w:rPr>
      </w:pPr>
    </w:p>
    <w:p>
      <w:pPr>
        <w:jc w:val="both"/>
        <w:ind w:left="1140" w:hanging="499"/>
        <w:spacing w:after="0" w:line="216" w:lineRule="exact"/>
        <w:tabs>
          <w:tab w:leader="none" w:pos="1120" w:val="left"/>
        </w:tabs>
        <w:rPr>
          <w:sz w:val="20"/>
          <w:szCs w:val="20"/>
          <w:color w:val="auto"/>
        </w:rPr>
      </w:pPr>
      <w:r>
        <w:rPr>
          <w:rFonts w:ascii="Arial" w:cs="Arial" w:eastAsia="Arial" w:hAnsi="Arial"/>
          <w:sz w:val="16"/>
          <w:szCs w:val="16"/>
          <w:color w:val="auto"/>
        </w:rPr>
        <w:t>101</w:t>
        <w:tab/>
        <w:t>The following materials from the Company’s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quarter ended September 30, 2023 formatted in Inline Extensible  Business  Reporting  Language  (IXBRL):  (1)  Consolidated  Balance  Sheets;  (2)  Consolidated  Statements  of  Income;</w:t>
      </w:r>
    </w:p>
    <w:p>
      <w:pPr>
        <w:spacing w:after="0" w:line="1" w:lineRule="exact"/>
        <w:rPr>
          <w:sz w:val="20"/>
          <w:szCs w:val="20"/>
          <w:color w:val="auto"/>
        </w:rPr>
      </w:pPr>
    </w:p>
    <w:p>
      <w:pPr>
        <w:ind w:left="1460" w:hanging="318"/>
        <w:spacing w:after="0"/>
        <w:tabs>
          <w:tab w:leader="none" w:pos="1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Consolidated Statements of Comprehensive Income (Loss); (4) Consolidated Statements of Changes in Stockholders’ Equity;</w:t>
      </w:r>
    </w:p>
    <w:p>
      <w:pPr>
        <w:spacing w:after="0" w:line="20" w:lineRule="exact"/>
        <w:rPr>
          <w:rFonts w:ascii="Arial" w:cs="Arial" w:eastAsia="Arial" w:hAnsi="Arial"/>
          <w:sz w:val="17"/>
          <w:szCs w:val="17"/>
          <w:color w:val="auto"/>
        </w:rPr>
      </w:pPr>
    </w:p>
    <w:p>
      <w:pPr>
        <w:ind w:left="1400" w:hanging="258"/>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Consolidated Statements of Cash Flows; and (6) Notes to Consolidated Financial Statements.</w:t>
      </w:r>
    </w:p>
    <w:p>
      <w:pPr>
        <w:spacing w:after="0" w:line="9"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104</w:t>
        <w:tab/>
        <w:t>Cover Page Interactive Data File (formatted as inline XBRL and contained in Exhibit 101)</w:t>
      </w:r>
    </w:p>
    <w:p>
      <w:pPr>
        <w:spacing w:after="0" w:line="9" w:lineRule="exact"/>
        <w:rPr>
          <w:sz w:val="20"/>
          <w:szCs w:val="20"/>
          <w:color w:val="auto"/>
        </w:rPr>
      </w:pPr>
    </w:p>
    <w:p>
      <w:pPr>
        <w:ind w:left="1140" w:hanging="437"/>
        <w:spacing w:after="0" w:line="216" w:lineRule="exact"/>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as an exhibit to the Registrant’s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(333</w:t>
      </w:r>
      <w:r>
        <w:rPr>
          <w:rFonts w:ascii="MS PGothic" w:cs="MS PGothic" w:eastAsia="MS PGothic" w:hAnsi="MS PGothic"/>
          <w:sz w:val="18"/>
          <w:szCs w:val="18"/>
          <w:color w:val="auto"/>
        </w:rPr>
        <w:t>‑</w:t>
      </w:r>
      <w:r>
        <w:rPr>
          <w:rFonts w:ascii="Arial" w:cs="Arial" w:eastAsia="Arial" w:hAnsi="Arial"/>
          <w:sz w:val="18"/>
          <w:szCs w:val="18"/>
          <w:color w:val="auto"/>
        </w:rPr>
        <w:t>177125) filed on October 3, 2011, and incorporated by reference.</w:t>
      </w:r>
    </w:p>
    <w:p>
      <w:pPr>
        <w:ind w:left="1140" w:hanging="437"/>
        <w:spacing w:after="0" w:line="207" w:lineRule="exact"/>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as an exhibit to the Registrant’s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July 10, 2013 (File No. 001</w:t>
      </w:r>
      <w:r>
        <w:rPr>
          <w:rFonts w:ascii="MS PGothic" w:cs="MS PGothic" w:eastAsia="MS PGothic" w:hAnsi="MS PGothic"/>
          <w:sz w:val="18"/>
          <w:szCs w:val="18"/>
          <w:color w:val="auto"/>
        </w:rPr>
        <w:t>‑</w:t>
      </w:r>
      <w:r>
        <w:rPr>
          <w:rFonts w:ascii="Arial" w:cs="Arial" w:eastAsia="Arial" w:hAnsi="Arial"/>
          <w:sz w:val="18"/>
          <w:szCs w:val="18"/>
          <w:color w:val="auto"/>
        </w:rPr>
        <w:t>355589).</w:t>
      </w:r>
    </w:p>
    <w:p>
      <w:pPr>
        <w:spacing w:after="0" w:line="9" w:lineRule="exact"/>
        <w:rPr>
          <w:rFonts w:ascii="Arial" w:cs="Arial" w:eastAsia="Arial" w:hAnsi="Arial"/>
          <w:sz w:val="18"/>
          <w:szCs w:val="18"/>
          <w:color w:val="auto"/>
        </w:rPr>
      </w:pPr>
    </w:p>
    <w:p>
      <w:pPr>
        <w:ind w:left="1140" w:hanging="437"/>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as an exhibit to the Registrant’s Current Report on Form 8-K filed on February 11, 2021 (File No. 001-35589).</w:t>
      </w:r>
    </w:p>
    <w:p>
      <w:pPr>
        <w:spacing w:after="0" w:line="9" w:lineRule="exact"/>
        <w:rPr>
          <w:rFonts w:ascii="Arial" w:cs="Arial" w:eastAsia="Arial" w:hAnsi="Arial"/>
          <w:sz w:val="18"/>
          <w:szCs w:val="18"/>
          <w:color w:val="auto"/>
        </w:rPr>
      </w:pPr>
    </w:p>
    <w:p>
      <w:pPr>
        <w:ind w:left="1140" w:hanging="437"/>
        <w:spacing w:after="0" w:line="250"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as an exhibit to the Registrant’s Registration Statement on Form S-8 (333-192990) filed on December 20, 2013 and incorporated by reference.</w:t>
      </w:r>
    </w:p>
    <w:p>
      <w:pPr>
        <w:ind w:left="1140" w:hanging="437"/>
        <w:spacing w:after="0" w:line="207" w:lineRule="exact"/>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as an exhibit to the Registrant’s Current Report on Form 8-K filed on February 1, 2016 (File No. 001</w:t>
      </w:r>
      <w:r>
        <w:rPr>
          <w:rFonts w:ascii="MS PGothic" w:cs="MS PGothic" w:eastAsia="MS PGothic" w:hAnsi="MS PGothic"/>
          <w:sz w:val="18"/>
          <w:szCs w:val="18"/>
          <w:color w:val="auto"/>
        </w:rPr>
        <w:t>‑</w:t>
      </w:r>
      <w:r>
        <w:rPr>
          <w:rFonts w:ascii="Arial" w:cs="Arial" w:eastAsia="Arial" w:hAnsi="Arial"/>
          <w:sz w:val="18"/>
          <w:szCs w:val="18"/>
          <w:color w:val="auto"/>
        </w:rPr>
        <w:t>35589).</w:t>
      </w:r>
    </w:p>
    <w:p>
      <w:pPr>
        <w:spacing w:after="0" w:line="9" w:lineRule="exact"/>
        <w:rPr>
          <w:rFonts w:ascii="Arial" w:cs="Arial" w:eastAsia="Arial" w:hAnsi="Arial"/>
          <w:sz w:val="18"/>
          <w:szCs w:val="18"/>
          <w:color w:val="auto"/>
        </w:rPr>
      </w:pPr>
    </w:p>
    <w:p>
      <w:pPr>
        <w:ind w:left="1140" w:hanging="437"/>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as an exhibit to the Registrant’s Registration Statement on Form S-8 (333-22513) filed on May 23, 2018.</w:t>
      </w:r>
    </w:p>
    <w:p>
      <w:pPr>
        <w:spacing w:after="0" w:line="9" w:lineRule="exact"/>
        <w:rPr>
          <w:rFonts w:ascii="Arial" w:cs="Arial" w:eastAsia="Arial" w:hAnsi="Arial"/>
          <w:sz w:val="18"/>
          <w:szCs w:val="18"/>
          <w:color w:val="auto"/>
        </w:rPr>
      </w:pPr>
    </w:p>
    <w:p>
      <w:pPr>
        <w:ind w:left="1140" w:hanging="437"/>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as an exhibit to the Registrant’s Registration Statement on Form S-8 (333-265729) filed on June 21, 2022.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color w:val="auto"/>
              </w:rPr>
              <w:t>FS BANCORP, INC.</w:t>
            </w:r>
          </w:p>
        </w:tc>
      </w:tr>
      <w:tr>
        <w:trPr>
          <w:trHeight w:val="648"/>
        </w:trPr>
        <w:tc>
          <w:tcPr>
            <w:tcW w:w="3720" w:type="dxa"/>
            <w:vAlign w:val="bottom"/>
          </w:tcPr>
          <w:p>
            <w:pPr>
              <w:spacing w:after="0"/>
              <w:rPr>
                <w:sz w:val="20"/>
                <w:szCs w:val="20"/>
                <w:color w:val="auto"/>
              </w:rPr>
            </w:pPr>
            <w:r>
              <w:rPr>
                <w:rFonts w:ascii="Arial" w:cs="Arial" w:eastAsia="Arial" w:hAnsi="Arial"/>
                <w:sz w:val="18"/>
                <w:szCs w:val="18"/>
                <w:color w:val="auto"/>
              </w:rPr>
              <w:t>Date: November 8, 2023</w:t>
            </w:r>
          </w:p>
        </w:tc>
        <w:tc>
          <w:tcPr>
            <w:tcW w:w="2540" w:type="dxa"/>
            <w:vAlign w:val="bottom"/>
          </w:tcPr>
          <w:p>
            <w:pPr>
              <w:ind w:left="192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/s/Joseph C. Adams</w:t>
            </w:r>
          </w:p>
        </w:tc>
      </w:tr>
      <w:tr>
        <w:trPr>
          <w:trHeight w:val="195"/>
        </w:trPr>
        <w:tc>
          <w:tcPr>
            <w:tcW w:w="37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Joseph C. Adams,</w:t>
            </w:r>
          </w:p>
        </w:tc>
      </w:tr>
      <w:tr>
        <w:trPr>
          <w:trHeight w:val="216"/>
        </w:trPr>
        <w:tc>
          <w:tcPr>
            <w:tcW w:w="3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7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November 8, 2023</w:t>
            </w:r>
          </w:p>
        </w:tc>
        <w:tc>
          <w:tcPr>
            <w:tcW w:w="2540" w:type="dxa"/>
            <w:vAlign w:val="bottom"/>
          </w:tcPr>
          <w:p>
            <w:pPr>
              <w:ind w:left="192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/s/Matthew D. Mullet</w:t>
            </w:r>
          </w:p>
        </w:tc>
      </w:tr>
      <w:tr>
        <w:trPr>
          <w:trHeight w:val="195"/>
        </w:trPr>
        <w:tc>
          <w:tcPr>
            <w:tcW w:w="37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Matthew D. Mullet</w:t>
            </w:r>
          </w:p>
        </w:tc>
      </w:tr>
      <w:tr>
        <w:trPr>
          <w:trHeight w:val="230"/>
        </w:trPr>
        <w:tc>
          <w:tcPr>
            <w:tcW w:w="37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Secretary, Treasurer and</w:t>
            </w:r>
          </w:p>
        </w:tc>
      </w:tr>
    </w:tbl>
    <w:p>
      <w:pPr>
        <w:ind w:left="62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25"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Sarbanes-Oxley Act of 2002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Joseph C. Adams, certify that: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FS Bancorp, Inc.;</w:t>
      </w:r>
    </w:p>
    <w:p>
      <w:pPr>
        <w:spacing w:after="0" w:line="9"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condition, results of operations and cash flows of the registrant as of, and for, the periods presented in this report;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left="660" w:hanging="652"/>
        <w:spacing w:after="0" w:line="28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15-(f)) for the registrant and have: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left="1960" w:hanging="656"/>
        <w:spacing w:after="0" w:line="265" w:lineRule="auto"/>
        <w:tabs>
          <w:tab w:leader="none" w:pos="19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left="1960" w:right="20" w:hanging="656"/>
        <w:spacing w:after="0" w:line="265" w:lineRule="auto"/>
        <w:tabs>
          <w:tab w:leader="none" w:pos="19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left="1960" w:hanging="656"/>
        <w:spacing w:after="0" w:line="265" w:lineRule="auto"/>
        <w:tabs>
          <w:tab w:leader="none" w:pos="19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right="20" w:hanging="652"/>
        <w:spacing w:after="0" w:line="281"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60" w:hanging="656"/>
        <w:spacing w:after="0" w:line="250" w:lineRule="auto"/>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1" w:right="339" w:bottom="1440" w:gutter="0" w:footer="0" w:header="0"/>
        </w:sectPr>
      </w:pP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8, 2023</w:t>
      </w: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/s/Joseph C.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9604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Joseph C. Adams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2">
            <w:col w:w="4280" w:space="720"/>
            <w:col w:w="6240"/>
          </w:cols>
          <w:pgMar w:left="320" w:top="121" w:right="339" w:bottom="1440" w:gutter="0" w:footer="0" w:header="0"/>
          <w:type w:val="continuous"/>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Section 302 of the Sarbanes-Oxley Act of 2002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Matthew D. Mullet, certify that: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FS Bancorp, Inc.;</w:t>
      </w:r>
    </w:p>
    <w:p>
      <w:pPr>
        <w:spacing w:after="0" w:line="9"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condition, results of operations and cash flows of the registrant as of, and for, the periods presented in this report;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left="660" w:hanging="652"/>
        <w:spacing w:after="0" w:line="281"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15-(f)) for the registrant and have: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left="1960" w:hanging="656"/>
        <w:spacing w:after="0" w:line="265" w:lineRule="auto"/>
        <w:tabs>
          <w:tab w:leader="none" w:pos="19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left="1960" w:right="20" w:hanging="656"/>
        <w:spacing w:after="0" w:line="265" w:lineRule="auto"/>
        <w:tabs>
          <w:tab w:leader="none" w:pos="19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left="1960" w:hanging="656"/>
        <w:spacing w:after="0" w:line="265" w:lineRule="auto"/>
        <w:tabs>
          <w:tab w:leader="none" w:pos="1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registrant’s auditors and the audit committee of the registrant’s board of directors (or persons performing the equivalent functions):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60" w:hanging="656"/>
        <w:spacing w:after="0" w:line="250" w:lineRule="auto"/>
        <w:tabs>
          <w:tab w:leader="none" w:pos="1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November 8, 2023</w:t>
            </w:r>
          </w:p>
        </w:tc>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/s/Matthew D. Mullet</w:t>
            </w:r>
          </w:p>
        </w:tc>
        <w:tc>
          <w:tcPr>
            <w:tcW w:w="0" w:type="dxa"/>
            <w:vAlign w:val="bottom"/>
          </w:tcPr>
          <w:p>
            <w:pPr>
              <w:spacing w:after="0"/>
              <w:rPr>
                <w:sz w:val="1"/>
                <w:szCs w:val="1"/>
                <w:color w:val="auto"/>
              </w:rPr>
            </w:pPr>
          </w:p>
        </w:tc>
      </w:tr>
      <w:tr>
        <w:trPr>
          <w:trHeight w:val="195"/>
        </w:trPr>
        <w:tc>
          <w:tcPr>
            <w:tcW w:w="4960" w:type="dxa"/>
            <w:vAlign w:val="bottom"/>
          </w:tcPr>
          <w:p>
            <w:pPr>
              <w:spacing w:after="0"/>
              <w:rPr>
                <w:sz w:val="16"/>
                <w:szCs w:val="16"/>
                <w:color w:val="auto"/>
              </w:rPr>
            </w:pPr>
          </w:p>
        </w:tc>
        <w:tc>
          <w:tcPr>
            <w:tcW w:w="6280" w:type="dxa"/>
            <w:vAlign w:val="bottom"/>
          </w:tcPr>
          <w:p>
            <w:pPr>
              <w:spacing w:after="0" w:line="195" w:lineRule="exact"/>
              <w:rPr>
                <w:sz w:val="20"/>
                <w:szCs w:val="20"/>
                <w:color w:val="auto"/>
              </w:rPr>
            </w:pPr>
            <w:r>
              <w:rPr>
                <w:rFonts w:ascii="Arial" w:cs="Arial" w:eastAsia="Arial" w:hAnsi="Arial"/>
                <w:sz w:val="18"/>
                <w:szCs w:val="18"/>
                <w:color w:val="auto"/>
              </w:rPr>
              <w:t>Matthew D. Mullet</w:t>
            </w:r>
          </w:p>
        </w:tc>
        <w:tc>
          <w:tcPr>
            <w:tcW w:w="0" w:type="dxa"/>
            <w:vAlign w:val="bottom"/>
          </w:tcPr>
          <w:p>
            <w:pPr>
              <w:spacing w:after="0"/>
              <w:rPr>
                <w:sz w:val="1"/>
                <w:szCs w:val="1"/>
                <w:color w:val="auto"/>
              </w:rPr>
            </w:pPr>
          </w:p>
        </w:tc>
      </w:tr>
      <w:tr>
        <w:trPr>
          <w:trHeight w:val="230"/>
        </w:trPr>
        <w:tc>
          <w:tcPr>
            <w:tcW w:w="49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62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4960" w:type="dxa"/>
            <w:vAlign w:val="bottom"/>
            <w:vMerge w:val="continue"/>
          </w:tcPr>
          <w:p>
            <w:pPr>
              <w:spacing w:after="0"/>
              <w:rPr>
                <w:sz w:val="18"/>
                <w:szCs w:val="18"/>
                <w:color w:val="auto"/>
              </w:rPr>
            </w:pPr>
          </w:p>
        </w:tc>
        <w:tc>
          <w:tcPr>
            <w:tcW w:w="6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Section 906 of the Sarbanes-Oxley Act of 2002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accompanying Quarterly Report on Form 10-Q of FS Bancorp, Inc. (the “Company”) for the quarter ended September 30, 2023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 I, Joseph C. Adams, in my capacity as Chief Executive Officer of the Company, hereby certify pursuant to 18 U.S.C. Section 1350, as adopted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that: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 in the financial statements included in the Report.</w:t>
      </w:r>
    </w:p>
    <w:p>
      <w:pPr>
        <w:sectPr>
          <w:pgSz w:w="11900" w:h="16838" w:orient="portrait"/>
          <w:cols w:equalWidth="0" w:num="1">
            <w:col w:w="11240"/>
          </w:cols>
          <w:pgMar w:left="320" w:top="121" w:right="339" w:bottom="1440" w:gutter="0" w:footer="0" w:header="0"/>
        </w:sectPr>
      </w:pP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8, 2023</w:t>
      </w: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/s/Joseph C.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9858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Joseph C. Adams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2">
            <w:col w:w="4240" w:space="720"/>
            <w:col w:w="6280"/>
          </w:cols>
          <w:pgMar w:left="320" w:top="121" w:right="339" w:bottom="1440" w:gutter="0" w:footer="0" w:header="0"/>
          <w:type w:val="continuous"/>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Section 906 of the Sarbanes-Oxley Act of 2002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accompanying Quarterly Report on Form 10-Q of FS Bancorp, Inc. (the “Company”) for the quarter ended September 30, 2023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 I, Matthew D. Mullet, in my capacity as Chief Financial Officer of the Company, hereby certify pursuant to 18 U.S.C. Section 1350, as adopted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that: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 in the financial statements included in the Report.</w:t>
      </w:r>
    </w:p>
    <w:p>
      <w:pPr>
        <w:sectPr>
          <w:pgSz w:w="11900" w:h="16838" w:orient="portrait"/>
          <w:cols w:equalWidth="0" w:num="1">
            <w:col w:w="11240"/>
          </w:cols>
          <w:pgMar w:left="320" w:top="121" w:right="339" w:bottom="1440" w:gutter="0" w:footer="0" w:header="0"/>
        </w:sectPr>
      </w:pP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8, 2023</w:t>
      </w: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/s/Matthew D. Mullet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9858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Matthew D. Mullet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2">
        <w:col w:w="4240" w:space="720"/>
        <w:col w:w="628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lowerLetter"/>
      <w:start w:val="3"/>
    </w:lvl>
  </w:abstractNum>
  <w:abstractNum w:abstractNumId="4">
    <w:nsid w:val="2CA8861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lowerLetter"/>
      <w:start w:val="1"/>
    </w:lvl>
  </w:abstractNum>
  <w:abstractNum w:abstractNumId="22">
    <w:nsid w:val="77465F01"/>
    <w:multiLevelType w:val="hybridMultilevel"/>
    <w:lvl w:ilvl="0">
      <w:lvlJc w:val="left"/>
      <w:lvlText w:val="(%1)"/>
      <w:numFmt w:val="lowerLetter"/>
      <w:start w:val="2"/>
    </w:lvl>
  </w:abstractNum>
  <w:abstractNum w:abstractNumId="23">
    <w:nsid w:val="7724C67E"/>
    <w:multiLevelType w:val="hybridMultilevel"/>
    <w:lvl w:ilvl="0">
      <w:lvlJc w:val="left"/>
      <w:lvlText w:val="(%1)"/>
      <w:numFmt w:val="lowerLetter"/>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lowerLetter"/>
      <w:start w:val="1"/>
    </w:lvl>
  </w:abstractNum>
  <w:abstractNum w:abstractNumId="26">
    <w:nsid w:val="5E884ADC"/>
    <w:multiLevelType w:val="hybridMultilevel"/>
    <w:lvl w:ilvl="0">
      <w:lvlJc w:val="left"/>
      <w:lvlText w:val="(%1)"/>
      <w:numFmt w:val="decimal"/>
      <w:start w:val="3"/>
    </w:lvl>
  </w:abstractNum>
  <w:abstractNum w:abstractNumId="27">
    <w:nsid w:val="51EAD36B"/>
    <w:multiLevelType w:val="hybridMultilevel"/>
    <w:lvl w:ilvl="0">
      <w:lvlJc w:val="left"/>
      <w:lvlText w:val="(%1)"/>
      <w:numFmt w:val="decimal"/>
      <w:start w:val="5"/>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3"/>
    </w:lvl>
  </w:abstractNum>
  <w:abstractNum w:abstractNumId="31">
    <w:nsid w:val="3855585C"/>
    <w:multiLevelType w:val="hybridMultilevel"/>
    <w:lvl w:ilvl="0">
      <w:lvlJc w:val="left"/>
      <w:lvlText w:val="%1."/>
      <w:numFmt w:val="decimal"/>
      <w:start w:val="4"/>
    </w:lvl>
  </w:abstractNum>
  <w:abstractNum w:abstractNumId="32">
    <w:nsid w:val="70A64E2A"/>
    <w:multiLevelType w:val="hybridMultilevel"/>
    <w:lvl w:ilvl="0">
      <w:lvlJc w:val="left"/>
      <w:lvlText w:val="(%1)"/>
      <w:numFmt w:val="lowerLetter"/>
      <w:start w:val="1"/>
    </w:lvl>
  </w:abstractNum>
  <w:abstractNum w:abstractNumId="33">
    <w:nsid w:val="6A2342EC"/>
    <w:multiLevelType w:val="hybridMultilevel"/>
    <w:lvl w:ilvl="0">
      <w:lvlJc w:val="left"/>
      <w:lvlText w:val="(%1)"/>
      <w:numFmt w:val="lowerLetter"/>
      <w:start w:val="2"/>
    </w:lvl>
  </w:abstractNum>
  <w:abstractNum w:abstractNumId="34">
    <w:nsid w:val="2A487CB0"/>
    <w:multiLevelType w:val="hybridMultilevel"/>
    <w:lvl w:ilvl="0">
      <w:lvlJc w:val="left"/>
      <w:lvlText w:val="(%1)"/>
      <w:numFmt w:val="lowerLetter"/>
      <w:start w:val="3"/>
    </w:lvl>
  </w:abstractNum>
  <w:abstractNum w:abstractNumId="35">
    <w:nsid w:val="1D4ED43B"/>
    <w:multiLevelType w:val="hybridMultilevel"/>
    <w:lvl w:ilvl="0">
      <w:lvlJc w:val="left"/>
      <w:lvlText w:val="(%1)"/>
      <w:numFmt w:val="lowerLetter"/>
      <w:start w:val="4"/>
    </w:lvl>
  </w:abstractNum>
  <w:abstractNum w:abstractNumId="36">
    <w:nsid w:val="725A06FB"/>
    <w:multiLevelType w:val="hybridMultilevel"/>
    <w:lvl w:ilvl="0">
      <w:lvlJc w:val="left"/>
      <w:lvlText w:val="%1."/>
      <w:numFmt w:val="decimal"/>
      <w:start w:val="5"/>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lowerLetter"/>
      <w:start w:val="2"/>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3"/>
    </w:lvl>
  </w:abstractNum>
  <w:abstractNum w:abstractNumId="41">
    <w:nsid w:val="542289EC"/>
    <w:multiLevelType w:val="hybridMultilevel"/>
    <w:lvl w:ilvl="0">
      <w:lvlJc w:val="left"/>
      <w:lvlText w:val="%1."/>
      <w:numFmt w:val="decimal"/>
      <w:start w:val="4"/>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lowerLetter"/>
      <w:start w:val="2"/>
    </w:lvl>
  </w:abstractNum>
  <w:abstractNum w:abstractNumId="44">
    <w:nsid w:val="7644A45C"/>
    <w:multiLevelType w:val="hybridMultilevel"/>
    <w:lvl w:ilvl="0">
      <w:lvlJc w:val="left"/>
      <w:lvlText w:val="(%1)"/>
      <w:numFmt w:val="lowerLetter"/>
      <w:start w:val="3"/>
    </w:lvl>
  </w:abstractNum>
  <w:abstractNum w:abstractNumId="45">
    <w:nsid w:val="32FFF902"/>
    <w:multiLevelType w:val="hybridMultilevel"/>
    <w:lvl w:ilvl="0">
      <w:lvlJc w:val="left"/>
      <w:lvlText w:val="(%1)"/>
      <w:numFmt w:val="lowerLetter"/>
      <w:start w:val="4"/>
    </w:lvl>
  </w:abstractNum>
  <w:abstractNum w:abstractNumId="46">
    <w:nsid w:val="684A481A"/>
    <w:multiLevelType w:val="hybridMultilevel"/>
    <w:lvl w:ilvl="0">
      <w:lvlJc w:val="left"/>
      <w:lvlText w:val="%1."/>
      <w:numFmt w:val="decimal"/>
      <w:start w:val="5"/>
    </w:lvl>
  </w:abstractNum>
  <w:abstractNum w:abstractNumId="47">
    <w:nsid w:val="579478FE"/>
    <w:multiLevelType w:val="hybridMultilevel"/>
    <w:lvl w:ilvl="0">
      <w:lvlJc w:val="left"/>
      <w:lvlText w:val="(%1)"/>
      <w:numFmt w:val="lowerLetter"/>
      <w:start w:val="1"/>
    </w:lvl>
  </w:abstractNum>
  <w:abstractNum w:abstractNumId="48">
    <w:nsid w:val="749ABB43"/>
    <w:multiLevelType w:val="hybridMultilevel"/>
    <w:lvl w:ilvl="0">
      <w:lvlJc w:val="left"/>
      <w:lvlText w:val="(%1)"/>
      <w:numFmt w:val="lowerLetter"/>
      <w:start w:val="2"/>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81" Type="http://schemas.openxmlformats.org/officeDocument/2006/relationships/hyperlink" Target="http://www.sec.gov/Archives/edgar/data/1530249/000118811211002766/ex3-1.htm" TargetMode="External"/><Relationship Id="rId82" Type="http://schemas.openxmlformats.org/officeDocument/2006/relationships/hyperlink" Target="http://www.sec.gov/Archives/edgar/data/1530249/000093905713000269/ex328k7913.htm" TargetMode="External"/><Relationship Id="rId83" Type="http://schemas.openxmlformats.org/officeDocument/2006/relationships/hyperlink" Target="http://www.sec.gov/Archives/edgar/data/1530249/000118811211002766/ex4-0.htm" TargetMode="External"/><Relationship Id="rId84" Type="http://schemas.openxmlformats.org/officeDocument/2006/relationships/hyperlink" Target="http://www.sec.gov/Archives/edgar/data/1530249/000093905721000056/fsbanc8k21021exh41.htm" TargetMode="External"/><Relationship Id="rId85" Type="http://schemas.openxmlformats.org/officeDocument/2006/relationships/hyperlink" Target="http://www.sec.gov/Archives/edgar/data/1530249/000118811211002766/ex10-1.htm" TargetMode="External"/><Relationship Id="rId86" Type="http://schemas.openxmlformats.org/officeDocument/2006/relationships/hyperlink" Target="http://www.sec.gov/Archives/edgar/data/1530249/000118811211002766/ex10-2.htm" TargetMode="External"/><Relationship Id="rId87" Type="http://schemas.openxmlformats.org/officeDocument/2006/relationships/hyperlink" Target="http://www.sec.gov/Archives/edgar/data/1530249/000093905713000311/fsbancproxy2013.htm" TargetMode="External"/><Relationship Id="rId88" Type="http://schemas.openxmlformats.org/officeDocument/2006/relationships/hyperlink" Target="http://www.sec.gov/Archives/edgar/data/1530249/000093905713000550/ex102s82013fsbancorp.htm" TargetMode="External"/><Relationship Id="rId89" Type="http://schemas.openxmlformats.org/officeDocument/2006/relationships/hyperlink" Target="http://www.sec.gov/Archives/edgar/data/1530249/000093905713000550/ex103s82013fsbancorp.htm" TargetMode="External"/><Relationship Id="rId90" Type="http://schemas.openxmlformats.org/officeDocument/2006/relationships/hyperlink" Target="http://www.sec.gov/Archives/edgar/data/1530249/000093905713000550/ex104s82013fsbancorp.htm" TargetMode="External"/><Relationship Id="rId91" Type="http://schemas.openxmlformats.org/officeDocument/2006/relationships/hyperlink" Target="http://www.sec.gov/Archives/edgar/data/1530249/000093905716000633/exhibit1012116.htm" TargetMode="External"/><Relationship Id="rId92" Type="http://schemas.openxmlformats.org/officeDocument/2006/relationships/hyperlink" Target="http://www.sec.gov/Archives/edgar/data/1530249/000155837018009146/fsbw-20180930ex10108016b.htm" TargetMode="External"/><Relationship Id="rId93" Type="http://schemas.openxmlformats.org/officeDocument/2006/relationships/hyperlink" Target="http://www.sec.gov/Archives/edgar/data/1530249/000093905718000306/fsbancs8518exh102.htm" TargetMode="External"/><Relationship Id="rId94" Type="http://schemas.openxmlformats.org/officeDocument/2006/relationships/hyperlink" Target="http://www.sec.gov/Archives/edgar/data/1530249/000093905718000306/fsbancs8518exh103.htm" TargetMode="External"/><Relationship Id="rId95" Type="http://schemas.openxmlformats.org/officeDocument/2006/relationships/hyperlink" Target="http://www.sec.gov/Archives/edgar/data/1530249/000093905718000306/fsbancs8518exh104.htm" TargetMode="External"/><Relationship Id="rId96" Type="http://schemas.openxmlformats.org/officeDocument/2006/relationships/hyperlink" Target="http://www.sec.gov/Archives/edgar/data/0001530249/000093905722000175/0000939057-22-000175-index.html" TargetMode="External"/><Relationship Id="rId97" Type="http://schemas.openxmlformats.org/officeDocument/2006/relationships/hyperlink" Target="http://www.sec.gov/Archives/edgar/data/0001530249/000093905722000175/ex102s86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2023-11-08T12:50:44Z</dcterms:created>
  <dcterms:modified xsi:type="dcterms:W3CDTF">2023-11-08T12:50:44Z</dcterms:modified>
</cp:coreProperties>
</file>