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3800" w:right="2000" w:hanging="3792"/>
        <w:spacing w:after="0" w:line="500" w:lineRule="auto"/>
        <w:tabs>
          <w:tab w:leader="none" w:pos="5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ind w:left="35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Borders>
              <w:bottom w:val="single" w:sz="8" w:color="auto"/>
            </w:tcBorders>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001-35589</w:t>
            </w:r>
          </w:p>
        </w:tc>
      </w:tr>
      <w:tr>
        <w:trPr>
          <w:trHeight w:val="418"/>
        </w:trPr>
        <w:tc>
          <w:tcPr>
            <w:tcW w:w="4660" w:type="dxa"/>
            <w:vAlign w:val="bottom"/>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FS BANCORP, INC.</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658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660" w:type="dxa"/>
            <w:vAlign w:val="bottom"/>
            <w:gridSpan w:val="3"/>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45-4585178</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6920 220th Street SW, Mountlake Terrace, Washington 98043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(425) 771</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5299</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2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27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Trading Symbol(s)</w:t>
            </w:r>
          </w:p>
        </w:tc>
        <w:tc>
          <w:tcPr>
            <w:tcW w:w="42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2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FSBW</w:t>
            </w:r>
          </w:p>
        </w:tc>
        <w:tc>
          <w:tcPr>
            <w:tcW w:w="4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tabs>
          <w:tab w:leader="none" w:pos="1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675" w:right="339" w:bottom="1440" w:gutter="0" w:footer="0" w:header="0"/>
        </w:sectPr>
      </w:pP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700" w:space="720"/>
            <w:col w:w="3820"/>
          </w:cols>
          <w:pgMar w:left="320" w:top="67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340" w:val="left"/>
          <w:tab w:leader="none" w:pos="9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August 5, 2025, there were 7,596,336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FS Bancorp, Inc.</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gridSpan w:val="9"/>
          </w:tcPr>
          <w:p>
            <w:pPr>
              <w:jc w:val="center"/>
              <w:ind w:right="320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3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3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1380" w:type="dxa"/>
            <w:vAlign w:val="bottom"/>
            <w:gridSpan w:val="6"/>
            <w:vMerge w:val="continue"/>
          </w:tcPr>
          <w:p>
            <w:pPr>
              <w:spacing w:after="0"/>
              <w:rPr>
                <w:sz w:val="18"/>
                <w:szCs w:val="18"/>
                <w:color w:val="auto"/>
              </w:rPr>
            </w:pPr>
          </w:p>
        </w:tc>
        <w:tc>
          <w:tcPr>
            <w:tcW w:w="8560" w:type="dxa"/>
            <w:vAlign w:val="bottom"/>
            <w:gridSpan w:val="19"/>
            <w:vMerge w:val="continue"/>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860" w:type="dxa"/>
            <w:vAlign w:val="bottom"/>
            <w:gridSpan w:val="5"/>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06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Sheets at June 30, 2025 (Unaudited) and December 31, 2024</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Income for the Three and Six Months Ended June 30, 2025 and 2024 (Unaudited)</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and Six Months Ended June 30, 2025 and 2024</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00" w:type="dxa"/>
            <w:vAlign w:val="bottom"/>
            <w:gridSpan w:val="2"/>
          </w:tcPr>
          <w:p>
            <w:pPr>
              <w:spacing w:after="0"/>
              <w:rPr>
                <w:sz w:val="17"/>
                <w:szCs w:val="17"/>
                <w:color w:val="auto"/>
              </w:rPr>
            </w:pPr>
          </w:p>
        </w:tc>
        <w:tc>
          <w:tcPr>
            <w:tcW w:w="13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Equity for the Three and Six Months Ended June 30, 2025 and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160" w:type="dxa"/>
            <w:vAlign w:val="bottom"/>
          </w:tcPr>
          <w:p>
            <w:pPr>
              <w:spacing w:after="0"/>
              <w:rPr>
                <w:sz w:val="17"/>
                <w:szCs w:val="17"/>
                <w:color w:val="auto"/>
              </w:rPr>
            </w:pPr>
          </w:p>
        </w:tc>
        <w:tc>
          <w:tcPr>
            <w:tcW w:w="13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June 30, 2025 and 2024 (Unaudited)</w:t>
            </w:r>
          </w:p>
        </w:tc>
        <w:tc>
          <w:tcPr>
            <w:tcW w:w="1120" w:type="dxa"/>
            <w:vAlign w:val="bottom"/>
            <w:gridSpan w:val="4"/>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300" w:type="dxa"/>
            <w:vAlign w:val="bottom"/>
            <w:gridSpan w:val="5"/>
          </w:tcPr>
          <w:p>
            <w:pPr>
              <w:spacing w:after="0"/>
              <w:rPr>
                <w:sz w:val="24"/>
                <w:szCs w:val="24"/>
                <w:color w:val="auto"/>
              </w:rPr>
            </w:pPr>
          </w:p>
        </w:tc>
        <w:tc>
          <w:tcPr>
            <w:tcW w:w="1120" w:type="dxa"/>
            <w:vAlign w:val="bottom"/>
            <w:gridSpan w:val="4"/>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10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10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860" w:type="dxa"/>
            <w:vAlign w:val="bottom"/>
            <w:gridSpan w:val="5"/>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51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64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1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tcBorders>
              <w:top w:val="single" w:sz="8" w:color="0000EE"/>
            </w:tcBorders>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20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540" w:type="dxa"/>
            <w:vAlign w:val="bottom"/>
            <w:gridSpan w:val="11"/>
          </w:tcPr>
          <w:p>
            <w:pPr>
              <w:spacing w:after="0"/>
              <w:rPr>
                <w:sz w:val="24"/>
                <w:szCs w:val="24"/>
                <w:color w:val="auto"/>
              </w:rPr>
            </w:pPr>
          </w:p>
        </w:tc>
        <w:tc>
          <w:tcPr>
            <w:tcW w:w="11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740" w:type="dxa"/>
            <w:vAlign w:val="bottom"/>
            <w:gridSpan w:val="4"/>
          </w:tcPr>
          <w:p>
            <w:pPr>
              <w:spacing w:after="0"/>
              <w:rPr>
                <w:sz w:val="24"/>
                <w:szCs w:val="24"/>
                <w:color w:val="auto"/>
              </w:rPr>
            </w:pPr>
          </w:p>
        </w:tc>
        <w:tc>
          <w:tcPr>
            <w:tcW w:w="4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220" w:type="dxa"/>
            <w:vAlign w:val="bottom"/>
            <w:gridSpan w:val="8"/>
          </w:tcPr>
          <w:p>
            <w:pPr>
              <w:spacing w:after="0"/>
              <w:rPr>
                <w:sz w:val="24"/>
                <w:szCs w:val="24"/>
                <w:color w:val="auto"/>
              </w:rPr>
            </w:pPr>
          </w:p>
        </w:tc>
        <w:tc>
          <w:tcPr>
            <w:tcW w:w="11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240" w:type="dxa"/>
            <w:vAlign w:val="bottom"/>
            <w:gridSpan w:val="10"/>
          </w:tcPr>
          <w:p>
            <w:pPr>
              <w:spacing w:after="0"/>
              <w:rPr>
                <w:sz w:val="24"/>
                <w:szCs w:val="24"/>
                <w:color w:val="auto"/>
              </w:rPr>
            </w:pPr>
          </w:p>
        </w:tc>
        <w:tc>
          <w:tcPr>
            <w:tcW w:w="11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60" w:type="dxa"/>
            <w:vAlign w:val="bottom"/>
            <w:gridSpan w:val="5"/>
          </w:tcPr>
          <w:p>
            <w:pPr>
              <w:spacing w:after="0"/>
              <w:rPr>
                <w:sz w:val="24"/>
                <w:szCs w:val="24"/>
                <w:color w:val="auto"/>
              </w:rPr>
            </w:pP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0" w:type="dxa"/>
            <w:vAlign w:val="bottom"/>
            <w:gridSpan w:val="12"/>
          </w:tcPr>
          <w:p>
            <w:pPr>
              <w:spacing w:after="0"/>
              <w:rPr>
                <w:sz w:val="24"/>
                <w:szCs w:val="24"/>
                <w:color w:val="auto"/>
              </w:rPr>
            </w:pPr>
          </w:p>
        </w:tc>
        <w:tc>
          <w:tcPr>
            <w:tcW w:w="11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860" w:type="dxa"/>
            <w:vAlign w:val="bottom"/>
            <w:gridSpan w:val="5"/>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4"/>
          </w:tcPr>
          <w:p>
            <w:pPr>
              <w:spacing w:after="0"/>
              <w:rPr>
                <w:sz w:val="24"/>
                <w:szCs w:val="24"/>
                <w:color w:val="auto"/>
              </w:rPr>
            </w:pPr>
          </w:p>
        </w:tc>
        <w:tc>
          <w:tcPr>
            <w:tcW w:w="7240" w:type="dxa"/>
            <w:vAlign w:val="bottom"/>
            <w:gridSpan w:val="14"/>
          </w:tcPr>
          <w:p>
            <w:pPr>
              <w:spacing w:after="0"/>
              <w:rPr>
                <w:sz w:val="24"/>
                <w:szCs w:val="24"/>
                <w:color w:val="auto"/>
              </w:rPr>
            </w:pPr>
          </w:p>
        </w:tc>
        <w:tc>
          <w:tcPr>
            <w:tcW w:w="11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amounts)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12,355</w:t>
            </w:r>
          </w:p>
        </w:tc>
      </w:tr>
      <w:tr>
        <w:trPr>
          <w:trHeight w:val="223"/>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available-for-sale, at fair value (amortized cost of $329,830 and $310,272, net of allowance for</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of $0 and $0, respectively)</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held-to-maturity, at amortized cost (fair value of $31,776 and $8,144, net of allowance for credit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of $220 and $45, respectively)</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credit losses of $32,189 and $31,870 (includes loans of $13,240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$12,728, at fair value, respectively)</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2,582,272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2,501,951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stock, at cost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owned life insurance (“BOLI”),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servicing rights (“MSRs”), held at the lower of cost or fair value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deposit intangible,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39,670</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3,176,013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654,069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638,158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 accounts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1,899,306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1,701,260</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2,553,375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amount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subordinated notes less unamortized debt issuance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2,878,810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2,733,410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45,000,000 shares authorized; 7,618,543 and 7,833,014 shares issued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297,203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360" w:type="dxa"/>
            <w:vAlign w:val="bottom"/>
            <w:gridSpan w:val="5"/>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7420" w:type="dxa"/>
            <w:vAlign w:val="bottom"/>
            <w:gridSpan w:val="7"/>
          </w:tcPr>
          <w:p>
            <w:pPr>
              <w:jc w:val="center"/>
              <w:ind w:left="11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shares and per share amounts) (Unaudited)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24"/>
                <w:szCs w:val="24"/>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60" w:type="dxa"/>
            <w:vAlign w:val="bottom"/>
          </w:tcPr>
          <w:p>
            <w:pPr>
              <w:spacing w:after="0"/>
              <w:rPr>
                <w:sz w:val="24"/>
                <w:szCs w:val="24"/>
                <w:color w:val="auto"/>
              </w:rPr>
            </w:pPr>
          </w:p>
        </w:tc>
        <w:tc>
          <w:tcPr>
            <w:tcW w:w="23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including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83,403</w:t>
            </w: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dividends on investment securities, cash and cash equivalents, and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3,665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90,820</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30,073</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60,747</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59,480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58,271</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MSRs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10,979</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26,935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costs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Deposit Insurance Corporation (“FDIC”) insurance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47,386</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7420" w:type="dxa"/>
            <w:vAlign w:val="bottom"/>
            <w:gridSpan w:val="7"/>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080" w:type="dxa"/>
            <w:vAlign w:val="bottom"/>
            <w:gridSpan w:val="4"/>
          </w:tcPr>
          <w:p>
            <w:pPr>
              <w:jc w:val="center"/>
              <w:ind w:left="2510"/>
              <w:spacing w:after="0"/>
              <w:rPr>
                <w:sz w:val="20"/>
                <w:szCs w:val="20"/>
                <w:color w:val="auto"/>
              </w:rPr>
            </w:pP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 xml:space="preserve"> (Unaudited)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 gain during period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 related to unrealized (loss) gain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198"/>
        </w:trPr>
        <w:tc>
          <w:tcPr>
            <w:tcW w:w="59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 loss, net included in net</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7,847</w:t>
            </w:r>
          </w:p>
        </w:tc>
      </w:tr>
      <w:tr>
        <w:trPr>
          <w:trHeight w:val="198"/>
        </w:trPr>
        <w:tc>
          <w:tcPr>
            <w:tcW w:w="59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Income tax provision (benefit) related to reclassification for realized (gain)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derivative (loss) gain during period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6,472</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 related to unrealized derivative (loss) gain</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gain, net included in net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16"/>
        </w:trPr>
        <w:tc>
          <w:tcPr>
            <w:tcW w:w="59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Income tax provision related to reclassification,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7,770</w:t>
            </w: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25,126</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June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26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Loss,</w:t>
            </w: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 of Tax</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April 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7,805,795</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57,552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236,720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277,932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($0.26 per share)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8,690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7,742,607</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55,834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243,651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284,026</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April 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7,742,907</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262,945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298,840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($0.28 per share)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7,618,543</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268,509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297,203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 and 2024</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2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2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Loss,</w:t>
            </w: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 of Tax</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09"/>
        </w:trPr>
        <w:tc>
          <w:tcPr>
            <w:tcW w:w="3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7,800,545</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230,354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264,488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0" w:type="dxa"/>
            <w:vAlign w:val="bottom"/>
          </w:tcPr>
          <w:p>
            <w:pPr>
              <w:spacing w:after="0"/>
              <w:rPr>
                <w:sz w:val="1"/>
                <w:szCs w:val="1"/>
                <w:color w:val="auto"/>
              </w:rPr>
            </w:pPr>
          </w:p>
        </w:tc>
      </w:tr>
      <w:tr>
        <w:trPr>
          <w:trHeight w:val="216"/>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($0.52 per share)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198"/>
        </w:trPr>
        <w:tc>
          <w:tcPr>
            <w:tcW w:w="328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17,940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7,742,607</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243,651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7,833,014</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c>
          <w:tcPr>
            <w:tcW w:w="0" w:type="dxa"/>
            <w:vAlign w:val="bottom"/>
          </w:tcPr>
          <w:p>
            <w:pPr>
              <w:spacing w:after="0"/>
              <w:rPr>
                <w:sz w:val="1"/>
                <w:szCs w:val="1"/>
                <w:color w:val="auto"/>
              </w:rPr>
            </w:pPr>
          </w:p>
        </w:tc>
      </w:tr>
      <w:tr>
        <w:trPr>
          <w:trHeight w:val="216"/>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($0.56 per share)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16"/>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16,128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98"/>
        </w:trPr>
        <w:tc>
          <w:tcPr>
            <w:tcW w:w="328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(230,599)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30"/>
        </w:trPr>
        <w:tc>
          <w:tcPr>
            <w:tcW w:w="3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7,618,543</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268,509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297,203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 (Unaudited)</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from operating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 related to stock options and restricted stock awards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MSRs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on portfolio loans measured under the fair value option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sale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261,171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purchase of tax credits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tax credits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impairment of MSRs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BY)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Activity in securities available-for-sale: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98,459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Activity in securities held-to-maturity: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Maturities of certificates of deposit at other financial institutions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certificates of deposit at other financial institutions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Portfolio loan originations and principal collections, net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MSRs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portfolio loans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portfolio loans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owned life insurance death benefits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FHLB stock,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by) from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14,964</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(USED BY)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557,804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Disbursements from stock options exercised,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 employee stock purchase plan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(used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127,745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(57,829)</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65,691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33,195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33,011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DISCLOSURES OF CASH FLOW INFORMATION</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deposits and borrowings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31,234</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31,459</w:t>
            </w: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r>
      <w:tr>
        <w:trPr>
          <w:trHeight w:val="216"/>
        </w:trPr>
        <w:tc>
          <w:tcPr>
            <w:tcW w:w="7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SUPPLEMENTARY DISCLOSURES OF NONCASH OPERATING, INVESTING AND</w:t>
            </w: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on available-for-sale investment securities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6,296</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on fair value and cash flow hedges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w:t>
            </w:r>
          </w:p>
        </w:tc>
      </w:tr>
      <w:tr>
        <w:trPr>
          <w:trHeight w:val="234"/>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Retention in gross MSRs from loan sales</w:t>
            </w:r>
          </w:p>
        </w:tc>
        <w:tc>
          <w:tcPr>
            <w:tcW w:w="1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6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Dollar Amounts in Thousands,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 AND SUMMARY OF SIGNIFICANT ACCOUNTING POLICIES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 FS Bancorp, Inc. (the “Company”) was incorporated in September 2011 as the holding company for 1st Security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8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 Presentation </w:t>
      </w:r>
      <w:r>
        <w:rPr>
          <w:rFonts w:ascii="Times New Roman" w:cs="Times New Roman" w:eastAsia="Times New Roman" w:hAnsi="Times New Roman"/>
          <w:sz w:val="18"/>
          <w:szCs w:val="18"/>
          <w:color w:val="auto"/>
        </w:rPr>
        <w:t>– The accompanying unaudited interim consolidated financial statements have been prepared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(“U.S. GAAP”) for interim financial information and in accordance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as promulgated by the Securities and Exchange Commission (“SEC”). These unaudited interim consolidated financial statements should be read in conjunction with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which includes all the audited financial statements and footnotes required by U.S. GAAP for complete financial statements for the year ended December 31, 2024. In the opinion of management, all normal adjustments and recurring accruals considered necessary for a fair presentation of the financial position and results of operations for the periods presented have been included. Certain prior-period amounts have been reclassified to conform to the current period presentation.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for the three and six months ended June 30, 2025, are not necessarily indicative of the results that may be expected for the year ending December 31, 2025,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FS Bancorp and its wholly owned subsidiary, 1st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All material intercompany accounts have been eliminated in consolidation.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 The Company operates in two business segments through the Bank: commercial and consumer banking and home lending.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13 – Business Segments.”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The Company has evaluated events and transactions after June 30, 2025, for potential recognition or disclosure.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guidance within Accounting Standards Update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Improvements to Income Tax Disclosures. </w:t>
      </w:r>
      <w:r>
        <w:rPr>
          <w:rFonts w:ascii="Times New Roman" w:cs="Times New Roman" w:eastAsia="Times New Roman" w:hAnsi="Times New Roman"/>
          <w:sz w:val="18"/>
          <w:szCs w:val="18"/>
          <w:color w:val="auto"/>
        </w:rPr>
        <w:t>The amendments in the ASU are intended to enhance transparency regarding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by improving income tax disclosures, particularly related to the rate reconciliation and income taxes paid. The ASU requires entities to disclose specified categories within the rate reconciliation and to provide additional information for reconciling items that meet a defined quantitative threshold.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amendments require disclosure of the following information about income taxes paid on an annual basis:</w:t>
      </w:r>
    </w:p>
    <w:p>
      <w:pPr>
        <w:spacing w:after="0" w:line="225" w:lineRule="exact"/>
        <w:rPr>
          <w:sz w:val="20"/>
          <w:szCs w:val="20"/>
          <w:color w:val="auto"/>
        </w:rPr>
      </w:pPr>
    </w:p>
    <w:p>
      <w:pPr>
        <w:ind w:left="240" w:hanging="232"/>
        <w:spacing w:after="0" w:line="261"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(net of refunds received), disaggregated by federal and state taxes and by individual jurisdictions in which income taxes paid (net of refunds received) is equal to or greater than five percent of total income taxes paid (net refunds received).</w:t>
      </w: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(or benefit) from continuing operations disaggregated by federal and state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ASU is effective for annual periods beginning after December 15, 2024. Early adoption is permitted for annual financial statements that have not yet been issued or made available for issuance. The amendments should be applied on a prospective basis. The Company does not expect the ASU to have a material effect on its consolidated financial statements.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guidance within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The amendments in the ASU require public companies to disclose,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specified information about certain costs and expenses at each interim and annual reporting period. Specifically, public companies will be required to:</w:t>
      </w:r>
    </w:p>
    <w:p>
      <w:pPr>
        <w:spacing w:after="0" w:line="182" w:lineRule="exact"/>
        <w:rPr>
          <w:sz w:val="20"/>
          <w:szCs w:val="20"/>
          <w:color w:val="auto"/>
        </w:rPr>
      </w:pPr>
    </w:p>
    <w:p>
      <w:pPr>
        <w:jc w:val="both"/>
        <w:ind w:left="240" w:hanging="232"/>
        <w:spacing w:after="0" w:line="257"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certain amounts that are already required to be disclosed under GAAP in the same disclosure as the other disaggregation requirements.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total amount of selling expenses and, in annual reporting periods, an entity’s definition of selling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ASU is effective for annual reporting periods beginning after December 15, 2026, and interim reporting periods beginning after December 15, 2027. Early adoption is permitted. The amendments should be applied prospectively. The Company is currently evaluating the impact of this ASU but does not expect it to have a material effect on its consolidated financial statements.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guidance within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The amendment in this ASU amends the effective date of ASU 2024-03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this ASU but does not expect it to have a material effect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Accounting Guidance Adopted in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costs, unrealized gains, unrealized losses, estimated fair values of securities available-for-sale and held-to-maturity, and the ACL on securities available-for-sale and held-to-maturity at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199,747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190,516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329,830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09"/>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361,612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334,468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289,319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activity in the ACL on securities held-to-maturity by major security type for the three and six months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For the Three Months Ended June 30,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ACL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ending ACL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4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For the Six Months Ended June 30,</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ACL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ending ACL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The increase in provision during the periods was attributable to increased securities balances. Accrued interest receivable totaled $285,000 and $116,000 on held-to-maturity debt securities and $1.2 million and $1.2 million on available-for-sale debt securities as of June 30, 2025 and December 31, 2024, respectively. Accrued interest receivable on securities is reported in “Accrued interest receivable” on the Consolidated Balance Sheets and is excluded from the calculation of the ACL.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BBB/BBB-</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there were no debt securities held-to-maturity that were classified as either nonaccrual or 90 days or more past due and still accruing interest.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 of June 30, 2025, investment securities which were pledged to secure borrowings, public deposits or other obligations as permitted or required by law: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Purpose or beneficiary</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Carrying Value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government public deposits</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26,041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64,241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157,750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221,991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r>
      <w:tr>
        <w:trPr>
          <w:trHeight w:val="210"/>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0"/>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160,155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238,239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629"/>
        </w:trPr>
        <w:tc>
          <w:tcPr>
            <w:tcW w:w="3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43,189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160,221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203,410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168,365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211,554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eight held-to-maturity debt securities in an unrealized loss position of less than one year and two held-to-maturity debt securities in an unrealized loss position of more than one year at June 30, 2025, compared to no held-to-maturity debt securities in an unrealized loss position of less than one year and seven held-to-maturity debt securities in an unrealized loss position of more than one year at December 31,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25 available-for-sale securities in an unrealized loss position of less than one year, and 122 available-for-sale securities in an unrealized loss position of more than one year at June 30, 2025, compared to 22 available-for-sale securities in an unrealized loss position of less than one year and 121 available-for-sale securities in an unrealized loss position of more than one year at December 31, 2024. The unrealized losses associated with these securities are believed to be caused by changing market conditions and considered to be temporary, and the Company does not intend and is not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six months ended June 30, 2025, or for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agency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17,695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75,917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62,673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64,448</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82,211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National Mortgage Association (“FNMA”)</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Home Loan Mortgage Corporation (“FHLMC”)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47,773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National Mortgage Association (“GNMA”)</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63,448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62,653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39,204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199,747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190,516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329,830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361,612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334,468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289,319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and resulting gains and losses from sales of securities available-for-sale for the three and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7"/>
          </w:tcPr>
          <w:p>
            <w:pPr>
              <w:jc w:val="right"/>
              <w:ind w:right="870"/>
              <w:spacing w:after="0"/>
              <w:rPr>
                <w:sz w:val="20"/>
                <w:szCs w:val="20"/>
                <w:color w:val="auto"/>
              </w:rPr>
            </w:pPr>
            <w:r>
              <w:rPr>
                <w:rFonts w:ascii="Times New Roman" w:cs="Times New Roman" w:eastAsia="Times New Roman" w:hAnsi="Times New Roman"/>
                <w:sz w:val="18"/>
                <w:szCs w:val="18"/>
                <w:color w:val="auto"/>
              </w:rPr>
              <w:t>For the Three Months Ended June 30, 2025</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3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7"/>
          </w:tcPr>
          <w:p>
            <w:pPr>
              <w:jc w:val="right"/>
              <w:ind w:right="870"/>
              <w:spacing w:after="0"/>
              <w:rPr>
                <w:sz w:val="20"/>
                <w:szCs w:val="20"/>
                <w:color w:val="auto"/>
              </w:rPr>
            </w:pPr>
            <w:r>
              <w:rPr>
                <w:rFonts w:ascii="Times New Roman" w:cs="Times New Roman" w:eastAsia="Times New Roman" w:hAnsi="Times New Roman"/>
                <w:sz w:val="18"/>
                <w:szCs w:val="18"/>
                <w:color w:val="auto"/>
              </w:rPr>
              <w:t>For the Three Months Ended June 30, 2024</w:t>
            </w:r>
          </w:p>
        </w:tc>
      </w:tr>
      <w:tr>
        <w:trPr>
          <w:trHeight w:val="191"/>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3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54,423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648"/>
        </w:trPr>
        <w:tc>
          <w:tcPr>
            <w:tcW w:w="3780" w:type="dxa"/>
            <w:vAlign w:val="bottom"/>
          </w:tcPr>
          <w:p>
            <w:pPr>
              <w:spacing w:after="0"/>
              <w:rPr>
                <w:sz w:val="24"/>
                <w:szCs w:val="24"/>
                <w:color w:val="auto"/>
              </w:rPr>
            </w:pPr>
          </w:p>
        </w:tc>
        <w:tc>
          <w:tcPr>
            <w:tcW w:w="2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4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8"/>
          </w:tcPr>
          <w:p>
            <w:pPr>
              <w:jc w:val="center"/>
              <w:ind w:right="270"/>
              <w:spacing w:after="0"/>
              <w:rPr>
                <w:sz w:val="20"/>
                <w:szCs w:val="20"/>
                <w:color w:val="auto"/>
              </w:rPr>
            </w:pPr>
            <w:r>
              <w:rPr>
                <w:rFonts w:ascii="Times New Roman" w:cs="Times New Roman" w:eastAsia="Times New Roman" w:hAnsi="Times New Roman"/>
                <w:sz w:val="18"/>
                <w:szCs w:val="18"/>
                <w:color w:val="auto"/>
              </w:rPr>
              <w:t>For the Six Months Ended June 30, 2025</w:t>
            </w:r>
          </w:p>
        </w:tc>
      </w:tr>
      <w:tr>
        <w:trPr>
          <w:trHeight w:val="191"/>
        </w:trPr>
        <w:tc>
          <w:tcPr>
            <w:tcW w:w="1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128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Proceeds</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8"/>
          </w:tcPr>
          <w:p>
            <w:pPr>
              <w:jc w:val="center"/>
              <w:ind w:right="270"/>
              <w:spacing w:after="0"/>
              <w:rPr>
                <w:sz w:val="20"/>
                <w:szCs w:val="20"/>
                <w:color w:val="auto"/>
              </w:rPr>
            </w:pPr>
            <w:r>
              <w:rPr>
                <w:rFonts w:ascii="Times New Roman" w:cs="Times New Roman" w:eastAsia="Times New Roman" w:hAnsi="Times New Roman"/>
                <w:sz w:val="18"/>
                <w:szCs w:val="18"/>
                <w:color w:val="auto"/>
              </w:rPr>
              <w:t>For the Six Months Ended June 30, 2024</w:t>
            </w:r>
          </w:p>
        </w:tc>
      </w:tr>
      <w:tr>
        <w:trPr>
          <w:trHeight w:val="191"/>
        </w:trPr>
        <w:tc>
          <w:tcPr>
            <w:tcW w:w="1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128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Proceeds</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r>
      <w:tr>
        <w:trPr>
          <w:trHeight w:val="675"/>
        </w:trPr>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 RECEIVABLE AND ALLOWANCE FOR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loan portfolio was as follows at the dates indicated:</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 ("CRE")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170,396</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280,798</w:t>
            </w:r>
          </w:p>
        </w:tc>
      </w:tr>
      <w:tr>
        <w:trPr>
          <w:trHeight w:val="216"/>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263,185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245,222</w:t>
            </w:r>
          </w:p>
        </w:tc>
      </w:tr>
      <w:tr>
        <w:trPr>
          <w:trHeight w:val="209"/>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916,137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871,337</w:t>
            </w: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One-to-four-family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617,322</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75,147</w:t>
            </w:r>
          </w:p>
        </w:tc>
      </w:tr>
      <w:tr>
        <w:trPr>
          <w:trHeight w:val="216"/>
        </w:trPr>
        <w:tc>
          <w:tcPr>
            <w:tcW w:w="5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49,902</w:t>
            </w:r>
          </w:p>
        </w:tc>
      </w:tr>
      <w:tr>
        <w:trPr>
          <w:trHeight w:val="209"/>
        </w:trPr>
        <w:tc>
          <w:tcPr>
            <w:tcW w:w="5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779,518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742,371</w:t>
            </w: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541,946</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74,931</w:t>
            </w:r>
          </w:p>
        </w:tc>
      </w:tr>
      <w:tr>
        <w:trPr>
          <w:trHeight w:val="216"/>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w:t>
            </w:r>
          </w:p>
        </w:tc>
      </w:tr>
      <w:tr>
        <w:trPr>
          <w:trHeight w:val="210"/>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606,291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620,181</w:t>
            </w: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 (“C&amp;I”)</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287,014</w:t>
            </w:r>
          </w:p>
        </w:tc>
      </w:tr>
      <w:tr>
        <w:trPr>
          <w:trHeight w:val="216"/>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12,918</w:t>
            </w:r>
          </w:p>
        </w:tc>
      </w:tr>
      <w:tr>
        <w:trPr>
          <w:trHeight w:val="210"/>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312,515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299,932</w:t>
            </w:r>
          </w:p>
        </w:tc>
      </w:tr>
      <w:tr>
        <w:trPr>
          <w:trHeight w:val="210"/>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gross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2,614,461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2,533,821</w:t>
            </w: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ACL on loans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(31,870)</w:t>
            </w:r>
          </w:p>
        </w:tc>
      </w:tr>
      <w:tr>
        <w:trPr>
          <w:trHeight w:val="250"/>
        </w:trPr>
        <w:tc>
          <w:tcPr>
            <w:tcW w:w="58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2,582,272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2,501,951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amounts are net of unearned loan fees in excess of unamortized costs, unamortized net discounts on acquired loans, and premiums on purchased loans of $8.7 million as of June 30, 2025 and $8.0 million as of December 31, 2024. Net loans does not include accrued interest receivable.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Company’s CRE and multi-family real estate, construction, residential, and/or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market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These indirect home improvement loans are generally secured by collateral, with legal documentation that establishes the Company's rights to the collateral, where practicable. Local economic conditions may affect borrowers’ ability to meet the stated repayment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Company held approximately $1.09 billion in loans that are pledged as collateral for FHLB borrowings, compared to approximately $1.11 billion at December 31, 2024. The Company held approximately $591.0 million in loans that are pledged as collateral for the Federal Reserve Bank of San Francisco (the “FRB”) line of credit at June 30, 2025, compared to approximately $606.5 million at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defined its loan portfolio into four segments that reflect the structure of the lending function, the Company’s strategic plan and the way management monitors performance and credit quality. The four loan portfolio segments are: (a) CRE, (b) residential real estate, (c) consumer, and (d) commercial business. Each of these segments is disaggregated into classes based on the risk characteristics of the borrower and/or the collateral type securing the loan. The following is a summary of each of the Company’s loan portfolio segments and classes: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Loans</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Multi-Family Lending</w:t>
      </w:r>
      <w:r>
        <w:rPr>
          <w:rFonts w:ascii="Times New Roman" w:cs="Times New Roman" w:eastAsia="Times New Roman" w:hAnsi="Times New Roman"/>
          <w:sz w:val="18"/>
          <w:szCs w:val="18"/>
          <w:color w:val="auto"/>
        </w:rPr>
        <w:t>. Apartment term lending (five or more units) to current banking customers and community reinvestment loans for low to moderate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individuals in the Company’s footprint.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CRE Lending</w:t>
      </w:r>
      <w:r>
        <w:rPr>
          <w:rFonts w:ascii="Times New Roman" w:cs="Times New Roman" w:eastAsia="Times New Roman" w:hAnsi="Times New Roman"/>
          <w:sz w:val="18"/>
          <w:szCs w:val="18"/>
          <w:color w:val="auto"/>
        </w:rPr>
        <w:t>. Loans originated by the Company primarily secured by income-producing properties, including retail centers, warehouses,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located in our market areas.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Commercial and Speculative Construction and Development Lending</w:t>
      </w:r>
      <w:r>
        <w:rPr>
          <w:rFonts w:ascii="Times New Roman" w:cs="Times New Roman" w:eastAsia="Times New Roman" w:hAnsi="Times New Roman"/>
          <w:sz w:val="18"/>
          <w:szCs w:val="18"/>
          <w:color w:val="auto"/>
        </w:rPr>
        <w:t>. Loans originated by the Company for the construction of, and secured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one-to-four-family, and multi-family residences and tracts of land for development that are not pre-sold. Custom one-to-four-family construction loans to the intended occupant of the residence are included under residential custom construction lending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One-to-Four-Family Real Estate Lending</w:t>
      </w:r>
      <w:r>
        <w:rPr>
          <w:rFonts w:ascii="Times New Roman" w:cs="Times New Roman" w:eastAsia="Times New Roman" w:hAnsi="Times New Roman"/>
          <w:sz w:val="18"/>
          <w:szCs w:val="18"/>
          <w:color w:val="auto"/>
        </w:rPr>
        <w:t>. One-to-four-family residential loans include both owner occupied properties (including second homes), and non-owner-occupied properties with up to four units. These loans, which are originated by the Company or periodically purchased from other banks, are secured by first mortgages on one-to-four-family residences in our market areas and are intended to be held in the Company's portfolio (excludes loans held for sale).</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Home Equity Lending</w:t>
      </w:r>
      <w:r>
        <w:rPr>
          <w:rFonts w:ascii="Times New Roman" w:cs="Times New Roman" w:eastAsia="Times New Roman" w:hAnsi="Times New Roman"/>
          <w:sz w:val="18"/>
          <w:szCs w:val="18"/>
          <w:color w:val="auto"/>
        </w:rPr>
        <w:t>. Loans originated by the Company secured by second mortgages on one-to-four-family residences, including home equity 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in our market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Custom Construction Lending</w:t>
      </w:r>
      <w:r>
        <w:rPr>
          <w:rFonts w:ascii="Times New Roman" w:cs="Times New Roman" w:eastAsia="Times New Roman" w:hAnsi="Times New Roman"/>
          <w:sz w:val="18"/>
          <w:szCs w:val="18"/>
          <w:color w:val="auto"/>
        </w:rPr>
        <w:t>. One-to-four-family custom construction loans to the intended occupant of the residence.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22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Indirect Home Improvement</w:t>
      </w:r>
      <w:r>
        <w:rPr>
          <w:rFonts w:ascii="Times New Roman" w:cs="Times New Roman" w:eastAsia="Times New Roman" w:hAnsi="Times New Roman"/>
          <w:sz w:val="18"/>
          <w:szCs w:val="18"/>
          <w:color w:val="auto"/>
        </w:rPr>
        <w:t>. Fixture secured loans for home improvement are originated by the Company through its network of home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dealers and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Marine</w:t>
      </w:r>
      <w:r>
        <w:rPr>
          <w:rFonts w:ascii="Times New Roman" w:cs="Times New Roman" w:eastAsia="Times New Roman" w:hAnsi="Times New Roman"/>
          <w:sz w:val="18"/>
          <w:szCs w:val="18"/>
          <w:color w:val="auto"/>
        </w:rPr>
        <w:t>. Loans originated by the Company, secured by boats, to borrowers primarily located in states where the Company originates consumer loans.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Consumer</w:t>
      </w:r>
      <w:r>
        <w:rPr>
          <w:rFonts w:ascii="Times New Roman" w:cs="Times New Roman" w:eastAsia="Times New Roman" w:hAnsi="Times New Roman"/>
          <w:sz w:val="18"/>
          <w:szCs w:val="18"/>
          <w:color w:val="auto"/>
        </w:rPr>
        <w:t>. Loans originated by the Company to consumers in our retail branch footprint, including automobiles, direct home improvement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on deposits, and other consumer loans, primarily consisting of personal lines of credit and credit cards.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Business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C&amp;I Lending. </w:t>
      </w:r>
      <w:r>
        <w:rPr>
          <w:rFonts w:ascii="Times New Roman" w:cs="Times New Roman" w:eastAsia="Times New Roman" w:hAnsi="Times New Roman"/>
          <w:sz w:val="18"/>
          <w:szCs w:val="18"/>
          <w:color w:val="auto"/>
        </w:rPr>
        <w:t>C&amp;I loans originated by the Company to local small- and mid-sized businesses in our market area are secured primarily by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inventory, or personal property, plant and equipment. Some C&amp;I loans purchased by the Company are outside of our market area. C&amp;I loans are made based on the borrower’s ability to make repayment from the cash flow of the borrower’s business. At June 30, 2025 and December 31, 2024, C&amp;I loans included Small Business Administration and United States Department of Agriculture guaranteed certificates of $48.8 million and $52.6 million,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Warehouse Lending</w:t>
      </w:r>
      <w:r>
        <w:rPr>
          <w:rFonts w:ascii="Times New Roman" w:cs="Times New Roman" w:eastAsia="Times New Roman" w:hAnsi="Times New Roman"/>
          <w:sz w:val="18"/>
          <w:szCs w:val="18"/>
          <w:color w:val="auto"/>
        </w:rPr>
        <w:t>. Loans originated to non-depository financial institutions and secured by notes originated by the non-depository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activity in the ACL on loans by loan categories at or for the three and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rPr>
              <w:t>At or For the Three Months Ended June 30,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31,653</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(reversal of) credit losses on loans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32,189</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rPr>
              <w:t>At or For the Three Months Ended June 30,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31,479</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(reversal of) credit losses on loans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r>
      <w:tr>
        <w:trPr>
          <w:trHeight w:val="210"/>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31,238</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At or For the Six Months Ended June 30, 2025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(reversal of) credit losses on loans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r>
      <w:tr>
        <w:trPr>
          <w:trHeight w:val="210"/>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32,189</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At or For the Six Months Ended June 30,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31,534</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provision for credit losses on loans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r>
      <w:tr>
        <w:trPr>
          <w:trHeight w:val="210"/>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31,238</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main reason for the increase of the provision for credit losses on loans for the three and six months ended June 30, 2025, was loan growth and elevated net charge-offs in the consumer loan portfolio, primarily in indirect home improvement loans. Additionally, the increase in the ACL on loans reflected shifts in credit quality (including changes in classified, past due and nonperforming loans) and adjustments to qualitative factors. The most significant qualitative factor change was an increase in qualitative reserves, attributable to higher levels of past due and nonperforming loans, as well as higher net charge-offs on consumer loans relative to prior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Nonaccrual and Past Due Loans</w:t>
      </w:r>
      <w:r>
        <w:rPr>
          <w:rFonts w:ascii="Times New Roman" w:cs="Times New Roman" w:eastAsia="Times New Roman" w:hAnsi="Times New Roman"/>
          <w:sz w:val="18"/>
          <w:szCs w:val="18"/>
          <w:color w:val="auto"/>
        </w:rPr>
        <w:t>. Loans are considered past due if the required principal and interest payments have not been received as of the date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were due. Loans are automatically placed on nonaccrual once the loan is 90 days past due or sooner if, in management’s opinion, the borrower may be unable to meet payment obligations as they become due, or as required by regulatory authorities.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to Borrowers Experiencing Financial Difficulty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that were both experiencing financial difficulty and modified during the three and six months ended June 30, 2025 and 2024, by class and by type of modification. The tables also present the percentage of the amortized cost basis of loans modified for borrowers experiencing financial difficulty relative to the total amortized cost basis of each class of financing receivable, as well as the financial effect of the modification.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For the Three Months Ended June 30, 2025</w:t>
            </w:r>
          </w:p>
        </w:tc>
        <w:tc>
          <w:tcPr>
            <w:tcW w:w="120" w:type="dxa"/>
            <w:vAlign w:val="bottom"/>
          </w:tcPr>
          <w:p>
            <w:pPr>
              <w:spacing w:after="0"/>
              <w:rPr>
                <w:sz w:val="20"/>
                <w:szCs w:val="20"/>
                <w:color w:val="auto"/>
              </w:rPr>
            </w:pPr>
          </w:p>
        </w:tc>
        <w:tc>
          <w:tcPr>
            <w:tcW w:w="380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color w:val="auto"/>
              </w:rPr>
              <w:t>For the Six Months Ended June 30, 2025</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Combination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Combination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Term</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Term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Term</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2"/>
              </w:rPr>
              <w:t>Term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Extension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Payment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Payment</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Delay</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Payment</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Delay</w:t>
            </w:r>
          </w:p>
        </w:tc>
        <w:tc>
          <w:tcPr>
            <w:tcW w:w="0" w:type="dxa"/>
            <w:vAlign w:val="bottom"/>
          </w:tcPr>
          <w:p>
            <w:pPr>
              <w:spacing w:after="0"/>
              <w:rPr>
                <w:sz w:val="1"/>
                <w:szCs w:val="1"/>
                <w:color w:val="auto"/>
              </w:rPr>
            </w:pPr>
          </w:p>
        </w:tc>
      </w:tr>
      <w:tr>
        <w:trPr>
          <w:trHeight w:val="234"/>
        </w:trPr>
        <w:tc>
          <w:tcPr>
            <w:tcW w:w="3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Delay</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 years)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Delay</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Principal</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Principal</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Principal</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Principal</w:t>
            </w:r>
          </w:p>
        </w:tc>
        <w:tc>
          <w:tcPr>
            <w:tcW w:w="0" w:type="dxa"/>
            <w:vAlign w:val="bottom"/>
          </w:tcPr>
          <w:p>
            <w:pPr>
              <w:spacing w:after="0"/>
              <w:rPr>
                <w:sz w:val="1"/>
                <w:szCs w:val="1"/>
                <w:color w:val="auto"/>
              </w:rPr>
            </w:pPr>
          </w:p>
        </w:tc>
      </w:tr>
      <w:tr>
        <w:trPr>
          <w:trHeight w:val="234"/>
        </w:trPr>
        <w:tc>
          <w:tcPr>
            <w:tcW w:w="3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Forgiveness</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Forgiven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Forgiveness</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Forgiven</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For the Three Months Ended June 30, 2024</w:t>
            </w:r>
          </w:p>
        </w:tc>
        <w:tc>
          <w:tcPr>
            <w:tcW w:w="120" w:type="dxa"/>
            <w:vAlign w:val="bottom"/>
          </w:tcPr>
          <w:p>
            <w:pPr>
              <w:spacing w:after="0"/>
              <w:rPr>
                <w:sz w:val="24"/>
                <w:szCs w:val="24"/>
                <w:color w:val="auto"/>
              </w:rPr>
            </w:pPr>
          </w:p>
        </w:tc>
        <w:tc>
          <w:tcPr>
            <w:tcW w:w="380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Combination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Combination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Term</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Term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Term</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2"/>
              </w:rPr>
              <w:t>Term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Extension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Payment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Class of</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Payment</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Delay</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Payment</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Financing</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Delay</w:t>
            </w:r>
          </w:p>
        </w:tc>
        <w:tc>
          <w:tcPr>
            <w:tcW w:w="0" w:type="dxa"/>
            <w:vAlign w:val="bottom"/>
          </w:tcPr>
          <w:p>
            <w:pPr>
              <w:spacing w:after="0"/>
              <w:rPr>
                <w:sz w:val="1"/>
                <w:szCs w:val="1"/>
                <w:color w:val="auto"/>
              </w:rPr>
            </w:pPr>
          </w:p>
        </w:tc>
      </w:tr>
      <w:tr>
        <w:trPr>
          <w:trHeight w:val="234"/>
        </w:trPr>
        <w:tc>
          <w:tcPr>
            <w:tcW w:w="3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Delay</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 years)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Delay</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Receivable</w:t>
            </w: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7"/>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committed to lend additional amounts totaling $1.2 million to borrowers experiencing financial difficulty whose loans were modified within the previous 12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table presents the performance of such loans that have been modified in the last 12 months as of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June 30, 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860" w:type="dxa"/>
            <w:vAlign w:val="bottom"/>
          </w:tcPr>
          <w:p>
            <w:pPr>
              <w:jc w:val="center"/>
              <w:ind w:left="192"/>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152"/>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Days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Days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8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Past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Past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or More</w:t>
            </w:r>
          </w:p>
        </w:tc>
        <w:tc>
          <w:tcPr>
            <w:tcW w:w="24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Past</w:t>
            </w:r>
          </w:p>
        </w:tc>
        <w:tc>
          <w:tcPr>
            <w:tcW w:w="0" w:type="dxa"/>
            <w:vAlign w:val="bottom"/>
          </w:tcPr>
          <w:p>
            <w:pPr>
              <w:spacing w:after="0"/>
              <w:rPr>
                <w:sz w:val="1"/>
                <w:szCs w:val="1"/>
                <w:color w:val="auto"/>
              </w:rPr>
            </w:pPr>
          </w:p>
        </w:tc>
      </w:tr>
      <w:tr>
        <w:trPr>
          <w:trHeight w:val="234"/>
        </w:trPr>
        <w:tc>
          <w:tcPr>
            <w:tcW w:w="5980" w:type="dxa"/>
            <w:vAlign w:val="bottom"/>
            <w:vMerge w:val="continue"/>
          </w:tcPr>
          <w:p>
            <w:pPr>
              <w:spacing w:after="0"/>
              <w:rPr>
                <w:sz w:val="20"/>
                <w:szCs w:val="20"/>
                <w:color w:val="auto"/>
              </w:rPr>
            </w:pPr>
          </w:p>
        </w:tc>
        <w:tc>
          <w:tcPr>
            <w:tcW w:w="8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Due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Past Due</w:t>
            </w:r>
          </w:p>
        </w:tc>
        <w:tc>
          <w:tcPr>
            <w:tcW w:w="24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Due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86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There were no loans to borrowers experiencing financial difficulty that had a payment default during the three months ended</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 2024 and were</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modified in the twelve months prior to that default.</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and Past Due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pertaining to the aging analysis of contractually past due loans and nonaccrual loans at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7"/>
              </w:rPr>
              <w:t>June 30,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1"/>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Days</w:t>
            </w: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Past</w:t>
            </w: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10"/>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179,406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291,640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300,723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9,083</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263,185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263,185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11,129</w:t>
            </w:r>
          </w:p>
        </w:tc>
      </w:tr>
      <w:tr>
        <w:trPr>
          <w:trHeight w:val="209"/>
        </w:trPr>
        <w:tc>
          <w:tcPr>
            <w:tcW w:w="3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198"/>
        </w:trPr>
        <w:tc>
          <w:tcPr>
            <w:tcW w:w="3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One-to-four-family (excludes loans held for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638,411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639,881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779,518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w:t>
            </w: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599,034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606,291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3,945</w:t>
            </w: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310,653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312,515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r>
      <w:tr>
        <w:trPr>
          <w:trHeight w:val="210"/>
        </w:trPr>
        <w:tc>
          <w:tcPr>
            <w:tcW w:w="3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2,593,740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2,614,461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18,996</w:t>
            </w: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w w:val="97"/>
              </w:rPr>
              <w:t>December 31, 2024</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09"/>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275,819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280,798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863,888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871,337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One-to-four-family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3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49,080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738,442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742,371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0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612,777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620,181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r>
      <w:tr>
        <w:trPr>
          <w:trHeight w:val="209"/>
        </w:trPr>
        <w:tc>
          <w:tcPr>
            <w:tcW w:w="3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2,511,590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2,533,821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 Includes loans less than 90 days past due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90 days or more past due and still accruing interest at both June 30, 2025 and December 31, 2024.</w:t>
      </w:r>
    </w:p>
    <w:p>
      <w:pPr>
        <w:spacing w:after="0" w:line="225" w:lineRule="exact"/>
        <w:rPr>
          <w:sz w:val="20"/>
          <w:szCs w:val="20"/>
          <w:color w:val="auto"/>
        </w:rPr>
      </w:pPr>
    </w:p>
    <w:p>
      <w:pPr>
        <w:jc w:val="center"/>
        <w:ind w:right="280"/>
        <w:spacing w:after="0" w:line="532" w:lineRule="auto"/>
        <w:rPr>
          <w:sz w:val="20"/>
          <w:szCs w:val="20"/>
          <w:color w:val="auto"/>
        </w:rPr>
      </w:pPr>
      <w:r>
        <w:rPr>
          <w:rFonts w:ascii="Times New Roman" w:cs="Times New Roman" w:eastAsia="Times New Roman" w:hAnsi="Times New Roman"/>
          <w:sz w:val="18"/>
          <w:szCs w:val="18"/>
          <w:color w:val="auto"/>
        </w:rPr>
        <w:t>There were $1.5 million and $84,000 in residential real estate loans in the process of foreclosure at June 30, 2025 and December 31, 2024, respectively.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a risk grading matrix to assign a risk grade to its real estate and commercial business loans. Loans are graded on a scale of 1 to 10, with loans in risk grades 1 to 6 reported as “Pass” and loans in risk grades 7 to 10 reported as classified loans in the Company’s ACL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10 risk grades is as follows:</w:t>
      </w:r>
    </w:p>
    <w:p>
      <w:pPr>
        <w:spacing w:after="0" w:line="223" w:lineRule="exact"/>
        <w:rPr>
          <w:sz w:val="20"/>
          <w:szCs w:val="20"/>
          <w:color w:val="auto"/>
        </w:rPr>
      </w:pPr>
    </w:p>
    <w:p>
      <w:pPr>
        <w:ind w:left="400" w:hanging="325"/>
        <w:spacing w:after="0"/>
        <w:tabs>
          <w:tab w:leader="none" w:pos="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and 2 - </w:t>
      </w:r>
      <w:r>
        <w:rPr>
          <w:rFonts w:ascii="Times New Roman" w:cs="Times New Roman" w:eastAsia="Times New Roman" w:hAnsi="Times New Roman"/>
          <w:sz w:val="18"/>
          <w:szCs w:val="18"/>
          <w:color w:val="auto"/>
        </w:rPr>
        <w:t>These grades include loans to very high-quality borrowers with excellent or desirable business credit.</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3 - </w:t>
      </w:r>
      <w:r>
        <w:rPr>
          <w:rFonts w:ascii="Times New Roman" w:cs="Times New Roman" w:eastAsia="Times New Roman" w:hAnsi="Times New Roman"/>
          <w:sz w:val="18"/>
          <w:szCs w:val="18"/>
          <w:color w:val="auto"/>
        </w:rPr>
        <w:t>This grade includes loans to borrowers of good business credit with moderate risk.</w:t>
      </w:r>
    </w:p>
    <w:p>
      <w:pPr>
        <w:spacing w:after="0" w:line="225"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4 and 5 - </w:t>
      </w:r>
      <w:r>
        <w:rPr>
          <w:rFonts w:ascii="Times New Roman" w:cs="Times New Roman" w:eastAsia="Times New Roman" w:hAnsi="Times New Roman"/>
          <w:sz w:val="18"/>
          <w:szCs w:val="18"/>
          <w:color w:val="auto"/>
        </w:rPr>
        <w:t>These grades include “Pass” grade loans to borrowers of average credit quality and risk.</w:t>
      </w:r>
    </w:p>
    <w:p>
      <w:pPr>
        <w:spacing w:after="0" w:line="225" w:lineRule="exact"/>
        <w:rPr>
          <w:rFonts w:ascii="Times New Roman" w:cs="Times New Roman" w:eastAsia="Times New Roman" w:hAnsi="Times New Roman"/>
          <w:sz w:val="18"/>
          <w:szCs w:val="18"/>
          <w:color w:val="auto"/>
        </w:rPr>
      </w:pPr>
    </w:p>
    <w:p>
      <w:pPr>
        <w:jc w:val="both"/>
        <w:ind w:left="380" w:right="20" w:hanging="318"/>
        <w:spacing w:after="0" w:line="26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6 - </w:t>
      </w:r>
      <w:r>
        <w:rPr>
          <w:rFonts w:ascii="Times New Roman" w:cs="Times New Roman" w:eastAsia="Times New Roman" w:hAnsi="Times New Roman"/>
          <w:sz w:val="18"/>
          <w:szCs w:val="18"/>
          <w:color w:val="auto"/>
        </w:rPr>
        <w:t>This grade includes loans on management’s “Watch” list and is intended to be utilized on a temporary basis for “Pass” grade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frequent and thorough monitoring is required due to credit weaknesses and where significant risk-modifying action is anticipated in the near term.</w:t>
      </w:r>
    </w:p>
    <w:p>
      <w:pPr>
        <w:spacing w:after="0" w:line="173" w:lineRule="exact"/>
        <w:rPr>
          <w:rFonts w:ascii="Times New Roman" w:cs="Times New Roman" w:eastAsia="Times New Roman" w:hAnsi="Times New Roman"/>
          <w:sz w:val="18"/>
          <w:szCs w:val="18"/>
          <w:color w:val="auto"/>
        </w:rPr>
      </w:pPr>
    </w:p>
    <w:p>
      <w:pPr>
        <w:ind w:left="38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 </w:t>
      </w:r>
      <w:r>
        <w:rPr>
          <w:rFonts w:ascii="Times New Roman" w:cs="Times New Roman" w:eastAsia="Times New Roman" w:hAnsi="Times New Roman"/>
          <w:sz w:val="18"/>
          <w:szCs w:val="18"/>
          <w:color w:val="auto"/>
        </w:rPr>
        <w:t>This grade is for “Other Assets Especially Mentioned (“OAEM”)” or “Special Mention” in accordance with regulatory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borrowers where performance is poor or significantly less than expected.</w:t>
      </w:r>
    </w:p>
    <w:p>
      <w:pPr>
        <w:spacing w:after="0" w:line="158" w:lineRule="exact"/>
        <w:rPr>
          <w:rFonts w:ascii="Times New Roman" w:cs="Times New Roman" w:eastAsia="Times New Roman" w:hAnsi="Times New Roman"/>
          <w:sz w:val="18"/>
          <w:szCs w:val="18"/>
          <w:color w:val="auto"/>
        </w:rPr>
      </w:pPr>
    </w:p>
    <w:p>
      <w:pPr>
        <w:ind w:left="380" w:right="2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 </w:t>
      </w:r>
      <w:r>
        <w:rPr>
          <w:rFonts w:ascii="Times New Roman" w:cs="Times New Roman" w:eastAsia="Times New Roman" w:hAnsi="Times New Roman"/>
          <w:sz w:val="18"/>
          <w:szCs w:val="18"/>
          <w:color w:val="auto"/>
        </w:rPr>
        <w:t>This grade includes “Substandard” loans in accordance with regulatory guidelines which represent an unacceptable business credit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is possible if loan weakness is not corrected.</w:t>
      </w:r>
    </w:p>
    <w:p>
      <w:pPr>
        <w:spacing w:after="0" w:line="15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 </w:t>
      </w:r>
      <w:r>
        <w:rPr>
          <w:rFonts w:ascii="Times New Roman" w:cs="Times New Roman" w:eastAsia="Times New Roman" w:hAnsi="Times New Roman"/>
          <w:sz w:val="18"/>
          <w:szCs w:val="18"/>
          <w:color w:val="auto"/>
        </w:rPr>
        <w:t>This grade includes “Doubtful” loans in accordance with regulatory guidelines where a loss is highly probable.</w:t>
      </w:r>
    </w:p>
    <w:p>
      <w:pPr>
        <w:spacing w:after="0" w:line="225" w:lineRule="exact"/>
        <w:rPr>
          <w:rFonts w:ascii="Times New Roman" w:cs="Times New Roman" w:eastAsia="Times New Roman" w:hAnsi="Times New Roman"/>
          <w:sz w:val="18"/>
          <w:szCs w:val="18"/>
          <w:color w:val="auto"/>
        </w:rPr>
      </w:pPr>
    </w:p>
    <w:p>
      <w:pPr>
        <w:ind w:left="38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 </w:t>
      </w:r>
      <w:r>
        <w:rPr>
          <w:rFonts w:ascii="Times New Roman" w:cs="Times New Roman" w:eastAsia="Times New Roman" w:hAnsi="Times New Roman"/>
          <w:sz w:val="18"/>
          <w:szCs w:val="18"/>
          <w:color w:val="auto"/>
        </w:rPr>
        <w:t>This grade includes “Loss” loans in accordance with regulatory guidelines for which total loss is expected and when identified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and Account Management Policy, loans that are current or less than 90 days past due are graded “Pass” and risk rated “4” or “5” internally. Loans that are past due more than 90 days are classified “Substandard” and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 (both owner occupied and non-owner occupied), commercial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risk rated loan balances and total current period gross charge-offs by category, as of the dates indicated. Term loans that were renewed or extended for periods longer than 90 days are presented as new originations in the year of the most recent renewal or extension.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w w:val="97"/>
              </w:rPr>
              <w:t>June 30, 2025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16,960</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4,797</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32,536</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34,732</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12,788</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46,730</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148,543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23,987</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17,109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4,797</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32,536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43,941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25,314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56,553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180,250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16,244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48,486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35,577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53,837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164,950</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6,613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2,441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8,365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19,343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49,858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35,577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56,395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171,979</w:t>
            </w:r>
          </w:p>
        </w:tc>
        <w:tc>
          <w:tcPr>
            <w:tcW w:w="0" w:type="dxa"/>
            <w:vAlign w:val="bottom"/>
          </w:tcPr>
          <w:p>
            <w:pPr>
              <w:spacing w:after="0"/>
              <w:rPr>
                <w:sz w:val="1"/>
                <w:szCs w:val="1"/>
                <w:color w:val="auto"/>
              </w:rPr>
            </w:pPr>
          </w:p>
        </w:tc>
      </w:tr>
      <w:tr>
        <w:trPr>
          <w:trHeight w:val="119"/>
        </w:trPr>
        <w:tc>
          <w:tcPr>
            <w:tcW w:w="22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70,939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43,686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291,640</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9,083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9,083</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and speculative</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70,939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131,323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43,686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32,222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12,155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10,313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300,723</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23,624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7,060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20,094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88,115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103,560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263,185</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23,624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20,732</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7,060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20,094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88,115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103,560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263,185</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114,113</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165,217</w:t>
            </w:r>
          </w:p>
        </w:tc>
        <w:tc>
          <w:tcPr>
            <w:tcW w:w="3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102,625</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146,115</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161,161</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216,593</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10,313</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916,137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w w:val="97"/>
              </w:rPr>
              <w:t>June 30,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60,494</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62,134</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111,733</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161,756</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101,329</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138,052</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635,498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2,981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4,383</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60,494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62,134</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112,415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162,476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101,329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141,033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639,881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13,078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85,362</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13,078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1,377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7,113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59,115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85,613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18,701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31,725</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54,024</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18,701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31,725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2,228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54,024</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92,273</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96,532</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116,595</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164,151</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102,706</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148,146</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59,115</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779,518</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9"/>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55,257</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82,203</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114,599</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149,039</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65,997</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59,915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527,010</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3,365</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55,274</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82,931</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115,423</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149,960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66,403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60,384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530,375</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3,135</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10,407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18,442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72,198</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marine</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5,617</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11,599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18,530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18,799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72,765</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2,394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3,151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61,005</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94,740</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125,886</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168,703</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74,239</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79,324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2,394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606,291</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697</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2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1,038</w:t>
            </w:r>
          </w:p>
        </w:tc>
        <w:tc>
          <w:tcPr>
            <w:tcW w:w="2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373</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422</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3,277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w w:val="97"/>
              </w:rPr>
              <w:t>June 30,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9"/>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9"/>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920" w:type="dxa"/>
            <w:vAlign w:val="bottom"/>
            <w:tcBorders>
              <w:bottom w:val="single" w:sz="8" w:color="auto"/>
            </w:tcBorders>
            <w:gridSpan w:val="3"/>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25,720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57,730</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21,350</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16,522</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14,317</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12,434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127,178</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747</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275,998</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10,673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2,671</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5,221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C&amp;I</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25,912</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57,730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26,429</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16,522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17,201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16,848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133,100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294,563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13,901</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left w:val="single" w:sz="8" w:color="CCEEFF"/>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4,051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4,051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17,952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17,952</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25,912</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57,730</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26,429</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16,522</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17,201</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16,848</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151,052</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821</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312,515</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20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4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292,945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413,491</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361,851</w:t>
            </w:r>
          </w:p>
        </w:tc>
        <w:tc>
          <w:tcPr>
            <w:tcW w:w="2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474,072</w:t>
            </w:r>
          </w:p>
        </w:tc>
        <w:tc>
          <w:tcPr>
            <w:tcW w:w="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339,395</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440,300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212,646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2,535,447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35,076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19,009</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10,838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8,309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24,929</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2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293,303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414,219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371,535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right w:val="single" w:sz="8" w:color="CCEEFF"/>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495,491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355,307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460,911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222,874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2,614,461</w:t>
            </w:r>
          </w:p>
        </w:tc>
        <w:tc>
          <w:tcPr>
            <w:tcW w:w="0" w:type="dxa"/>
            <w:vAlign w:val="bottom"/>
          </w:tcPr>
          <w:p>
            <w:pPr>
              <w:spacing w:after="0"/>
              <w:rPr>
                <w:sz w:val="1"/>
                <w:szCs w:val="1"/>
                <w:color w:val="auto"/>
              </w:rPr>
            </w:pPr>
          </w:p>
        </w:tc>
      </w:tr>
      <w:tr>
        <w:trPr>
          <w:trHeight w:val="129"/>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Total gross charge-offs</w:t>
            </w:r>
          </w:p>
        </w:tc>
        <w:tc>
          <w:tcPr>
            <w:tcW w:w="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674</w:t>
            </w:r>
          </w:p>
        </w:tc>
        <w:tc>
          <w:tcPr>
            <w:tcW w:w="80" w:type="dxa"/>
            <w:vAlign w:val="bottom"/>
          </w:tcPr>
          <w:p>
            <w:pPr>
              <w:spacing w:after="0"/>
              <w:rPr>
                <w:sz w:val="11"/>
                <w:szCs w:val="11"/>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3,710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80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31,943</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35,248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28,970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22,926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140,078</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26,308</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31,943</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44,548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28,307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30,595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29,665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170,396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48,829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36,221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14,682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43,216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167,803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7,118</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8,364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19,626</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50,218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36,221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14,682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45,810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174,921</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Commercial and speculative</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129,201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275,819</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106"/>
        </w:trPr>
        <w:tc>
          <w:tcPr>
            <w:tcW w:w="22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commercial and speculative</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129,201</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33,789</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29,851</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280,798</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20,662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89,733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59,886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47,813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20,662</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7,030</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20,098</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89,733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59,886</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47,813</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162,886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135,840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148,653</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184,112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105,163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123,668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871,337</w:t>
            </w:r>
          </w:p>
        </w:tc>
        <w:tc>
          <w:tcPr>
            <w:tcW w:w="0" w:type="dxa"/>
            <w:vAlign w:val="bottom"/>
          </w:tcPr>
          <w:p>
            <w:pPr>
              <w:spacing w:after="0"/>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tcPr>
          <w:p>
            <w:pPr>
              <w:jc w:val="center"/>
              <w:ind w:right="128"/>
              <w:spacing w:after="0" w:line="15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80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77,602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110,505</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174,355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109,006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66,426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614,547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77,602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110,505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175,090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109,006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68,466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617,322</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56,430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74,886</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6,501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2,379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1,538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5,930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1,645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56,677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75,147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38,741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38,741</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9,771</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1,390</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122,844</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122,655</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176,806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110,544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82,583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70,111</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56,677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742,371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1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2"/>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98,516</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130,254</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167,896</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74,577</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28,045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40,981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540,269</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403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712</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98,615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130,657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168,608</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74,677</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28,151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41,238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541,946</w:t>
            </w: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w w:val="95"/>
              </w:rPr>
              <w:t>381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1,627</w:t>
            </w:r>
          </w:p>
        </w:tc>
        <w:tc>
          <w:tcPr>
            <w:tcW w:w="18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5,253</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13,322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20,449</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74,642</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marine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13,322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20,449</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8,521</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10,189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74,931</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5"/>
              </w:rPr>
              <w:t>128</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95"/>
              </w:rPr>
              <w:t>310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334</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310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5"/>
              </w:rPr>
              <w:t>334</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112,247</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142,136</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189,391</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83,257</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51,553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620,181</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382</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1,531</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1,761</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728</w:t>
            </w:r>
          </w:p>
        </w:tc>
        <w:tc>
          <w:tcPr>
            <w:tcW w:w="3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805</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11"/>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65,491</w:t>
            </w:r>
          </w:p>
        </w:tc>
        <w:tc>
          <w:tcPr>
            <w:tcW w:w="340" w:type="dxa"/>
            <w:vAlign w:val="bottom"/>
            <w:gridSpan w:val="3"/>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20,084</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20,091</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16,468</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8,791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120,899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258,561</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11,691</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9,288</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C&amp;I</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65,491</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27,444</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20,091</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19,976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9,189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10,643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133,578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287,014</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12,918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12,918</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65,491</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27,444</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20,091</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19,976</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10,643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146,496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299,932</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2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463,369</w:t>
            </w:r>
          </w:p>
        </w:tc>
        <w:tc>
          <w:tcPr>
            <w:tcW w:w="34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417,177</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517,826</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381,624</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231,294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242,296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201,061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2,456,079</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45,117</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9,726</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6,426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3,092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5,781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22,899</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463,468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428,075</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534,941</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397,889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236,185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255,975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215,856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2,533,821</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Total gross charge-offs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7,135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loans on nonaccrual status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June 30, 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1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40" w:type="dxa"/>
            <w:vAlign w:val="bottom"/>
            <w:gridSpan w:val="2"/>
          </w:tcPr>
          <w:p>
            <w:pPr>
              <w:jc w:val="center"/>
              <w:ind w:right="48"/>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r>
      <w:tr>
        <w:trPr>
          <w:trHeight w:val="142"/>
        </w:trPr>
        <w:tc>
          <w:tcPr>
            <w:tcW w:w="39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80" w:type="dxa"/>
            <w:vAlign w:val="bottom"/>
            <w:shd w:val="clear" w:color="auto" w:fill="CCEEFF"/>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34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and speculative construction and development</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9,083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9,083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r>
      <w:tr>
        <w:trPr>
          <w:trHeight w:val="142"/>
        </w:trPr>
        <w:tc>
          <w:tcPr>
            <w:tcW w:w="39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9,083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11,129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r>
      <w:tr>
        <w:trPr>
          <w:trHeight w:val="142"/>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62"/>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r>
      <w:tr>
        <w:trPr>
          <w:trHeight w:val="168"/>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r>
      <w:tr>
        <w:trPr>
          <w:trHeight w:val="135"/>
        </w:trPr>
        <w:tc>
          <w:tcPr>
            <w:tcW w:w="3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2,060</w:t>
            </w: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2,060</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425</w:t>
            </w:r>
          </w:p>
        </w:tc>
      </w:tr>
      <w:tr>
        <w:trPr>
          <w:trHeight w:val="142"/>
        </w:trPr>
        <w:tc>
          <w:tcPr>
            <w:tcW w:w="3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r>
      <w:tr>
        <w:trPr>
          <w:trHeight w:val="149"/>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r>
      <w:tr>
        <w:trPr>
          <w:trHeight w:val="142"/>
        </w:trPr>
        <w:tc>
          <w:tcPr>
            <w:tcW w:w="3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3,945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1,980</w:t>
            </w:r>
          </w:p>
        </w:tc>
      </w:tr>
      <w:tr>
        <w:trPr>
          <w:trHeight w:val="142"/>
        </w:trPr>
        <w:tc>
          <w:tcPr>
            <w:tcW w:w="3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9"/>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3,446</w:t>
            </w:r>
          </w:p>
        </w:tc>
      </w:tr>
      <w:tr>
        <w:trPr>
          <w:trHeight w:val="182"/>
        </w:trPr>
        <w:tc>
          <w:tcPr>
            <w:tcW w:w="3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5,803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13,193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18,996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5,682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7,919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13,601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on a cash basis for nonaccrual loans of $140,000 and $92,000 during the three months ended June 30, 2025 and 2024, and $245,000 and $203,000 during the six months ended June 30,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by class of loans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color w:val="auto"/>
              </w:rPr>
              <w:t>June 30, 2025</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2,046</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260" w:type="dxa"/>
            <w:vAlign w:val="bottom"/>
            <w:gridSpan w:val="2"/>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0" w:type="dxa"/>
            <w:vAlign w:val="bottom"/>
          </w:tcPr>
          <w:p>
            <w:pPr>
              <w:spacing w:after="0"/>
              <w:rPr>
                <w:sz w:val="1"/>
                <w:szCs w:val="1"/>
                <w:color w:val="auto"/>
              </w:rPr>
            </w:pPr>
          </w:p>
        </w:tc>
      </w:tr>
      <w:tr>
        <w:trPr>
          <w:trHeight w:val="126"/>
        </w:trPr>
        <w:tc>
          <w:tcPr>
            <w:tcW w:w="3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Commercial and speculative construction and</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9,083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4,979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158"/>
        </w:trPr>
        <w:tc>
          <w:tcPr>
            <w:tcW w:w="3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development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11,129</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11,129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2,060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2,060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3,932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3,932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11,129</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2,060</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5,794</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18,983</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7,750</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13,587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serviced for others are not included on the Consolidated Balance Sheets. The unpaid principal balance of residential mortgage loans serviced for others was $1.63 billion at both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MSRs activity at or for the dates indicated:</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At or For the Three Months Ended</w:t>
            </w: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June 30,</w:t>
            </w:r>
          </w:p>
        </w:tc>
        <w:tc>
          <w:tcPr>
            <w:tcW w:w="120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MSRs amortized</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8,652</w:t>
            </w: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394"/>
        </w:trPr>
        <w:tc>
          <w:tcPr>
            <w:tcW w:w="8000" w:type="dxa"/>
            <w:vAlign w:val="bottom"/>
          </w:tcPr>
          <w:p>
            <w:pPr>
              <w:spacing w:after="0"/>
              <w:rPr>
                <w:sz w:val="24"/>
                <w:szCs w:val="24"/>
                <w:color w:val="auto"/>
              </w:rPr>
            </w:pPr>
          </w:p>
        </w:tc>
        <w:tc>
          <w:tcPr>
            <w:tcW w:w="32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At or For the Six Months Ended</w:t>
            </w: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June 30,</w:t>
            </w:r>
          </w:p>
        </w:tc>
        <w:tc>
          <w:tcPr>
            <w:tcW w:w="120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MSRs amortized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MSRs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8,652</w:t>
            </w: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9,352</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MSRs’ assets was $20.5 million and $21.0 million at June 30, 2025 and December 31, 2024,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valuation assumptions used in determining the fair value of MSRs at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At 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Key assumptions:</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9.6%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prepayment rate (“CPR”)</w:t>
            </w:r>
          </w:p>
        </w:tc>
        <w:tc>
          <w:tcPr>
            <w:tcW w:w="1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7.6</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Key economic assumptions of the current fair value for single family MSRs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portfolio principal balance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1,630,975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1,632,141</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of loans in MSRs portfolio</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95"/>
        </w:trPr>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Adverse Rate</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w:t>
            </w:r>
          </w:p>
        </w:tc>
        <w:tc>
          <w:tcPr>
            <w:tcW w:w="260" w:type="dxa"/>
            <w:vAlign w:val="bottom"/>
          </w:tcPr>
          <w:p>
            <w:pPr>
              <w:spacing w:after="0"/>
              <w:rPr>
                <w:sz w:val="20"/>
                <w:szCs w:val="20"/>
                <w:color w:val="auto"/>
              </w:rPr>
            </w:pPr>
          </w:p>
        </w:tc>
        <w:tc>
          <w:tcPr>
            <w:tcW w:w="1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19,032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17,552</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20,022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19,598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Adverse Rate</w:t>
            </w:r>
          </w:p>
        </w:tc>
      </w:tr>
      <w:tr>
        <w:trPr>
          <w:trHeight w:val="234"/>
        </w:trPr>
        <w:tc>
          <w:tcPr>
            <w:tcW w:w="6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21,043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20,127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19,067</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21,043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20,587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20,149</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tables above demonstrate the Company’s methodology for estimating the fair value of MSRs which is extremely sensitive to changes in key assumptions. For example, actual prepayment experience may differ and any difference may have a material effect on the fair value of MSRs. Changes 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MSRs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MSRs is limited by the conditions existing and assumptions made at a particular point in time. Those assumptions may not be appropriate if they are applied to a different time.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$1.1 million of gross contractually specified servicing fees, late fees, and other ancillary fees resulting from servicing of loans for both the three months ended June 30, 2025 and 2024, and $2.2 million and $2.5 million for the six months ended June 30, 2025 and 2024, respectively. The income, net of amortization of MSRs, is reported in “Service charges and fee income” on the Consolidated Statements of Income.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 Not Designated as Hedges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Swaps Not Designated as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swaps to reduce the exposure to variability in interest-related cash outflows attributable to changes in forecasted Secured Overnight Financing Rate (“SOFR”) based brokered deposits. These derivative instruments are designated as cash flow hedges. The hedged item is the SOFR portion of the series of future adjustable-rate borrowings and deposits over the term of the interest rate swap. Accordingly, changes to the amount of interest payment cash flows for the hedged transactions attributable to a change in credit risk are excluded from management’s assessment of hedge effectiveness. The Company tests for hedging effectiveness on a quarterly basis. The accumulated other comprehensive income is subsequently reclassified into earnings in the period that the hedged forecasted transaction effects earnings. The Company has not recorded any hedge ineffectiveness since inception.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approximately $563,000 will be reclassified from accumulated other comprehensive loss as a decrease to interest expense over the next 12 months related to these cash flow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recorded on the balance sheet related to cumulative-basis adjustment for fair value hedges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Cumulative Amount of Fair</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Value Hedging Adjustment</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Included in the Carrying</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 Amount of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Amount of the Hedged</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 is included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Hedged Assets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Assets</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5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2,359</w:t>
            </w:r>
          </w:p>
        </w:tc>
      </w:tr>
      <w:tr>
        <w:trPr>
          <w:trHeight w:val="197"/>
        </w:trPr>
        <w:tc>
          <w:tcPr>
            <w:tcW w:w="6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amortized cost basis of closed portfolios used in designated hedging relationships in which the hedged item is the last layer expected to be remaining at the end of the hedging relationship. At June 30, 2025, the amortized cost basis of the closed portfolios used in these hedging relationships was $185.0 million; the cumulative basis adjustments associated with these hedging relationships was $2.4 million; and the amount of the designated hedged items was $60.0 million. At December 31, 2024, the amortized cost basis of the closed portfolios used in these hedging relationships was $189.0 million; the cumulative basis adjustment associated with these hedging relationships was $4.3 million; and the amount of the designated hedged items was $60.0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derivative instruments at the dates indicated. The Company recognizes derivative assets and liabilities in “Other assets” and “Other liabilities,” respectively, on the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fair value and cash flow hedge accounting on the Consolidated Statements of Income for the three and six months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Deposits and</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Deposits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amounts presented on the Consolidated Statements of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16,105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gains (losses) on fair value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Recognized on derivatives designated as hedging instruments</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recognized on cash flows of derivatives designated as</w:t>
            </w:r>
          </w:p>
        </w:tc>
        <w:tc>
          <w:tcPr>
            <w:tcW w:w="80" w:type="dxa"/>
            <w:vAlign w:val="bottom"/>
          </w:tcPr>
          <w:p>
            <w:pPr>
              <w:spacing w:after="0"/>
              <w:rPr>
                <w:sz w:val="17"/>
                <w:szCs w:val="17"/>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fair value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 on cash flow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brokered deposits and borrowings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Realized gains (pre-tax) reclassified from accumulated other comprehensive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into net income</w:t>
            </w:r>
          </w:p>
        </w:tc>
        <w:tc>
          <w:tcPr>
            <w:tcW w:w="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cash flow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9"/>
        </w:trPr>
        <w:tc>
          <w:tcPr>
            <w:tcW w:w="598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Expense</w:t>
            </w: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Expense</w:t>
            </w: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Deposits and</w:t>
            </w: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Deposits and</w:t>
            </w: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Borrowings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Borrowings</w:t>
            </w: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amounts presented on the Consolidated Statements of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gains (losses) on fair value hedging relationships: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Recognized on derivatives designated as hedging instruments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recognized on cash flows of derivatives designated as</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fair value hedges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gain on cash flow hedging relationships: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brokered deposits and borrowings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Realized gains (pre-tax) reclassified from accumulated other comprehensive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into 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cash flow hedges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non-hedging derivatives recognized in “Noninterest income” on the Consolidated Statements of Income and included in gain on sale of loans resulted in net gains of $197,000 and $19,000 for the three months ended June 30, 2025 and 2024, and net gains of $269,000 and $201,000 for the six months ended June 30, 2025 and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to the amount of the related asset or liability for each counterparty.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Gross Amounts</w:t>
            </w:r>
          </w:p>
        </w:tc>
        <w:tc>
          <w:tcPr>
            <w:tcW w:w="1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Net Amounts of Assets</w:t>
            </w:r>
          </w:p>
        </w:tc>
        <w:tc>
          <w:tcPr>
            <w:tcW w:w="140" w:type="dxa"/>
            <w:vAlign w:val="bottom"/>
          </w:tcPr>
          <w:p>
            <w:pPr>
              <w:spacing w:after="0"/>
              <w:rPr>
                <w:sz w:val="13"/>
                <w:szCs w:val="13"/>
                <w:color w:val="auto"/>
              </w:rPr>
            </w:pPr>
          </w:p>
        </w:tc>
        <w:tc>
          <w:tcPr>
            <w:tcW w:w="2640" w:type="dxa"/>
            <w:vAlign w:val="bottom"/>
            <w:gridSpan w:val="6"/>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Gross Amounts</w:t>
            </w:r>
          </w:p>
        </w:tc>
        <w:tc>
          <w:tcPr>
            <w:tcW w:w="10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Offset in the</w:t>
            </w:r>
          </w:p>
        </w:tc>
        <w:tc>
          <w:tcPr>
            <w:tcW w:w="8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Presented in the</w:t>
            </w: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assets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00" w:type="dxa"/>
            <w:vAlign w:val="bottom"/>
          </w:tcPr>
          <w:p>
            <w:pPr>
              <w:spacing w:after="0"/>
              <w:rPr>
                <w:sz w:val="10"/>
                <w:szCs w:val="10"/>
                <w:color w:val="auto"/>
              </w:rPr>
            </w:pPr>
          </w:p>
        </w:tc>
        <w:tc>
          <w:tcPr>
            <w:tcW w:w="1280" w:type="dxa"/>
            <w:vAlign w:val="bottom"/>
            <w:gridSpan w:val="4"/>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Balance Sheets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Received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June 30, 2025</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2,843</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7,844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6,566</w:t>
            </w:r>
          </w:p>
        </w:tc>
        <w:tc>
          <w:tcPr>
            <w:tcW w:w="0" w:type="dxa"/>
            <w:vAlign w:val="bottom"/>
          </w:tcPr>
          <w:p>
            <w:pPr>
              <w:spacing w:after="0"/>
              <w:rPr>
                <w:sz w:val="1"/>
                <w:szCs w:val="1"/>
                <w:color w:val="auto"/>
              </w:rPr>
            </w:pPr>
          </w:p>
        </w:tc>
      </w:tr>
      <w:tr>
        <w:trPr>
          <w:trHeight w:val="342"/>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Gross Amounts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Amounts of</w:t>
            </w:r>
          </w:p>
        </w:tc>
        <w:tc>
          <w:tcPr>
            <w:tcW w:w="140" w:type="dxa"/>
            <w:vAlign w:val="bottom"/>
          </w:tcPr>
          <w:p>
            <w:pPr>
              <w:spacing w:after="0"/>
              <w:rPr>
                <w:sz w:val="24"/>
                <w:szCs w:val="24"/>
                <w:color w:val="auto"/>
              </w:rPr>
            </w:pPr>
          </w:p>
        </w:tc>
        <w:tc>
          <w:tcPr>
            <w:tcW w:w="2640" w:type="dxa"/>
            <w:vAlign w:val="bottom"/>
            <w:gridSpan w:val="6"/>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Gross Amounts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Offset in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Pr>
          <w:p>
            <w:pPr>
              <w:spacing w:after="0"/>
              <w:rPr>
                <w:sz w:val="12"/>
                <w:szCs w:val="12"/>
                <w:color w:val="auto"/>
              </w:rPr>
            </w:pPr>
          </w:p>
        </w:tc>
        <w:tc>
          <w:tcPr>
            <w:tcW w:w="3720" w:type="dxa"/>
            <w:vAlign w:val="bottom"/>
            <w:gridSpan w:val="7"/>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Presented in</w:t>
            </w: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liabilities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color w:val="auto"/>
              </w:rPr>
              <w:t>the 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Balance Sheets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Posted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June 30, 2025</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Contingent Features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derivative contracts with its derivative counterparties that contain a provision to post collateral to the counterparties when these contracts are in a net liability position. At June 30, 2025, the Company had no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retail bank and home lending branches, loan production offices, and certain equipment. At June 30, 2025, these leases have remaining terms ranging from one month to ten years, with some including options to extend for up to five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lease cost (included in occupancy expense on the Consolidated Statements of Income) for the three and six months ended June 30, 2025 and 2024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394"/>
        </w:trPr>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operating leases at or for the three and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 or For the Three months Ended June 30,</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505</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432"/>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 or For the Six Months Ended June 30,</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leases typically do not contain a discount rate implicit in the lease contract. As an alternative, the discount rate used in determining the lease liability for each individual lease was the FHLB of Des Moines’ fixed advance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at June 30, 2025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21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9,331</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50"/>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8,138</w:t>
            </w:r>
          </w:p>
        </w:tc>
      </w:tr>
      <w:tr>
        <w:trPr>
          <w:trHeight w:val="629"/>
        </w:trPr>
        <w:tc>
          <w:tcPr>
            <w:tcW w:w="3600" w:type="dxa"/>
            <w:vAlign w:val="bottom"/>
            <w:tcBorders>
              <w:top w:val="single" w:sz="8" w:color="CCEEFF"/>
            </w:tcBorders>
          </w:tcPr>
          <w:p>
            <w:pPr>
              <w:spacing w:after="0"/>
              <w:rPr>
                <w:sz w:val="24"/>
                <w:szCs w:val="24"/>
                <w:color w:val="auto"/>
              </w:rPr>
            </w:pPr>
          </w:p>
        </w:tc>
        <w:tc>
          <w:tcPr>
            <w:tcW w:w="608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DEPOSITS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643,573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627,679</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154,188</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341,615</w:t>
            </w: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less than $100,000 </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440,257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455,594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greater than $250,000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133,045</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Escrow accounts related to mortgages serviced </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10,479</w:t>
            </w: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 million of brokered deposits at June 30, 2025 and none at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$251,000 and $279,000 of brokered deposits at June 30,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$280.8 million and $143.1 million of brokered deposits at June 30,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time deposits at June 30, 2025 for future periods ending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756,492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Maturing in 2026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368,705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Maturing in 2028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2029 and thereafter</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5,718</w:t>
            </w:r>
          </w:p>
        </w:tc>
        <w:tc>
          <w:tcPr>
            <w:tcW w:w="0" w:type="dxa"/>
            <w:vAlign w:val="bottom"/>
          </w:tcPr>
          <w:p>
            <w:pPr>
              <w:spacing w:after="0"/>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1,177,646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by deposit category for the periods indicated is as follows: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60" w:type="dxa"/>
            <w:vAlign w:val="bottom"/>
          </w:tcPr>
          <w:p>
            <w:pPr>
              <w:spacing w:after="0"/>
              <w:rPr>
                <w:sz w:val="24"/>
                <w:szCs w:val="24"/>
                <w:color w:val="auto"/>
              </w:rPr>
            </w:pPr>
          </w:p>
        </w:tc>
        <w:tc>
          <w:tcPr>
            <w:tcW w:w="238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21,183</w:t>
            </w: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14,520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 The Company is party to financial instruments with off-balance sheet risk in the normal course of business to meet the financing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customers. These financial instruments include commitments to extend credit. These instruments involve, to varying degrees, elements of credit risk in excess of the amount recognized on the Consolidated Balance Sheets.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commitments at the dates indicated: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TO EXTEND CREDIT</w:t>
            </w:r>
          </w:p>
        </w:tc>
        <w:tc>
          <w:tcPr>
            <w:tcW w:w="26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135,006</w:t>
            </w:r>
          </w:p>
        </w:tc>
      </w:tr>
      <w:tr>
        <w:trPr>
          <w:trHeight w:val="216"/>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5,876</w:t>
            </w:r>
          </w:p>
        </w:tc>
      </w:tr>
      <w:tr>
        <w:trPr>
          <w:trHeight w:val="210"/>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178,494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142,014</w:t>
            </w: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One-to-four-family (excludes loans held for sale)</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23,138</w:t>
            </w:r>
          </w:p>
        </w:tc>
      </w:tr>
      <w:tr>
        <w:trPr>
          <w:trHeight w:val="216"/>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97,358</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39,125</w:t>
            </w:r>
          </w:p>
        </w:tc>
      </w:tr>
      <w:tr>
        <w:trPr>
          <w:trHeight w:val="209"/>
        </w:trPr>
        <w:tc>
          <w:tcPr>
            <w:tcW w:w="8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159,621</w:t>
            </w: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29,169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28,566</w:t>
            </w: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174,292</w:t>
            </w:r>
          </w:p>
        </w:tc>
      </w:tr>
      <w:tr>
        <w:trPr>
          <w:trHeight w:val="216"/>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53,978</w:t>
            </w:r>
          </w:p>
        </w:tc>
      </w:tr>
      <w:tr>
        <w:trPr>
          <w:trHeight w:val="210"/>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209,102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228,270</w:t>
            </w:r>
          </w:p>
        </w:tc>
      </w:tr>
      <w:tr>
        <w:trPr>
          <w:trHeight w:val="249"/>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commitments to extend credit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558,471</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may include accounts receivable, inventory, property and equipment, residential real estate, and income-producing commercial properties.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June 30, 2025 and December 31, 2024 was $1.6 million and $1.4 million, respectively. The Company recorded a provision for credit losses – unfunded loan commitments of $151,000 and $217,000 for the three and six months ended June 30, 2025, respectively, as compared to $77,000 and $54,000 for the three and six months ended June 30, 2024,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portion of the one-to-four-family commitments included in the table above are accounted for as fair value derivatives and do not carry an associated reserve. The Company's derivative positions are presented with the discussion in “Note 5 – Derivatives.”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June 30, 2025, total loans serviced on behalf of the FHLB of Des Moines were $8.5 million with the FLA totaling $581,000 and the CE obligation at $389,000 or 4.6% of the loans outstanding. Management has established a holdback of 10% of the outstanding CE, or $39,000, which is a part of the off-balance sheet holdback for loans sold. At both June 30, 2025 and December 31, 2024, there were no loans sold and serviced on behalf of the FHLB of Des Moines that were greater than 90 days past their contractual payment due date.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liabilities for loans held for sale </w:t>
      </w:r>
      <w:r>
        <w:rPr>
          <w:rFonts w:ascii="Times New Roman" w:cs="Times New Roman" w:eastAsia="Times New Roman" w:hAnsi="Times New Roman"/>
          <w:sz w:val="18"/>
          <w:szCs w:val="18"/>
          <w:color w:val="auto"/>
        </w:rPr>
        <w:t>– In the ordinary course of business, loans are sold with limited recourse against the Company and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$1.8 million and $2.0 million to cover loss exposure related to these guarantees for one-to-four-family loans sold into the secondary market at June 30, 2025 and December 31, 2024, respectively, which is included in “Other liabilities” on the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its executives and select key personnel.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June 30,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fair value based on the requirements established in Accounting Standards Codification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which provides a framework for measuring fair value in accordance with U.S. GAAP and requires an entity to maximize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observable inputs and minimize the use of unobservable inputs when measuring fair value.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describe the levels of inputs that may be used to measure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Inputs to the valuation methodology are quoted prices (unadjusted) for identical assets or liabilities in active markets.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and liabilities in active markets, and inputs that are observable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 or liability, either directly or indirectly, for substantially the full term of the financial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certain assets and liabilities on a recurring and nonrecurring basis: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The fair value of securities available-for-sale are recorded on a recurring basis. The fair value of investments and mortgage-backed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Loans Held for Sale </w:t>
      </w:r>
      <w:r>
        <w:rPr>
          <w:rFonts w:ascii="Times New Roman" w:cs="Times New Roman" w:eastAsia="Times New Roman" w:hAnsi="Times New Roman"/>
          <w:sz w:val="18"/>
          <w:szCs w:val="18"/>
          <w:color w:val="auto"/>
        </w:rPr>
        <w:t>– The fair value of loans held for sale reflects the value of commitments with investors and/or the relative price as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TBA mortgage-backed security (Level 2).</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color w:val="auto"/>
        </w:rPr>
        <w:t>– Certain residential mortgage loans were initially originated for sale with the fair value option elected; after origination, these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transferred to loans held for investment. As of June 30, 2025 and December 31, 2024, there were $13.2 million and $12.7 million, respectively, in residential mortgage loans recorded at fair value as they were previously transferred from held for sale, at fair value to loans held for investment. The aggregate unpaid principal balance of these loans was $14.1 million and $13.8 million as of June 30, 2025 and December 31, 2024, respectively. Gains and losses from changes in fair value for these loans are reported in earnings as a component of “Other noninterest income” on the Consolidated Statements of Income. For the three months ended June 30, 2025, the Company recorded a net increase in fair value of $3,000, as compared to a net increase in fair value of $184,000, for the three months ended June 30, 2024. For the six months ended June 30, 2025 and 2024, the Company recorded a net increase in fair value of $266,000 and $186,000, respectively. For loans originated as held for sale and transferred into loans held for investment, the fair value is determined based on quoted secondary market prices for similar loans (Level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 Fair values for derivative assets and liabilities are measured on a recurring basis. The primary use of derivative instruments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Collateral-Dependent Loans</w:t>
      </w:r>
      <w:r>
        <w:rPr>
          <w:rFonts w:ascii="Times New Roman" w:cs="Times New Roman" w:eastAsia="Times New Roman" w:hAnsi="Times New Roman"/>
          <w:sz w:val="18"/>
          <w:szCs w:val="18"/>
          <w:color w:val="auto"/>
        </w:rPr>
        <w:t>– Expected credit losses on collateral dependent loans are measured based on the fair value of collateral as 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is limited to the amount previously charged off. Subsequent changes in expected credit losses on collateral-dependent loans are included within the provision for credit losses, either as an additional provision or as a reduction of the provision that would otherwise be reported (Level 3).</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The fair value of MSRs is estimated using net present value of expected cash flows using a third-party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incorporates assumptions used in the industry to value such rights, adjusted for factors such as weighted average prepayments speeds based on historical information where appropriate (Level 3).</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At June 30,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17,695</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15,359</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68,522</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190,516</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53,630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2,614</w:t>
            </w:r>
          </w:p>
        </w:tc>
      </w:tr>
      <w:tr>
        <w:trPr>
          <w:trHeight w:val="216"/>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372,627</w:t>
            </w:r>
          </w:p>
        </w:tc>
      </w:tr>
      <w:tr>
        <w:trPr>
          <w:trHeight w:val="20"/>
        </w:trPr>
        <w:tc>
          <w:tcPr>
            <w:tcW w:w="5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50"/>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628"/>
        </w:trPr>
        <w:tc>
          <w:tcPr>
            <w:tcW w:w="51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At December 31, 2024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swaps- cash flow and fair value hedges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329,224</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329,358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9"/>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measured at fair value on a nonrecurring basis and the level within the fair value hierarchy at June 30, 2025 and December 31, 2024. Level 3 assets recorded at fair value on a nonrecurring basis included loans for which a partial charge-off was recorded based on the fair value of collateral.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77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20,464</w:t>
            </w:r>
          </w:p>
        </w:tc>
      </w:tr>
      <w:tr>
        <w:trPr>
          <w:trHeight w:val="414"/>
        </w:trPr>
        <w:tc>
          <w:tcPr>
            <w:tcW w:w="5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Quantitative Information about Level 3 Fair Value Measurements </w:t>
      </w:r>
      <w:r>
        <w:rPr>
          <w:rFonts w:ascii="Times New Roman" w:cs="Times New Roman" w:eastAsia="Times New Roman" w:hAnsi="Times New Roman"/>
          <w:sz w:val="18"/>
          <w:szCs w:val="18"/>
          <w:color w:val="auto"/>
        </w:rPr>
        <w:t>– Shown in the table below is the fair value of financial instruments measured under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 on a recurring and nonrecurring basis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340" w:type="dxa"/>
            <w:vAlign w:val="bottom"/>
          </w:tcPr>
          <w:p>
            <w:pPr>
              <w:spacing w:after="0"/>
              <w:rPr>
                <w:sz w:val="20"/>
                <w:szCs w:val="20"/>
                <w:color w:val="auto"/>
              </w:rPr>
            </w:pPr>
          </w:p>
        </w:tc>
        <w:tc>
          <w:tcPr>
            <w:tcW w:w="2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Weighted Average Rate</w:t>
            </w:r>
          </w:p>
        </w:tc>
      </w:tr>
      <w:tr>
        <w:trPr>
          <w:trHeight w:val="187"/>
        </w:trPr>
        <w:tc>
          <w:tcPr>
            <w:tcW w:w="33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920" w:type="dxa"/>
            <w:vAlign w:val="bottom"/>
          </w:tcPr>
          <w:p>
            <w:pPr>
              <w:ind w:left="660"/>
              <w:spacing w:after="0" w:line="188" w:lineRule="exact"/>
              <w:rPr>
                <w:sz w:val="20"/>
                <w:szCs w:val="20"/>
                <w:color w:val="auto"/>
              </w:rPr>
            </w:pPr>
            <w:r>
              <w:rPr>
                <w:rFonts w:ascii="Times New Roman" w:cs="Times New Roman" w:eastAsia="Times New Roman" w:hAnsi="Times New Roman"/>
                <w:sz w:val="18"/>
                <w:szCs w:val="18"/>
                <w:color w:val="auto"/>
              </w:rPr>
              <w:t>Valuation</w:t>
            </w:r>
          </w:p>
        </w:tc>
        <w:tc>
          <w:tcPr>
            <w:tcW w:w="1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Unobservable</w:t>
            </w:r>
          </w:p>
        </w:tc>
        <w:tc>
          <w:tcPr>
            <w:tcW w:w="1340" w:type="dxa"/>
            <w:vAlign w:val="bottom"/>
          </w:tcPr>
          <w:p>
            <w:pPr>
              <w:spacing w:after="0"/>
              <w:rPr>
                <w:sz w:val="16"/>
                <w:szCs w:val="16"/>
                <w:color w:val="auto"/>
              </w:rPr>
            </w:pPr>
          </w:p>
        </w:tc>
        <w:tc>
          <w:tcPr>
            <w:tcW w:w="134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Techniques</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Range</w:t>
            </w: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r>
      <w:tr>
        <w:trPr>
          <w:trHeight w:val="210"/>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19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920" w:type="dxa"/>
            <w:vAlign w:val="bottom"/>
          </w:tcPr>
          <w:p>
            <w:pPr>
              <w:spacing w:after="0"/>
              <w:rPr>
                <w:sz w:val="16"/>
                <w:szCs w:val="16"/>
                <w:color w:val="auto"/>
              </w:rPr>
            </w:pPr>
          </w:p>
        </w:tc>
        <w:tc>
          <w:tcPr>
            <w:tcW w:w="1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NONRECURRING</w:t>
            </w:r>
          </w:p>
        </w:tc>
        <w:tc>
          <w:tcPr>
            <w:tcW w:w="1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3360" w:type="dxa"/>
            <w:vAlign w:val="bottom"/>
            <w:shd w:val="clear" w:color="auto" w:fill="CCEEFF"/>
          </w:tcPr>
          <w:p>
            <w:pPr>
              <w:spacing w:after="0"/>
              <w:rPr>
                <w:sz w:val="16"/>
                <w:szCs w:val="16"/>
                <w:color w:val="auto"/>
              </w:rPr>
            </w:pPr>
          </w:p>
        </w:tc>
        <w:tc>
          <w:tcPr>
            <w:tcW w:w="1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Fair value of underlying</w:t>
            </w:r>
          </w:p>
        </w:tc>
        <w:tc>
          <w:tcPr>
            <w:tcW w:w="19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Discount applied to the</w:t>
            </w: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obtained appraisal</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Industry sources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 speeds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pull-through rate is based on historical loan closing rates for similar interest rate lock commitments. An increase or decrease in the pull-through rate would have a corresponding positive or negative fair value adjustment.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assets and liabilities measured at fair value using significant unobservable inputs (Level 3) on a recurring basis during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Purchases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 change 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Sales and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6"/>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fair value for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for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Settlements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420" w:type="dxa"/>
            <w:vAlign w:val="bottom"/>
            <w:gridSpan w:val="6"/>
          </w:tcPr>
          <w:p>
            <w:pPr>
              <w:jc w:val="center"/>
              <w:ind w:right="180"/>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(2)</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Purchases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Net change 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color w:val="auto"/>
                <w:w w:val="99"/>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Sales and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fair value for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9"/>
              </w:rPr>
              <w:t>fair value for</w:t>
            </w:r>
          </w:p>
        </w:tc>
        <w:tc>
          <w:tcPr>
            <w:tcW w:w="0" w:type="dxa"/>
            <w:vAlign w:val="bottom"/>
          </w:tcPr>
          <w:p>
            <w:pPr>
              <w:spacing w:after="0"/>
              <w:rPr>
                <w:sz w:val="1"/>
                <w:szCs w:val="1"/>
                <w:color w:val="auto"/>
              </w:rPr>
            </w:pPr>
          </w:p>
        </w:tc>
      </w:tr>
      <w:tr>
        <w:trPr>
          <w:trHeight w:val="2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Issuances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Settlements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gains/(losses)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9"/>
              </w:rPr>
              <w:t>gains/(losses)</w:t>
            </w: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right="192"/>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ind w:right="292"/>
              <w:spacing w:after="0"/>
              <w:rPr>
                <w:sz w:val="20"/>
                <w:szCs w:val="20"/>
                <w:color w:val="auto"/>
              </w:rPr>
            </w:pPr>
            <w:r>
              <w:rPr>
                <w:rFonts w:ascii="Times New Roman" w:cs="Times New Roman" w:eastAsia="Times New Roman" w:hAnsi="Times New Roman"/>
                <w:sz w:val="15"/>
                <w:szCs w:val="15"/>
                <w:color w:val="auto"/>
                <w:w w:val="91"/>
              </w:rPr>
              <w:t>(2)</w:t>
            </w:r>
          </w:p>
        </w:tc>
        <w:tc>
          <w:tcPr>
            <w:tcW w:w="0" w:type="dxa"/>
            <w:vAlign w:val="bottom"/>
          </w:tcPr>
          <w:p>
            <w:pPr>
              <w:spacing w:after="0"/>
              <w:rPr>
                <w:sz w:val="1"/>
                <w:szCs w:val="1"/>
                <w:color w:val="auto"/>
              </w:rPr>
            </w:pPr>
          </w:p>
        </w:tc>
      </w:tr>
      <w:tr>
        <w:trPr>
          <w:trHeight w:val="178"/>
        </w:trPr>
        <w:tc>
          <w:tcPr>
            <w:tcW w:w="3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4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income.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other comprehensive income.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on interest rate lock commitments and on forward sale commitments with investors carried at fair value are recorded in “Gain on sale of loans held for sale” on the Consolidated Statements of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estimated fair values of the Company’s financial instruments at the dates indicated, whether recognized at fair value or not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33,195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2,601,221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2,480,330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2,385,213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MSRs, held at lower of cost or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21,043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interest rate locks with customers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1,177,646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1,024,663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234,305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307,806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307,408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notes, excluding unamortized debt issuance costs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components used to compute basic and diluted earnings per share at or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or For the Three Months Ended</w:t>
            </w:r>
          </w:p>
        </w:tc>
        <w:tc>
          <w:tcPr>
            <w:tcW w:w="25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At or For the Six Months Ended</w:t>
            </w: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 (Dollars in thousands, except per share amounts):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(shown as actual):</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7,580,576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7,688,246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7,664,368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shares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117,597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108,007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113,928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114,354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7,698,173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7,796,253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7,751,886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7,778,722</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Potentially dilutive weighted average share options that were not included in the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earnings per share because to do so would be anti-</w:t>
            </w:r>
          </w:p>
        </w:tc>
        <w:tc>
          <w:tcPr>
            <w:tcW w:w="24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37,949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dilutive.</w:t>
            </w: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2018, the shareholders of FS Bancorp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June 30, 2025, there were 190,432 stock option awards and 38,372 RSAs available for future grants under the 2018 Plan.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was $526,000 and $1.0 million for the three and six months ended June 30, 2025, and $389,000 and $784,000 for the three and six months ended June 30,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2018 Plan consists of stock option awards that may be granted as incentive stock options or nonqualified stock options. Stock option awards generally vest over a one or two-year period for non-employee directors, and over a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5.75 years for two-year vesting, and 6.5 years for five-year vesting.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awards during the dates indicated (shown as actual):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In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5,187,207</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exercised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4,409,702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Expected to vest, assuming a 0.31% annual forfeiture rate at, June 30, 2025</w:t>
            </w: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528,236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31.47</w:t>
            </w:r>
          </w:p>
        </w:tc>
        <w:tc>
          <w:tcPr>
            <w:tcW w:w="15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4,363,561</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4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2,918,616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Forfeiture rate has been calculated and estimated, based on historical employment data, to assume a forfeiture of 3.1% of the options over 10 years.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there was $1.5 million of total unrecognized compensation cost related to nonvested stock options granted under the 2018 Plan. The cost is expected to be recognized over the remaining weighted-average vesting period of 1.3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RSAs’ fair value is equal to the value of the market price of FS Bancorp’s common stock on the grant date and compensation expense is recognized over the vesting period of the awards based on the fair value of the restricted stock. Shares granted under the 2018 Plan generally vest over a one- or two-year period for non-employee directors and a five-year period for employees and officers beginning on the grant date. Any nonvested RSAs will be forfeited in the event of the award recipient’s termination of service with the Company or the Bank.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awards during the dates indicated (shown as actual):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Grant-Date Fair</w:t>
            </w:r>
          </w:p>
        </w:tc>
      </w:tr>
      <w:tr>
        <w:trPr>
          <w:trHeight w:val="234"/>
        </w:trPr>
        <w:tc>
          <w:tcPr>
            <w:tcW w:w="788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color w:val="auto"/>
              </w:rPr>
              <w:t>Nonvested Shares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Value Per Share</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vested</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there was $2.5 million of total unrecognized compensation cost related to nonvested shares granted under the 2018 Plan as RSAs. The cost is expected to be recognized over the remaining weighted-average vesting period of 1.4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REGULATORY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capital adequacy guidelines of the regulatory framework for prompt corrective action,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must maintain minimum total risk-based, Tier 1 risk-based, Tier 1 leverage, and CET 1 capital ratios as set forth in the table below to be categorized as “well capitalized”. At June 30, 2025, the Bank was categorized as “well capitalized” under applicable regulatory requirements. There are no conditions or events since that notification that management believes have changed the Bank’s category. Management believes, at June 30, 2025, that the Bank met all capital adequacy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Bank’s actual capital amounts and ratios to their minimum regulatory capital requirements and well capitalized regulatory capital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7"/>
              </w:rPr>
              <w:t>To be Well Capitalized</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For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Under Prompt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For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Adequacy With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Corrective</w:t>
            </w:r>
          </w:p>
        </w:tc>
        <w:tc>
          <w:tcPr>
            <w:tcW w:w="0" w:type="dxa"/>
            <w:vAlign w:val="bottom"/>
          </w:tcPr>
          <w:p>
            <w:pPr>
              <w:spacing w:after="0"/>
              <w:rPr>
                <w:sz w:val="1"/>
                <w:szCs w:val="1"/>
                <w:color w:val="auto"/>
              </w:rPr>
            </w:pPr>
          </w:p>
        </w:tc>
      </w:tr>
      <w:tr>
        <w:trPr>
          <w:trHeight w:val="234"/>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Only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Adequacy Purposes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8"/>
              </w:rPr>
              <w:t>Capital Buffer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8"/>
              </w:rPr>
              <w:t>Action Provisions</w:t>
            </w:r>
          </w:p>
        </w:tc>
        <w:tc>
          <w:tcPr>
            <w:tcW w:w="0" w:type="dxa"/>
            <w:vAlign w:val="bottom"/>
          </w:tcPr>
          <w:p>
            <w:pPr>
              <w:spacing w:after="0"/>
              <w:rPr>
                <w:sz w:val="1"/>
                <w:szCs w:val="1"/>
                <w:color w:val="auto"/>
              </w:rPr>
            </w:pPr>
          </w:p>
        </w:tc>
      </w:tr>
      <w:tr>
        <w:trPr>
          <w:trHeight w:val="210"/>
        </w:trPr>
        <w:tc>
          <w:tcPr>
            <w:tcW w:w="2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Ratio</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218,023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272,529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163,517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231,650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average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349,058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124,895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CET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122,638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208,174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273,228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156,131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221,185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average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119,741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CET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117,098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182,152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169,141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June 30, 2025, the Bank’s capital exceeded the conservation buffer.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$3.0 billion or more in assets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A bank holding company that crosses the $3.0 billion total consolidated assets threshold as of June 30 of a particular year is no longer permitted to file reports as a small holding company beginning the following March. As the Company was under $3.0 billion in assets as of June 30, 2024, the Company was still considered a small holding company as of June 30, 2025 despite total assets exceeding $3.0 billion.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regulatory capital ratios at the dates indicated: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 December</w:t>
            </w:r>
          </w:p>
        </w:tc>
        <w:tc>
          <w:tcPr>
            <w:tcW w:w="0" w:type="dxa"/>
            <w:vAlign w:val="bottom"/>
          </w:tcPr>
          <w:p>
            <w:pPr>
              <w:spacing w:after="0"/>
              <w:rPr>
                <w:sz w:val="1"/>
                <w:szCs w:val="1"/>
                <w:color w:val="auto"/>
              </w:rPr>
            </w:pPr>
          </w:p>
        </w:tc>
      </w:tr>
      <w:tr>
        <w:trPr>
          <w:trHeight w:val="216"/>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Only</w:t>
            </w:r>
          </w:p>
        </w:tc>
        <w:tc>
          <w:tcPr>
            <w:tcW w:w="1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 June 30,</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SEGMENTS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Financial Officer (“CFO”), who is the designated chief operating decision maker, or CODM, based upon information provided about the Company's products and services offered, primarily distinguished between commercial and consumer banking and home lending. They are also distinguished by the level of information provided to the CFO, who uses such information to review performance of various components of business for each branch and home lending office, which are aggregated if operating performance, products/services, and customers are similar. The CFO evaluates the financial performance of the Company's business components such as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revenues in the commercial and consumer banking operations, and servicing fees and loan sales provide the revenues in home lending. Interest expense, provisions for credit losses, and payroll provide the significant expenses in commercial and consumer banking, and cost of loan sales and payroll provide the significant expenses in home lending. All operations are domestic and the Company has no major customers providing greater than 10% of total segment revenue. The Company does not have any material intra-entity sales or transfers, aside from certain allocations of interest expense and loan servicing cost from the commercial and consumer banking segment to the home lending segment.</w:t>
      </w: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various management accounting methodologies to assign certain income statement items to the responsible operating segment, including:</w:t>
      </w:r>
    </w:p>
    <w:p>
      <w:pPr>
        <w:spacing w:after="0" w:line="162"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transfer pricing (“FTP”) system, which allocates interest income credits and funding charges between the segments, assigning to each segment a funding credit for its liabilities, such as deposits, and a charge to fund its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per loan serviced allocation based on the number of loans being serviced on the balance sheet and the number of loans serviced for third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based upon the approximate square footage utilized by the home lending segment in Company owned locations;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the Company’s consolidated income taxes which are based on the effective tax rate applied to the segment’s pretax income or loss.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assets are primarily allocated by a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that they provide is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Consumer Banking Segment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June 30, 2025, the Company’s retail deposit branch network consisted of 27 branches in the Pacific Northwest. This segment is also responsible for the management of the investment portfolio and other assets of the Bank.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Lending Segment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MSRs portfolio and may sell small pools of loans initially originated to be held in the loan portfolio. The Company manages the loan funding and the interest rate risk associated with the secondary market loan sales and the retained one-to-four-family MSRs within this business segment. One-to-four-family loans originated for investment and held in this segment are allocated to the home lending segment with a corresponding provision expense and FTP for cost of funds. Noninterest expense includes allocated overhead expense from general corporate activities. Allocation is determined based on a combination of segment assets and FTEs. For the three and six months ended June 30, 2025 and 2024, the Home Lending segment included allocated overhead expenses of $1.8 million and $3.7 million, compared to $1.5 million and $3.0 million,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policies for segments are consistent with those described in “Note 1 – Basis of Presentation and Summary of Significant Accounting Policies.” Segment performance is evaluated using net income. Indirect expenses are allocated based on segment assets and full-time equivalent employees (“FTEs”). Transactions among segments are made at fair value. Information reported internally for performance assessment by the CFO follows, inclusive of reconciliations of significant segment totals to the financial statements at or for the three and six months ended June 30,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color w:val="auto"/>
              </w:rPr>
              <w:t>At or For the Three Months Ended June 30, 2025</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36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45,038</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48,703</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53,873</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9,855</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7,633</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25,502</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income by segment</w:t>
            </w: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7,728</w:t>
            </w:r>
          </w:p>
        </w:tc>
        <w:tc>
          <w:tcPr>
            <w:tcW w:w="0" w:type="dxa"/>
            <w:vAlign w:val="bottom"/>
          </w:tcPr>
          <w:p>
            <w:pPr>
              <w:spacing w:after="0"/>
              <w:rPr>
                <w:sz w:val="1"/>
                <w:szCs w:val="1"/>
                <w:color w:val="auto"/>
              </w:rPr>
            </w:pPr>
          </w:p>
        </w:tc>
      </w:tr>
      <w:tr>
        <w:trPr>
          <w:trHeight w:val="197"/>
        </w:trPr>
        <w:tc>
          <w:tcPr>
            <w:tcW w:w="4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2,494,452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681,561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3,176,013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FTEs</w:t>
            </w: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color w:val="auto"/>
              </w:rPr>
              <w:t>At or For the Three Months Ended June 30, 2024</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44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45,940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51,808</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15,539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23,857</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11,335</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by segment</w:t>
            </w: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2,335,935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605,442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2,941,377</w:t>
            </w:r>
          </w:p>
        </w:tc>
        <w:tc>
          <w:tcPr>
            <w:tcW w:w="0" w:type="dxa"/>
            <w:vAlign w:val="bottom"/>
          </w:tcPr>
          <w:p>
            <w:pPr>
              <w:spacing w:after="0"/>
              <w:rPr>
                <w:sz w:val="1"/>
                <w:szCs w:val="1"/>
                <w:color w:val="auto"/>
              </w:rPr>
            </w:pPr>
          </w:p>
        </w:tc>
      </w:tr>
      <w:tr>
        <w:trPr>
          <w:trHeight w:val="197"/>
        </w:trPr>
        <w:tc>
          <w:tcPr>
            <w:tcW w:w="4880" w:type="dxa"/>
            <w:vAlign w:val="bottom"/>
            <w:tcBorders>
              <w:top w:val="single" w:sz="8" w:color="CCEEFF"/>
              <w:bottom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FTEs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750"/>
              <w:spacing w:after="0"/>
              <w:rPr>
                <w:sz w:val="20"/>
                <w:szCs w:val="20"/>
                <w:color w:val="auto"/>
              </w:rPr>
            </w:pPr>
            <w:r>
              <w:rPr>
                <w:rFonts w:ascii="Times New Roman" w:cs="Times New Roman" w:eastAsia="Times New Roman" w:hAnsi="Times New Roman"/>
                <w:sz w:val="18"/>
                <w:szCs w:val="18"/>
                <w:color w:val="auto"/>
              </w:rPr>
              <w:t>At or For the Six Months Ended June 30, 2025</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44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88,340</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95,490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105,786</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27,578</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32,397</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19,797</w:t>
            </w: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15,544</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50,556</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19,220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income by segment</w:t>
            </w: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15,155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15,749</w:t>
            </w: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2,494,452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681,561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3,176,013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FTEs</w:t>
            </w: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750"/>
              <w:spacing w:after="0"/>
              <w:rPr>
                <w:sz w:val="20"/>
                <w:szCs w:val="20"/>
                <w:color w:val="auto"/>
              </w:rPr>
            </w:pPr>
            <w:r>
              <w:rPr>
                <w:rFonts w:ascii="Times New Roman" w:cs="Times New Roman" w:eastAsia="Times New Roman" w:hAnsi="Times New Roman"/>
                <w:sz w:val="18"/>
                <w:szCs w:val="18"/>
                <w:color w:val="auto"/>
              </w:rPr>
              <w:t>At or For the Six Months Ended June 30, 2024</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83,403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90,820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MSRs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10,979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80,926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101,799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30,073</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19,181</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14,932</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47,386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income by segment</w:t>
            </w: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2,335,935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605,442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2,941,377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FTEs</w:t>
            </w: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operations, occupancy, data processing, loan costs, professional and board fees, marketing and advertising, and (recovery) impairment of MSRs.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OTHER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and certain other intangibles generally arise from business combinations accounted for under the acquisition method of accounting. Goodwill totaled $3.6 million at both June 30, 2025, and December 31, 2024, and represents the excess of the total acquisition price paid over the fair value of the assets acquired, net of the fair values of liabilities assumed in the branch purchase on February 24, 2023 (“Branch Acquisition”),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December 31, 2024, and determined that no impairment of goodwill existed.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June 30, 2025, management believes that there have been no events or changes in the circumstances that would indicate a potential impairment of CDI.</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other intangible assets comprised solely of CDI for the year ended December 31, 2024, and the six months ended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Gross CDI</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Net CDI</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17,343</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CDI represents the fair value assigned to the intangible core deposit base acquired in business combinations. The CDI from the Branch Acquisition is being amortized on an accelerated basis over 10 years, while the CDI from the Anchor Bank acquisition (completed in November 2018) is being amortized on a straight-line basis over 10 years. Amortization expense was $809,000 and $1.6 million for the three and six months ended June 30, 2025, compared to $919,000 and $1.9 million for the same periods in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CDI is expected to be as follows at June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2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contains forward-looking statements, which can be identified by the use of words such as “believes,” “expects,” “anticipates,” “estimates,” or similar expressions. Forward-looking statements include, but are not limited to:</w:t>
      </w:r>
    </w:p>
    <w:p>
      <w:pPr>
        <w:spacing w:after="0" w:line="16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our goals, intentions, and expectations;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and uncertainties. Actual results may differ materially from those contemplated by the forward-looking statements due to, among others, the following factors:</w:t>
      </w:r>
    </w:p>
    <w:p>
      <w:pPr>
        <w:spacing w:after="0" w:line="162" w:lineRule="exact"/>
        <w:rPr>
          <w:sz w:val="20"/>
          <w:szCs w:val="20"/>
          <w:color w:val="auto"/>
        </w:rPr>
      </w:pPr>
    </w:p>
    <w:p>
      <w:pPr>
        <w:ind w:left="260" w:right="200" w:hanging="252"/>
        <w:spacing w:after="0" w:line="26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to economic conditions in our local markets or other markets where we have lending relationships, or other aspects of the Company's business operations;</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employment levels, labor shortages, persistent inflation, recessionary pressures or slowing economic growth;</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 levels and the duration of such changes, including action by the Board of Governors of the Federal Reserve System (“Federal Reserve”), which could adversely affect our revenues and expenses, the values of our assets and obligations, and the availability and cost of capital and liquidity;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monetary and fiscal policy response thereto, and their impact on consumer behavior;</w:t>
      </w:r>
    </w:p>
    <w:p>
      <w:pPr>
        <w:spacing w:after="0" w:line="9"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developments and international conflicts, including but not limited to tensions or instability in Eastern Europe, the Middle East, and Asia,</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imposition of new or increased tariffs and trade restrictions, which may disrupt financial markets, global supply chains, energy prices, or economic activity in specific industry sectors;</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federal government shutdown, debt ceiling standoff, or other fiscal policy uncertainty;</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including loan delinquencies, write-offs, changes in our allowance for credit losses (“ACL”), and provision for credit losses;</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conditions and our ability to originate loans for sale and sell loans in the secondary market;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loan demand, unsold homes, and land and in property values;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fluctuations in response to product demand or corporate implementation strategies;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in determining the fair value of assets, which may prove incorrect;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 among financial services companies;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plans to grow our residential construction lending, our home lending operations, our warehouse lending, and the geographic expansion of our indirect home improvement lending;</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deposits;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 and expenses;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key growth initiatives and strategic priorities;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members of our senior management team;</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or adverse developments at other banks and related negative press about the banking industry in general on investor and depositor sentiment;</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adapt to rapid technological changes, including advancement in artificial intelligence, digital banking, and cybersecurity;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regulatory changes including, but not limited to shifts in capital requirements, banking regulation, tax laws, or consumer protection 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composition of our securities portfolio and the impact of adverse changes in the securities markets;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as may be adopted by the bank regulatory agencies, the Public Company Accounting Oversight Board or the Financial Accounting Standards Board (“FASB”);</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including settlements and judgments;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information systems or third-party service providers, including disruptions, breaches, or attacks;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key third-party service providers to perform their obligations to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climate change, severe weather events, natural disasters, pandemics, epidemics and other public health crises, acts of war or terrorism, domestic political unrest, and other external events;</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new or increased tariffs, trade restrictions or geopolitical tensions that could affect economic activity or specific industry sectors;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goals and targets;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bank regulatory, consumer and technical factors affecting our operations, pricing, products and services, and</w:t>
      </w:r>
    </w:p>
    <w:p>
      <w:pPr>
        <w:ind w:left="340" w:hanging="332"/>
        <w:spacing w:after="0" w:line="216" w:lineRule="exact"/>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elsewhere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our other reports filed with or furnished to SEC, including our Annual Report on Form 10-K for the year ended December 31, 2024 (the “2024 Form 10-K”).</w:t>
      </w:r>
    </w:p>
    <w:p>
      <w:pPr>
        <w:spacing w:after="0" w:line="15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Any of the forward-looking statements made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1st Security Bank has been serving the Puget Sound area since 1907, which includes when the predecessor to Anchor Bank, one of its banking acquisitions, was formed. On July 9, 2012, the Bank converted from mutual to stock ownership and became the wholly owned subsidiary of FS Bancorp.</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spacing w:after="0" w:line="16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diversifying our loan portfolio;</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asset quality;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lower cost core deposits to reduce the costs of funding our loan growth;</w:t>
      </w:r>
    </w:p>
    <w:p>
      <w:pPr>
        <w:spacing w:after="0" w:line="9"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Capturing customers’ complete relationships through a broad array of products and services, leveraging community involvement, and selectively emphasizing offerings aligned with customers’ banking needs; and</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new markets.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diversified lender, the Company specializes in originating one-to-four-family loans, commercial real estate (“CRE”) mortgages, second mortgages, consumer loans, marine lending, and commercial business loans.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the Company's loan portfolio included commercial real estate loans, residential real estate loans, consumer loans, and commercial business loans representing 35.0%, 29.8%, 23.2%, and 12.0% of the portfolio,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Fixture secured loans to finance window, gutter, siding replacement, solar panels, spas, and other improvement renovations are a large segment of the consumer loan portfolio. These fixture-secured consumer loans are dependent on the Company’s contractor/dealer network of 34 currently active fixture dealerships located throughout Washington, Oregon, California, Idaho, Colorado, Nevada, Arizona, Minnesota, Texas, Utah, Massachusetts, Montana, and New Hampshire. During the three months ended June 30, 2025, the Company originated 1,620 fixture-secured consumer loans with an aggregate total of $37.6 million. Five contractor/dealers accounted for 81.9% of the dollar volume funded in this category. In addition, four states represented nearly three-quarters of the loan originations: Washington, Oregon, California, and Idaho with 37.5%, 17.9%, 12.1%, and 7.1% of total loan volume, respectively.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$193.3 million of one-to-four-family loans (which included loans held for sale, loans held for investment and fixed seconds) in addition to $6.0 million of loans brokered to other institutions through the home lending segment during the three months ended June 30, 2025, of which $127.1 million were sold to investors. Of the loans sold to investors, $40.9 million were sold to the FNMA, FHLMC, FHLB, and/or GNMA with servicing rights retained for the purpose of further developing these customer relationships.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one-to-four-family loan originations and refinancing activity decreased compared to the prior quarter as a result of economic volatility in the markets.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earnings are also affected by fee income from mortgage banking activities, the provision for (reversal of) credit losses, service charges and fees, gains from sales of assets, operating expenses and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estimates as disclosed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June 30, 2025 and December 31,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increased $146.8 million to $3.18 billion at June 30, 2025, from $3.03 billion at December 31, 2024, primarily due to increases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$80.3 million in loans receivable, net, $25.8 million in loans held for sale, $23.1 million in securities held-to-maturity, and $21.5 million in securities available-for-sale, partially offset by a decrease of $4.0 million in FHLB stock funded by a combination of on-balance sheet liquidity and borrowings.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receivable, net increased $80.3 million to $2.58 billion at June 30, 2025, compared to $2.50 billion at December 31, 2024. CRE loans increased $44.8 million at June 30, 2025, compared to December 31, 2024, and reflects increases of $19.9 million in commercial and speculative construction and development loans, $18.0 million in multi-family loans, and $9.9 million in CRE owner occupied loans, partially offset by a decrease of $2.9 million in CRE non-owner occupied loans. Residential real estate loans increased $37.1 million for the same time periods, driven by increases in one-to-four-family loans (excluding loans held for sale) of $22.6 million, home equity of $10.5 million, and residential custom construction of $4.1 million. Total undisbursed construction and development loan commitments increased $30.8 million to $204.9 million at June 30, 2025, as compared to $174.1 million at December 31, 2024. Commercial business loans increased $12.6 million at June 30, 2025, compared to December 31, 2024, due to increases in C&amp;I loans of $7.5 million and $5.0 million in warehouse lending. Consumer loans decreased $13.9 million at June 30, 2025, compared to December 31, 2024, primarily due to decreases of $11.6 million in indirect home improvement loans and $2.2 million in marine loans. Loan growth was concentrated in construction and development, residential real estate, and multi-family loan segments, reflecting sustained demands in those markets, while consumer balances, primarily in indirect home improvement loans declined during the period as the Company continued to manage indirect exposures.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sale, consisting of one-to-four-family loans, increased $25.8 million to $53.6 million at June 30, 2025, from $27.8 million at December 31, 2024. The Company continues to invest in its home lending operations and strategically manage production capacity in the markets we serve.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One-to-four-family loan originations for the six months ended June 30, 2025, included $204.6 million of loans originated for sale, $109.7 million of portfolio loans including first and second liens, and $10.0 million of loans brokered to other institutions.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 of one-to-four-family loans for the periods indicated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20"/>
                <w:szCs w:val="20"/>
                <w:color w:val="auto"/>
              </w:rPr>
            </w:pPr>
          </w:p>
        </w:tc>
        <w:tc>
          <w:tcPr>
            <w:tcW w:w="3980" w:type="dxa"/>
            <w:vAlign w:val="bottom"/>
            <w:gridSpan w:val="11"/>
          </w:tcPr>
          <w:p>
            <w:pPr>
              <w:jc w:val="right"/>
              <w:ind w:right="920"/>
              <w:spacing w:after="0"/>
              <w:rPr>
                <w:sz w:val="20"/>
                <w:szCs w:val="20"/>
                <w:color w:val="auto"/>
              </w:rPr>
            </w:pPr>
            <w:r>
              <w:rPr>
                <w:rFonts w:ascii="Times New Roman" w:cs="Times New Roman" w:eastAsia="Times New Roman" w:hAnsi="Times New Roman"/>
                <w:sz w:val="18"/>
                <w:szCs w:val="18"/>
                <w:color w:val="auto"/>
              </w:rPr>
              <w:t>For the Six Months Ended June 30,</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vMerge w:val="restart"/>
          </w:tcPr>
          <w:p>
            <w:pPr>
              <w:spacing w:after="0"/>
              <w:rPr>
                <w:sz w:val="18"/>
                <w:szCs w:val="18"/>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99"/>
              </w:rPr>
              <w:t>Percent</w:t>
            </w: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290,737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(38,555)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Refinance</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53,983</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34,545</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19,438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344,720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363,837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sold $219.0 million of one-to-four-family loans, compared to $258.4 million for the same period one year ago. The decrease in loan sales reflects a more competitive market environment and lower purchase volume, partially offset by higher refinance activity. The Company remains focused on managing loan production capacity and maintaining a pipeline consistent with market demand. Gross margin on home loan sales was 3.14% for both the six months ended June 30, 2025 and 2024. Gross margin is defined as the margin on loans sold without the impact of deferred loan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ACL on loans totaled $32.2 million, or 1.23% of gross loans receivable (excluding loans held for sale), at June 30, 2025, compared to $31.9 million, or 1.26% at December 31, 2024. The ACL on unfunded loan commitments increased $217,000 to $1.6 million at June 30, 2025, from $1.4 million at December 31, 2024. The most significant qualitative factor change was an increase in qualitative reserves, driven by higher levels of nonaccrual loans and shifts in delinquency trends. Total loans 30 days or more past due were $20.7 million, or 0.79% of total loans, at June 30, 2025, compared to $22.2 million, or 0.88%, at December 31, 2024. Although total past due loans declined slightly, loans 90 days or more past due increased to $14.8 million from $11.1 million, primarily due to the migration of certain construction and development CRE loans into later-stage delinquency. Nonaccrual loans rose to $19.0 million from $13.6 million over the same period. The increase was primarily concentrated in construction and development CRE loans, which increased to $9.1 million from $5.0 million, and in the consumer portfolio, where nonaccrual loans increased to $3.9 million from $2.0 million, led by indirect home improvement loans. Loan growth of 3.2% during the period also contributed to a higher required allowance under CECL. As a result, management increased qualitative reserves to address the higher risk of loss, particularly in the consumer and construction portfolios. The coverage ratio of the ACL on loans to nonperforming loans was 169.4% at June 30, 2025, compared to 234.3%, at December 31, 2024, reflecting the increase in nonaccrual balances discussed above.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Classified loans, all of which were classified as substandard, totaled $24.9 million at June 30, 2025, compared to $22.9 million at December 31, 2024. Nonperforming loans, consisting solely of nonaccrual loans, increased $5.4 million to $19.0 million at June 30, 2025, from $13.6 million at December 31, 2024, primarily due to increases in nonperforming commercial and speculative construction and development loans of $4.1 million, nonperforming indirect home improvement loans of $1.7 million, and nonperforming one-to-four-family loans of $1.6 million, partially offset by decreases in nonperforming commercial business loans of $1.6 million and nonperforming commercial real estate loans of $725,000. The ratio of nonperforming loans to total gross loans was 0.73% at June 30, 2025, compared to 0.54% at December 31, 2024. Management increased qualitative reserves during the period to address migration of certain credits to later-state delinquency categories and higher nonaccrual balances, as discussed above.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increased $145.4 million to $2.88 billion at June 30, 2025, from $2.73 billion at December 31, 2024, primarily due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$214.0 million in deposits, offset by a decrease of $73.5 million in borrowings. The loan-to-deposit ratio was approximately 101.1% at June 30, 2025, compared to approximately 106.9% at December 31, 2024, reflecting the mix shift toward deposits, particularly brokered CDs, to fund asset growth and reduce wholesale borrowings.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$214.0 million to $2.55 billion at June 30, 2025, from $2.34 billion at December 31, 2024, reflecting increases in all deposit categories. Transactional accounts (noninterest-bearing checking, interest-bearing checking and escrow accounts) increased $50.6 million to $865.3 million at June 30, 2025, from $814.7 million at December 31, 2024, due to increases of $34.7 million in interest-bearing checking, $15.9 million in noninterest-bearing checking and $17,000 in escrow accounts related to mortgages serviced. Money market and savings accounts increased $14.6 million to $510.4 million at June 30, 2025, from $495.8 million at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CDs, which include both retail and non-retail CDs, increased $148.8 million to $1.18 billion at June 30, 2025, from $1.03 billion at December 31, 2024. Retail CDs increased $17.2 million to $891.4 million at June 30, 2025, from $874.1 million at December 31, 2024, while non-retail CDs, which include brokered CDs, online CDs and public funds CDs increased $131.5 million to $286.3 million, compared to $154.8 million at December 31, 2024. The increase in non-retail CDs was primarily due to an increase of $137.7 million in brokered CDs. Non-retail CDs represented 24.3% and 15.0% of total CDs at June 30, 2025 and December 31, 2024, respectively. The increase in non-retail CDs aligns with the Company's strategy to manage interest rate risk and liquidity by accessing larger, diversified funding sources at competitive rates, which were only slightly higher than local market rates, and to pay down higher cost borrowings.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4"/>
                <w:szCs w:val="24"/>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34"/>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91"/>
        </w:trPr>
        <w:tc>
          <w:tcPr>
            <w:tcW w:w="8000" w:type="dxa"/>
            <w:vAlign w:val="bottom"/>
            <w:gridSpan w:val="3"/>
            <w:vMerge w:val="continue"/>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643,573</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211,260</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159,601</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350,799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CDs less than $100,000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581,984</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CDs of $100,000 through $250,000</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437,474</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CDs greater than $250,000 </w:t>
            </w:r>
            <w:r>
              <w:rPr>
                <w:rFonts w:ascii="Times New Roman" w:cs="Times New Roman" w:eastAsia="Times New Roman" w:hAnsi="Times New Roman"/>
                <w:sz w:val="25"/>
                <w:szCs w:val="25"/>
                <w:color w:val="auto"/>
                <w:vertAlign w:val="superscript"/>
              </w:rPr>
              <w:t>(4)</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158,188</w:t>
            </w: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line="235" w:lineRule="exact"/>
              <w:rPr>
                <w:sz w:val="20"/>
                <w:szCs w:val="20"/>
                <w:color w:val="auto"/>
              </w:rPr>
            </w:pPr>
            <w:r>
              <w:rPr>
                <w:rFonts w:ascii="Times New Roman" w:cs="Times New Roman" w:eastAsia="Times New Roman" w:hAnsi="Times New Roman"/>
                <w:sz w:val="17"/>
                <w:szCs w:val="17"/>
                <w:color w:val="auto"/>
              </w:rPr>
              <w:t xml:space="preserve">Escrow accounts related to mortgages serviced </w:t>
            </w:r>
            <w:r>
              <w:rPr>
                <w:rFonts w:ascii="Times New Roman" w:cs="Times New Roman" w:eastAsia="Times New Roman" w:hAnsi="Times New Roman"/>
                <w:sz w:val="27"/>
                <w:szCs w:val="27"/>
                <w:color w:val="auto"/>
                <w:vertAlign w:val="superscript"/>
              </w:rPr>
              <w:t>(5)</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2,553,375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 million of brokered deposits at June 30, 2025 and none at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$251,000 and $279,000 of brokered deposits at June 30,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$280.8 million and $143.1 million of brokered CDs at June 30,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that meet or exceed the FDIC insurance limit.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checking.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860" w:hanging="85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627,679</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176,561</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154,188</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341,615</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440,257</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455,594</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133,045</w:t>
      </w:r>
    </w:p>
    <w:p>
      <w:pPr>
        <w:spacing w:after="0" w:line="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740" w:hanging="73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2,339,418</w:t>
      </w:r>
    </w:p>
    <w:p>
      <w:pPr>
        <w:spacing w:after="0" w:line="1455" w:lineRule="exact"/>
        <w:rPr>
          <w:sz w:val="20"/>
          <w:szCs w:val="20"/>
          <w:color w:val="auto"/>
        </w:rPr>
      </w:pPr>
    </w:p>
    <w:p>
      <w:pPr>
        <w:sectPr>
          <w:pgSz w:w="11900" w:h="16838" w:orient="portrait"/>
          <w:cols w:equalWidth="0" w:num="2">
            <w:col w:w="9580" w:space="100"/>
            <w:col w:w="1560"/>
          </w:cols>
          <w:pgMar w:left="320" w:top="108" w:right="339" w:bottom="1440" w:gutter="0" w:footer="0" w:header="0"/>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had uninsured deposits of approximately $677.2 million or 26.5% of total deposits, at June 30, 2025, compared to approximately $652.7 million or 27.9% of total deposits at December 31, 2024. The uninsured amounts are estimates based on the methodologies and assumptions used for the Bank’s regulatory reporting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decreased $73.5 million to $234.3 million at June 30, 2025, from $307.8 million at December 31, 2024. The decreased borrowings reflect the paydown of these higher cost funds utilizing lower cost brokered deposits. At June 30, 2025, borrowings were comprised of $209.3 million of FHLB advances and $25.0 million of FRB borrowings.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w:t>
      </w:r>
      <w:r>
        <w:rPr>
          <w:rFonts w:ascii="Times New Roman" w:cs="Times New Roman" w:eastAsia="Times New Roman" w:hAnsi="Times New Roman"/>
          <w:sz w:val="18"/>
          <w:szCs w:val="18"/>
          <w:color w:val="auto"/>
        </w:rPr>
        <w:t>Total stockholders’ equity increased $1.4 million to $297.2 million at June 30, 2025, from $295.8 million at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primarily reflects net income of $15.7 million, partially offset by share repurchases of $9.0 million, cash dividends paid totaling $4.3 million, and $1.0 million in equity award compensation. Additionally, the issuance of common stock under the employee stock purchase plan contributed $650,000, reflecting the issuance of 16,128 shares of Company common stock. Stockholders' equity was also impacted by the increase in accumulated other comprehensive loss, net of tax of $2.7 million, primarily due to decreases in unrealized net gains on fair value and cash flow hedges of $4.2 million, net of tax, reflecting changes in market interest rates during the quarter, partially offset by an improvement in unrealized net losses on securities available-for-sale of $1.5 million, net of tax.</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 value per common share was $39.55 at June 30, 2025, compared to $38.26 at December 31, 2024. The calculation of book value per share at June 30, 2025, was based on 7,515,480 common shares, derived by subtracting the 103,063 unvested restricted stock shares from the 7,618,543 reported common shares outstanding as of that date. Similarly, the book value per share at December 31, 2024, was calculated based on 7,729,951 common shares, after deducting 103,063 unvested restricted stock shares from the 7,833,014 reported common shares outstanding as of that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June 30, 2025 and 2024</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Net income was $7.7 million for the three months ended June 30, 2025, compared to $9.0 million for the three months ended June 30,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due to a $1.6 million, or 6.9%, increase in noninterest expense, a $944,000, or 87.7%, increase in provision for loan losses, and a $698,000 decrease in total noninterest income, partially offset by a $1.7 million, or 5.6% increase in net interest income and a $345,000, or 14.5%, reduction in provision for income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and loans held for</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14"/>
                <w:szCs w:val="14"/>
                <w:color w:val="auto"/>
              </w:rPr>
              <w:t>(1)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2,612,959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2,511,326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Taxable AFS mortgage-backed securities</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202,328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1,969</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124,678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investment securities </w:t>
            </w:r>
            <w:r>
              <w:rPr>
                <w:rFonts w:ascii="Times New Roman" w:cs="Times New Roman" w:eastAsia="Times New Roman" w:hAnsi="Times New Roman"/>
                <w:sz w:val="25"/>
                <w:szCs w:val="25"/>
                <w:color w:val="auto"/>
                <w:vertAlign w:val="superscript"/>
              </w:rPr>
              <w:t>(3)(4)</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AFS investment securities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Interest-bearing deposits at other financial</w:t>
            </w: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19,502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41,613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2,995,342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2,851,901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45,940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95,930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3,116,360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2,947,831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504,155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508,243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199,178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170,444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1,221,253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1,116,279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0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2,124,695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1,985,480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Noninterest-bearing accounts Other noninterest-bearing liabilities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rate spread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margin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Average interest-earning assets to average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2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102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657,820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637,345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32,700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2,815,215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2,664,610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32,112</w:t>
            </w:r>
          </w:p>
        </w:tc>
        <w:tc>
          <w:tcPr>
            <w:tcW w:w="120" w:type="dxa"/>
            <w:vAlign w:val="bottom"/>
            <w:vMerge w:val="restart"/>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30,401</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line="20" w:lineRule="exact"/>
              <w:rPr>
                <w:sz w:val="1"/>
                <w:szCs w:val="1"/>
                <w:color w:val="auto"/>
              </w:rPr>
            </w:pPr>
          </w:p>
        </w:tc>
      </w:tr>
      <w:tr>
        <w:trPr>
          <w:trHeight w:val="197"/>
        </w:trPr>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870,647</w:t>
            </w:r>
          </w:p>
        </w:tc>
        <w:tc>
          <w:tcPr>
            <w:tcW w:w="4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866,421</w:t>
            </w:r>
          </w:p>
        </w:tc>
        <w:tc>
          <w:tcPr>
            <w:tcW w:w="4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-1088390</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-762635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-436880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040" w:space="160"/>
            <w:col w:w="8040"/>
          </w:cols>
          <w:pgMar w:left="320" w:top="121" w:right="339" w:bottom="1440" w:gutter="0" w:footer="0" w:header="0"/>
          <w:type w:val="continuous"/>
        </w:sectPr>
      </w:pPr>
    </w:p>
    <w:p>
      <w:pPr>
        <w:spacing w:after="0" w:line="103"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deferred fee recognition of $1.5 million and $2.1 million for the three months ended June 30, 2025 and 2024, respectively.</w:t>
      </w:r>
    </w:p>
    <w:p>
      <w:pPr>
        <w:spacing w:after="0" w:line="20"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$245,000 and $422,000 for the three months ended June 30, 2025 and 2024,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increased $1.7 million to $32.1 million for the three months ended June 30, 2025, from $30.4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2024, primarily due to an increase in total interest income of $2.8 million, partially offset by an increase in total interest expense of $1.1 million. The $2.8 million increase in total interest income was primarily due to an increase of $2.6 million in interest income on loans receivable, including fees, driven primarily by a 12-basis point increase in the average yield earned on loans receivable as new loans were originated at higher rates and variable-rate loans repriced higher, and a higher average balance of loans outstanding. The $1.1 million increase in total interest expense was primarily the result of higher market interest rates and a shift in deposit mix from transactional accounts to higher cost brokered CDs.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margin (“NIM”) (annualized) increased one basis point to 4.30% for the three months ended June 30, 2025, from 4.29% for the same period the prior year. The change in NIM reflects the increase in yields earned on interest-earning assets, along with a slight improvement in funding cost.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Total interest income for the three months ended June 30, 2025, increased $2.8 million to $48.7 million, from $45.9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2024. The $2.8 million increase in total interest income was primarily due to an increase of $2.6 million in interest income on loans receivable, including fees, primarily as a result of net loan growth and variable rate loans repricing higher.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compares average interest-earning asset balances, associated yields, and resulting changes in interest income for the three months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6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Balance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Balance</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Loans receivable, net and loans held for sale </w:t>
            </w:r>
            <w:r>
              <w:rPr>
                <w:rFonts w:ascii="Times New Roman" w:cs="Times New Roman" w:eastAsia="Times New Roman" w:hAnsi="Times New Roman"/>
                <w:sz w:val="24"/>
                <w:szCs w:val="24"/>
                <w:color w:val="auto"/>
                <w:vertAlign w:val="superscript"/>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2,612,959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6.79%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mortgage-backed securities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investment securities </w:t>
            </w:r>
            <w:r>
              <w:rPr>
                <w:rFonts w:ascii="Times New Roman" w:cs="Times New Roman" w:eastAsia="Times New Roman" w:hAnsi="Times New Roman"/>
                <w:sz w:val="25"/>
                <w:szCs w:val="25"/>
                <w:color w:val="auto"/>
                <w:vertAlign w:val="superscript"/>
              </w:rPr>
              <w:t>(3)(4)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AFS investment securities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2,995,342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2,851,901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$1.5 million and $2.1 million for the three months ended June 30, 2025 and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$245,000 and $422,000 for the three months ended June 30, 2025 and 2024, respectively.</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Total interest expense increased $1.1 million to $16.6 million for the three months ended June 30, 2025, from $15.5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quarter in 2024, primarily due to an increase of interest expense on deposits of $1.3 million. The higher deposit costs were a result of an increase in the average balance of deposits, partially offset by a decrease in the average interest paid. The increase in interest expense also reflects a strategic shift in deposit mix, with a higher proportion of CDs and interest-bearing checking accounts that carry higher interest rates in the current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cost of total interest-bearing deposits increased six basis points to 3.03%, for the three months ended June 30, 2025, compared to 2.97%, for the three months ended June 30, 2024. The average balance of total interest-bearing deposits increased $129.6 million to $1.92 billion for the three months ended June 30, 2025 and 2024, compared to $1.79 billion for the three months ended June 30, 2024. The increase in cost was primarily attributable due to a shift in deposit mix to higher cost certificates of deposits and increases in deposit cost for interest-bearing checking, savings and money markets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cost of total interest-bearing liabilities decreased two basis points to 3.13% for the three months ended June 30, 2025, from 3.15% for the three months ended June 30, 2024. The average cost of funds, which includes noninterest-bearing checking, increased one basis points to 2.39% for the three months ended June 30, 2025, from 2.38% for the three months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three months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66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Balance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Expense</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508,243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1,116,279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2,124,695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1,985,480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For the three months ended June 30, 2025, the provision for credit losses was $2.0 million, consisting of a $1.7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 for credit losses on loans, a $154,000 provision for held-to-maturity securities, and a $151,000 provision for credit losses on unfunded loan commitments, compared to $1.1 million provision for credit losses for the three months ended June 30, 2024, consisting of a $1.0 million provision for credit losses on loans and a $77,000 provision of the ACL on unfunded loan commitments. The provision for credit losses on loans reflects the increase in the loan portfolio, as well as an increase in nonperforming loans and higher net charge-offs.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net loan charge-offs totaled $1.2 million. The predominate changes in net charge-offs were a $718,000 decrease in commercial business loans, offset by a $707,000 increase in indirect home improvement loans. A decline in national and local economic conditions, as a result the effects of inflation, a recession or slowed economic growth, among other economic factors, could result in a material increase in the ACL on loans and may adversely affect the Company’s financial condition and result of operations.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Income. </w:t>
      </w:r>
      <w:r>
        <w:rPr>
          <w:rFonts w:ascii="Times New Roman" w:cs="Times New Roman" w:eastAsia="Times New Roman" w:hAnsi="Times New Roman"/>
          <w:sz w:val="18"/>
          <w:szCs w:val="18"/>
          <w:color w:val="auto"/>
        </w:rPr>
        <w:t>Noninterest income decreased $698,000 to $5.2 million for the three months ended June 30, 2025, from $5.9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The decrease primarily reflects a $491,000 decrease in gain on sale of loans, resulting from a decrease of loans available for sale, as well as a $156,000 decrease in service charges and fee income, largely attributable to lower transaction volumes. Additionally, the current quarter recorded no gain on sale of investment securities, compared to a gain of $151,000 in the prior-year period, reflecting no securities sales activity during the current quarter. These declines were partially offset by modest increases in earnings on cash surrender value of bank-owned life insurance and other noninterest income.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was $25.5 million for the three months ended June 30, 2025, compared to $23.9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2024. The $1.6 million increase was primarily due to increases of $710,000 in salaries and benefits due to competitive wage adjustments and higher overall benefit costs, $305,000 in operations expense, and $267,000 in professional and board fees. Other contributors to the increase included higher FDIC insurance premiums and marketing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efficiency ratio, which is calculated by dividing noninterest expense by total net interest income and noninterest income, weakened to 68.40% for the three months ended June 30, 2025, compared to 65.78% for the three months ended June 30, 2024, due to an increase in noninterest expense that outpaced total revenue growth.</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For the three months ended June 30, 2025, the Company recorded a provision for income taxes of $2.0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 million for the three months ended June 30, 2024. The decrease in the income taxes provision was primarily due to a $1.6 million decrease in pre-tax income during the three months ended June 30, 2025, as compared to the same quarter last year. The effective corporate income tax rates for the three months ended June 30, 2025 and 2024, were 20.8% and 21.0%,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Six Months Ended June 30, 2025 and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Net income was $15.7 million for the six months ended June 30, 2025, compared to $17.4 million for the six months ended June 30,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due to a $3.2 million, or 6.7%, increase in noninterest expense and a $1.1 million, or 45.9%, increase in provision for credit losses, partially offset by a $2.3 million, or 3.9%, increase in net interest income and a $1.0 million, or 23.0%, reduction in provision for income tax expense.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For the Six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and loans held for</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14"/>
                <w:szCs w:val="14"/>
                <w:color w:val="auto"/>
              </w:rPr>
              <w:t>(1)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2,586,598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88,340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2,487,964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83,403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Taxable AFS mortgage-backed securities</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190,862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3,761</w:t>
            </w:r>
          </w:p>
        </w:tc>
        <w:tc>
          <w:tcPr>
            <w:tcW w:w="1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1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investment securities </w:t>
            </w:r>
            <w:r>
              <w:rPr>
                <w:rFonts w:ascii="Times New Roman" w:cs="Times New Roman" w:eastAsia="Times New Roman" w:hAnsi="Times New Roman"/>
                <w:sz w:val="25"/>
                <w:szCs w:val="25"/>
                <w:color w:val="auto"/>
                <w:vertAlign w:val="superscript"/>
              </w:rPr>
              <w:t>(3)(4)</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AFS investment securities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77,502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Interest-bearing deposits at other financial</w:t>
            </w: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17,840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50,563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2,951,476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95,490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2,859,051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90,820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3,074,667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2,953,189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507,514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1,154,461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1,126,640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121,057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9"/>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2,079,519</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32,397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1,984,464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30,073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660,805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647,214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noninterest-bearing liabilities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2,773,542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2,674,194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interest income</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63,093</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60,747</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interest rate spread</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earning assets</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CCEEFF"/>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871,957</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874,587</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interest margin</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74"/>
        </w:trPr>
        <w:tc>
          <w:tcPr>
            <w:tcW w:w="320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Average interest-earning assets to</w:t>
            </w: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average interest-bearing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$2.7 million and $4.0 million for the six months ended June 30, 2025 and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$542,000 and $839,000 for the six months ended June 30, 2025 and 2024,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increased $2.3 million to $63.1 million for the six months ended June 30, 2025, from $60.7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June 30, 2024, primarily due to an increase in total interest income of $4.7 million, partially offset by an increase in total interest expense of $2.3 million. The $4.7 million increase in total interest income was primarily due to an increase of $4.9 million in interest income on loans receivable, including fees, driven primarily by a 15-basis point increase in the average yield earned on loans receivable as new loans were originated at higher rates and variable-rate loans repriced higher, and a higher average balance of loans outstanding. The $2.3 million increase in total interest expense was primarily the result of higher market interest rates and a shift in deposit mix from transactional accounts to higher cost brokered CDs.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margin (“NIM”) (annualized) increased four basis point to 4.31% for the six months ended June 30, 2025, from 4.27% for the same period the prior year. The change in NIM reflects the increase in yields earned on interest-earning assets, along with higher average capital relative to the prior period.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Total interest income for the six months ended June 30, 2025, increased $4.7 million to $95.5 million, from $90.8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This increase was primarily due to an increase of $4.9 million in interest income on loans receivable, including fees, reflecting both net loan growth and the impact of variable-rate loans repricing higher.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average interest-earning asset balances, associated yields, and resulting changes in interest income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60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 Change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Balance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Balance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Outstanding</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Outstanding</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net and loans held for sale (1)(2)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2,586,598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2,487,964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4,937</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mortgage-backed securities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4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investment securities </w:t>
            </w:r>
            <w:r>
              <w:rPr>
                <w:rFonts w:ascii="Times New Roman" w:cs="Times New Roman" w:eastAsia="Times New Roman" w:hAnsi="Times New Roman"/>
                <w:sz w:val="25"/>
                <w:szCs w:val="25"/>
                <w:color w:val="auto"/>
                <w:vertAlign w:val="superscript"/>
              </w:rPr>
              <w:t>(3)(4)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AFS investment securities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2,951,476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2,859,051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6.39%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4,670</w:t>
            </w: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$2.7 million and $4.0 million for the six months ended June 30, 2025 and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$542,000 and $839,000 for the six months ended June 30, 2025 and 2024, respectively.</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Total interest expense increased $2.3 million to $32.4 million for the six months ended June 30, 2025, compared to $30.1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2024, primarily due to an increase of interest expense on deposits of $1.4 million. The higher deposit costs were a result of both higher overall average balances and increased rates on deposit accounts. The average cost of total interest-bearing deposits increased 11 basis points to 3.01%, for the six months ended June 30, 2025, compared to 2.90%, for the six months ended June 30, 2024. The average balance of total interest-bearing deposits increased $31.7 million to $1.85 billion for the six months ended June 30, 2025 and 2024, compared to $1.81 billion for the six months ended June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borrowings increased by $880,000, primarily due to higher average balances, partially offset by a decline in borrowing rates.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cost of total interest-bearing liabilities increased nine basis points to 3.14% for the six months ended June 30, 2025, compared to 3.05% for the six months ended June 30, 2024. The average cost of funds, which includes noninterest-bearing checking, increased eight basis points to 2.38% for the six months ended June 30, 2025, from 2.30% for the six months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six months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62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 Change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Balance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Balance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Outstanding</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Outstanding</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Expense</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507,514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1,126,640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2,079,519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3.14%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1,984,464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For the six months ended June 30, 2025, the provision for credit losses was $3.6 million, consisting of a $3.2 million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credit losses on loans, a $217,000 provision for credit losses on unfunded loan commitments, and a $175,000 provision for losses on held to maturity investments, compared to $2.5 million provision for credit losses for the six months ended June 30, 2024, consisting of a $2.4 million provision for credit losses on loans and a $54,000 provision for credit losses on unfunded loan commitments. The provision for credit losses on loans reflects the increase in the loan portfolio, as well as an increase in nonperforming loans and higher net charge-offs.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net loan charge-offs totaled $2.9 million, compared to $2.7 million during the six months ended June 30, 2024. This increase was the result of increased net charge-offs of $1.2 million in indirect home improvement loans, primarily offset by net charge-off decreases of $693,000 in commercial business loans and $271,000 in marine loans. A decline in national and local economic conditions, as a result the effects of tariffs or slowed economic growth, among other economic factors, could result in a material increase in the ACL on loans and may adversely affect the Company’s financial condition and result of operations.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Income. </w:t>
      </w:r>
      <w:r>
        <w:rPr>
          <w:rFonts w:ascii="Times New Roman" w:cs="Times New Roman" w:eastAsia="Times New Roman" w:hAnsi="Times New Roman"/>
          <w:sz w:val="18"/>
          <w:szCs w:val="18"/>
          <w:color w:val="auto"/>
        </w:rPr>
        <w:t>Noninterest income decreased $683,000 to $10.3 million for the six months ended June 30, 2025, compared to $11.0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2024. The decrease was primarily the result of a $629,000 decrease in gain on sale of loans, reflecting lower sales activity, a $464,000 decrease in service charges and fee income, primarily due to reduced transaction volumes, and a net $368,000 decrease from the absence of gain on sale of MSRs and losses on the sale of investment securities in 2025, compared to an $8.2 million net gain on sale of MSRs partially offset by a $7.8 million loss on sale of investment securities in the first half of 2024. These decreases were partially offset by a $755,000 increase in other noninterest income including a $312,000 gain from sales of nonmarketable equity securities, $195,000 in bank owned life insurance proceeds, and a $101,000 increase in brokered loan fees.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increased $3.2 million to $50.6 million for the six months ended June 30, 2025, from $47.4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The increase was primarily due to increases of $1.7 million in salaries and benefits due to competitive wage adjustments and higher overall benefit costs, $742,000 in operations, and $531,000 in professional and board fees.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efficiency ratio, which is calculated by dividing noninterest expense by total net interest income and noninterest income, weakened to 68.89% for the six months ended June 30, 2025, compared to 66.07% for the six months ended June 30, 2024, due to an increase in noninterest expense that outpaced total revenue growth.</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For the six months ended June 30, 2025, the Company recorded a provision for income taxes of $3.5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$4.5 million for the six months ended June 30, 2024. The decrease in the income taxes provision was primarily due to a $2.6 million decrease in pre-tax income during the six months ended June 30, 2025, as compared to the same period last year. The effective corporate income tax rates for the six months ended June 30, 2025 and 2024, were 18.1% and 20.6%, respectively. The decline in tax rate between the quarters was primarily attributable to the tax benefits recognized from the $660,000 gain of related tax credits purchased versus the utilization of the credit. Excluding the tax benefit related to the $660,000 gain, the effective corporate income tax rate for the six months ended June 30, 2025 would have been approximately 340 basis points higher.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June 30, 2025, the Bank’s total borrowing capacity was $650.9 million with the FHLB of Des Moines, with unused borrowing capacity of $438.2 million. The FHLB borrowing limit is based on certain categories of loans, primarily real estate loans that qualify as collateral for FHLB borrowings. At June 30, 2025, the Bank held approximately $1.09 billion in loans that qualify as collateral for FHLB borrowings.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availability of liquidity from the FHLB of Des Moines, the Bank maintains a short-term borrowing line with the FRB with a limit of $262.8 million and a combined credit limit of $101.0 million in written federal funds lines of credit through correspondent banking relationships at June 30, 2025. The FRB borrowing limit is based on certain categories of loans, primarily consumer loans that qualify as collateral for FRB line of credit. At June 30, 2025, the Bank held approximately $591.0 million in loans that qualify as collateral for the FRB line of credit. There were $25.0 million of outstanding borrowings with the FRB or correspondent banks as of June 30, 2025, and none at December 31, 2024.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Asset and Liability Management Policy permits management to utilize brokered deposits up to 20% of deposits or $511.2 million at June 30, 2025. Total brokered deposits at June 30, 2025 were $311.0 million. Management utilizes brokered deposits to mitigate interest rate risk and to enhance liquidity when appropriate.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June 30, 2025, outstanding loan commitments, including unused lines of credit totaled $583.3 million. The Company purchased $69.8 million in securities during the six months ended June 30, 2025. The Company purchased $38.0 million in securities during the six months ended June 30, 2024. Proceeds from securities repayments, maturities and sales were $26.2 million and $107.5 million during the six months ended June 30, 2025 and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liquidity is also affected by the volume of loans sold and loan principal payments. During the six months ended June 30, 2025 and 2024, the Bank sold $219.0 million and $258.4 million in loans,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increased $214.0 million during the six months ended June 30, 2025, primarily driven by a net increase in brokered deposits of $167.7 million. CDs scheduled to mature in three months or less at June 30, 2025, totaled $502.7 million. It is management’s policy to offer deposit rates that are competitive with other local financial institutions. Based on this strategy, management believes that a majority of maturing relationship deposits will remain with the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remainder of 2025, we project that fixed commitments will include $1.1 million of operating lease payments. For information regarding our operating leases, see “Note 6 – Leases” of the Notes to Consolidated Financial Statements included in this report. FHLB borrowings of $128.8 million are scheduled to mature within the next twelve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and other capital distributions from the Bank are subject to regulatory notice and certain restrictions. The unrestricted cash of FS Bancorp held at the Bank on an unconsolidated basis totaled $2.6 million at June 30, 2025.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$0.28 per share, which we believe is a dividend rate per share which enables us to balance our multiple objectives of managing and investing in the Bank and returning a substantial portion of our cash to our shareholders. Assuming continued payment during 2025 at this rate of $0.28 per share, our total dividends paid each quarter would be approximately $2.2 million based on the number of the current outstanding shares as of June 30,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FS Bancorp’s existing stock repurchase program, approximately $725,000 remained available for future repurchases as of June 30, 2025. On July 9, 2025, subsequent to quarter-end, the Company publicly announced that its Board of Directors approved an additional stock repurchase program, authorizing the repurchase of up to $5.0 million of Company common stock, in addition to the amount remaining under the existing stock repurchase program. See “Unregistered Sales of Equity Securities and Use of Proceeds” in Item 2, Part II of this Form 10-Q for additional information relating to stock repurchases.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is subject to minimum capital requirements imposed by the FDIC. Based on its capital levels at June 30, 2025, the Bank exceeded these requirements as of that date. Consistent with our goals to operate a sound and profitable organization, our policy is for the Bank to maintain a well-capitalized status under the capital categories of the FDIC. Based on capital levels at June 30, 2025, the Bank was considered to be “well capitalized”. At June 30, 2025, the Bank exceeded all regulatory capital requirements with Tier 1 leverage-based capital, Tier 1 risk-based capital, total risk-based capital, and common equity Tier 1 capital ratios of 11.2%, 12.8%, 14.1%, and 12.8%,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$3.0 billion or more in assets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FS Bancorp is subject to regulatory capital guidelines for bank holding companies with $3.0 billion or more in assets at June 30, 2025, and has exceeded all applicable regulatory capital requirements. The regulatory capital ratios calculated for FS Bancorp at June 30, 2025 were 9.7% for Tier 1 leverage-based capital, 11.1% for Tier 1 risk-based capital, 14.2% for total risk-based capital, and 11.1% for CET 1 capital ratio. For additional information regarding regulatory capital compliance, see the discussion included in “Note 12 – Regulatory Capital” to the Notes to Consolidated Financial Statements included in Part I. Item 1 of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market risk disclosures contained in FS Bancorp’s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20" w:hanging="612"/>
        <w:spacing w:after="0"/>
        <w:tabs>
          <w:tab w:leader="none" w:pos="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An evaluation of the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was carried out as of June 30, 2025,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foregoing evaluation, the Company’s CEO and CFO concluded that as of June 30, 2025,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June 30, 2025,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FS Bancorp’s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common stock repurchases during the three months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Maximum 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Repurchased as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Shares 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Average Price Paid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Repurchased Under</w:t>
            </w:r>
          </w:p>
        </w:tc>
      </w:tr>
      <w:tr>
        <w:trPr>
          <w:trHeight w:val="234"/>
        </w:trPr>
        <w:tc>
          <w:tcPr>
            <w:tcW w:w="45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34,921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4,549,353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2,564,888</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724,772</w:t>
            </w:r>
          </w:p>
        </w:tc>
      </w:tr>
      <w:tr>
        <w:trPr>
          <w:trHeight w:val="21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for the quarter</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132,282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15, 2024, the Company publicly announced that its Board of Directors approved a stock repurchase program, authorizing the repurchase of up to $5.0 million of Company common stock. Repurchases may occur from time to time in the open market, through privately negotiated transactions, or by withholding shares upon the exercise of equity awards over a 12-month period until November 15, 2025. On April 4, 2025, the Company publicly announced an additional stock repurchase program, authorizing the repurchase up to $5.0 million of Company common stock, in addition to the amount remaining under the November 2024 repurchase program. Repurchases under this program may also be made from time to time in the open market, through privately negotiated transactions, or by withholding shares upon the exercise of equity awards over a 12-month period until April 4,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9, 2025, subsequent to quarter-end, the Company publicly announced that its Board of Directors approved an additional stock repurchase program, authorizing the repurchase of up to $5.0 million of Company common stock, in addition to the amount remaining under the April 2025 repurchase program. Repurchases may occur from time to time in the open market, through privately negotiated transactions, or by withholding shares upon the exercise of equity awards over a 12-month period until July 9,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three months ended June 30, 2025, no director or officer (as defined in Rule 16a-1(f) under the Exchange Act)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8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3">
        <w:r>
          <w:rPr>
            <w:rFonts w:ascii="Times New Roman" w:cs="Times New Roman" w:eastAsia="Times New Roman" w:hAnsi="Times New Roman"/>
            <w:sz w:val="17"/>
            <w:szCs w:val="17"/>
            <w:u w:val="single" w:color="auto"/>
            <w:color w:val="0000EE"/>
          </w:rPr>
          <w:t>Articles of Incorporation of FS Bancorp, Inc. (1)</w:t>
        </w:r>
      </w:hyperlink>
    </w:p>
    <w:p>
      <w:pPr>
        <w:spacing w:after="0" w:line="27"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4">
        <w:r>
          <w:rPr>
            <w:rFonts w:ascii="Times New Roman" w:cs="Times New Roman" w:eastAsia="Times New Roman" w:hAnsi="Times New Roman"/>
            <w:sz w:val="18"/>
            <w:szCs w:val="18"/>
            <w:u w:val="single" w:color="auto"/>
            <w:color w:val="0000EE"/>
          </w:rPr>
          <w:t>Bylaws of FS Bancorp, Inc. (2)</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5">
        <w:r>
          <w:rPr>
            <w:rFonts w:ascii="Times New Roman" w:cs="Times New Roman" w:eastAsia="Times New Roman" w:hAnsi="Times New Roman"/>
            <w:sz w:val="18"/>
            <w:szCs w:val="18"/>
            <w:u w:val="single" w:color="auto"/>
            <w:color w:val="0000EE"/>
          </w:rPr>
          <w:t>Form of Common Stock Certificate of FS Bancorp, Inc. (1)</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86">
        <w:r>
          <w:rPr>
            <w:rFonts w:ascii="Times New Roman" w:cs="Times New Roman" w:eastAsia="Times New Roman" w:hAnsi="Times New Roman"/>
            <w:sz w:val="18"/>
            <w:szCs w:val="18"/>
            <w:u w:val="single" w:color="auto"/>
            <w:color w:val="0000EE"/>
          </w:rPr>
          <w:t>Indenture dated February 10, 2021, by and between FS Bancorp, Inc. and U.S. Bank National Association, as trustee (3)</w:t>
        </w:r>
      </w:hyperlink>
    </w:p>
    <w:p>
      <w:pPr>
        <w:spacing w:after="0" w:line="9" w:lineRule="exact"/>
        <w:rPr>
          <w:sz w:val="20"/>
          <w:szCs w:val="20"/>
          <w:color w:val="auto"/>
        </w:rPr>
      </w:pPr>
    </w:p>
    <w:p>
      <w:pPr>
        <w:ind w:left="1140" w:hanging="45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86">
        <w:r>
          <w:rPr>
            <w:rFonts w:ascii="Times New Roman" w:cs="Times New Roman" w:eastAsia="Times New Roman" w:hAnsi="Times New Roman"/>
            <w:sz w:val="18"/>
            <w:szCs w:val="18"/>
            <w:u w:val="single" w:color="auto"/>
            <w:color w:val="0000EE"/>
          </w:rPr>
          <w:t>Forms of 3.75 Fixed-to-Floating Rate Subordinated Notes due 2031 (included as Exhibit A-1 and Exhibit A-2 to the Indenture filed as</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Exhibit 4.2 hereto (3)</w:t>
        </w:r>
      </w:hyperlink>
    </w:p>
    <w:p>
      <w:pPr>
        <w:spacing w:after="0" w:line="1"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7">
        <w:r>
          <w:rPr>
            <w:rFonts w:ascii="Times New Roman" w:cs="Times New Roman" w:eastAsia="Times New Roman" w:hAnsi="Times New Roman"/>
            <w:sz w:val="17"/>
            <w:szCs w:val="17"/>
            <w:u w:val="single" w:color="auto"/>
            <w:color w:val="0000EE"/>
          </w:rPr>
          <w:t>Severance Agreement between 1st Security Bank of Washington and Joseph C. Adams (1)</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8">
        <w:r>
          <w:rPr>
            <w:rFonts w:ascii="Times New Roman" w:cs="Times New Roman" w:eastAsia="Times New Roman" w:hAnsi="Times New Roman"/>
            <w:sz w:val="17"/>
            <w:szCs w:val="17"/>
            <w:u w:val="single" w:color="auto"/>
            <w:color w:val="0000EE"/>
          </w:rPr>
          <w:t>Form of Change of Control Agreement between 1st Security Bank of Washington and Matthew D. Mullet (1)</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89">
        <w:r>
          <w:rPr>
            <w:rFonts w:ascii="Times New Roman" w:cs="Times New Roman" w:eastAsia="Times New Roman" w:hAnsi="Times New Roman"/>
            <w:sz w:val="18"/>
            <w:szCs w:val="18"/>
            <w:u w:val="single" w:color="auto"/>
            <w:color w:val="0000EE"/>
          </w:rPr>
          <w:t>FS Bancorp, Inc. 2013 Equity Incentive Plan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0">
        <w:r>
          <w:rPr>
            <w:rFonts w:ascii="Times New Roman" w:cs="Times New Roman" w:eastAsia="Times New Roman" w:hAnsi="Times New Roman"/>
            <w:sz w:val="17"/>
            <w:szCs w:val="17"/>
            <w:u w:val="single" w:color="auto"/>
            <w:color w:val="0000EE"/>
          </w:rPr>
          <w:t>Form of Incentive Stock Option Agreement under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1">
        <w:r>
          <w:rPr>
            <w:rFonts w:ascii="Times New Roman" w:cs="Times New Roman" w:eastAsia="Times New Roman" w:hAnsi="Times New Roman"/>
            <w:sz w:val="17"/>
            <w:szCs w:val="17"/>
            <w:u w:val="single" w:color="auto"/>
            <w:color w:val="0000EE"/>
          </w:rPr>
          <w:t>Form of Non-Qualified Stock Option Agreement under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2">
        <w:r>
          <w:rPr>
            <w:rFonts w:ascii="Times New Roman" w:cs="Times New Roman" w:eastAsia="Times New Roman" w:hAnsi="Times New Roman"/>
            <w:sz w:val="17"/>
            <w:szCs w:val="17"/>
            <w:u w:val="single" w:color="auto"/>
            <w:color w:val="0000EE"/>
          </w:rPr>
          <w:t>Form of Restricted Stock Agreement under the 2013 Plan (4)</w:t>
        </w:r>
      </w:hyperlink>
    </w:p>
    <w:p>
      <w:pPr>
        <w:spacing w:after="0" w:line="9" w:lineRule="exact"/>
        <w:rPr>
          <w:sz w:val="20"/>
          <w:szCs w:val="20"/>
          <w:color w:val="auto"/>
        </w:rPr>
      </w:pPr>
    </w:p>
    <w:p>
      <w:pPr>
        <w:ind w:left="1140" w:hanging="54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3">
        <w:r>
          <w:rPr>
            <w:rFonts w:ascii="Times New Roman" w:cs="Times New Roman" w:eastAsia="Times New Roman" w:hAnsi="Times New Roman"/>
            <w:sz w:val="18"/>
            <w:szCs w:val="18"/>
            <w:u w:val="single" w:color="auto"/>
            <w:color w:val="0000EE"/>
          </w:rPr>
          <w:t>Form of change of control agreement with Donn C. Costa, Dennis O’Leary, Erin Burr, Victoria Jarman, Kelli Nielsen, and May-Ling</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Sowell (5)</w:t>
        </w:r>
      </w:hyperlink>
    </w:p>
    <w:p>
      <w:pPr>
        <w:spacing w:after="0" w:line="1"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4">
        <w:r>
          <w:rPr>
            <w:rFonts w:ascii="Times New Roman" w:cs="Times New Roman" w:eastAsia="Times New Roman" w:hAnsi="Times New Roman"/>
            <w:sz w:val="17"/>
            <w:szCs w:val="17"/>
            <w:u w:val="single" w:color="auto"/>
            <w:color w:val="0000EE"/>
          </w:rPr>
          <w:t>FS Bancorp, Inc. 2018 Equity Incentive Plan (6)</w:t>
        </w:r>
      </w:hyperlink>
    </w:p>
    <w:p>
      <w:pPr>
        <w:spacing w:after="0" w:line="9" w:lineRule="exact"/>
        <w:rPr>
          <w:sz w:val="20"/>
          <w:szCs w:val="20"/>
          <w:color w:val="auto"/>
        </w:rPr>
      </w:pPr>
    </w:p>
    <w:p>
      <w:pPr>
        <w:ind w:left="52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5">
        <w:r>
          <w:rPr>
            <w:rFonts w:ascii="Times New Roman" w:cs="Times New Roman" w:eastAsia="Times New Roman" w:hAnsi="Times New Roman"/>
            <w:sz w:val="17"/>
            <w:szCs w:val="17"/>
            <w:u w:val="single" w:color="auto"/>
            <w:color w:val="0000EE"/>
          </w:rPr>
          <w:t>Form of Incentive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96">
        <w:r>
          <w:rPr>
            <w:rFonts w:ascii="Times New Roman" w:cs="Times New Roman" w:eastAsia="Times New Roman" w:hAnsi="Times New Roman"/>
            <w:sz w:val="17"/>
            <w:szCs w:val="17"/>
            <w:u w:val="single" w:color="auto"/>
            <w:color w:val="0000EE"/>
          </w:rPr>
          <w:t>Form of Non-Qualified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7">
        <w:r>
          <w:rPr>
            <w:rFonts w:ascii="Times New Roman" w:cs="Times New Roman" w:eastAsia="Times New Roman" w:hAnsi="Times New Roman"/>
            <w:sz w:val="17"/>
            <w:szCs w:val="17"/>
            <w:u w:val="single" w:color="auto"/>
            <w:color w:val="0000EE"/>
          </w:rPr>
          <w:t>Form of Restricted Stock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98">
        <w:r>
          <w:rPr>
            <w:rFonts w:ascii="Times New Roman" w:cs="Times New Roman" w:eastAsia="Times New Roman" w:hAnsi="Times New Roman"/>
            <w:sz w:val="17"/>
            <w:szCs w:val="17"/>
            <w:u w:val="single" w:color="auto"/>
            <w:color w:val="0000EE"/>
          </w:rPr>
          <w:t>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9">
        <w:r>
          <w:rPr>
            <w:rFonts w:ascii="Times New Roman" w:cs="Times New Roman" w:eastAsia="Times New Roman" w:hAnsi="Times New Roman"/>
            <w:sz w:val="17"/>
            <w:szCs w:val="17"/>
            <w:u w:val="single" w:color="auto"/>
            <w:color w:val="0000EE"/>
          </w:rPr>
          <w:t>Form of Enrollment/Change Form under the 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0">
        <w:r>
          <w:rPr>
            <w:rFonts w:ascii="Times New Roman" w:cs="Times New Roman" w:eastAsia="Times New Roman" w:hAnsi="Times New Roman"/>
            <w:sz w:val="18"/>
            <w:szCs w:val="18"/>
            <w:u w:val="single" w:color="auto"/>
            <w:color w:val="0000EE"/>
          </w:rPr>
          <w:t>Form of Change of Control Agreement with Shana Allen, Stephanie Nicklaus, and Benjamin Crowl (8)</w:t>
        </w:r>
      </w:hyperlink>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906 of the Sarbanes-Oxley Act of 2002</w:t>
      </w:r>
    </w:p>
    <w:p>
      <w:pPr>
        <w:spacing w:after="0" w:line="4" w:lineRule="exact"/>
        <w:rPr>
          <w:sz w:val="20"/>
          <w:szCs w:val="20"/>
          <w:color w:val="auto"/>
        </w:rPr>
      </w:pPr>
    </w:p>
    <w:p>
      <w:pPr>
        <w:jc w:val="both"/>
        <w:ind w:left="1140" w:hanging="499"/>
        <w:spacing w:after="0" w:line="219" w:lineRule="exact"/>
        <w:tabs>
          <w:tab w:leader="none" w:pos="1120" w:val="left"/>
        </w:tabs>
        <w:rPr>
          <w:sz w:val="20"/>
          <w:szCs w:val="20"/>
          <w:color w:val="auto"/>
        </w:rPr>
      </w:pPr>
      <w:r>
        <w:rPr>
          <w:rFonts w:ascii="Times New Roman" w:cs="Times New Roman" w:eastAsia="Times New Roman" w:hAnsi="Times New Roman"/>
          <w:sz w:val="18"/>
          <w:szCs w:val="18"/>
          <w:color w:val="auto"/>
        </w:rPr>
        <w:t>101</w:t>
        <w:tab/>
        <w:t>The following materials from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June 30, 2025 formatted in Inline Extensible  Business  Reporting  Language  (IXBRL):  (1)  Consolidated  Balance  Sheets;  (2)  Consolidated  Statements  of  Income;</w:t>
      </w:r>
    </w:p>
    <w:p>
      <w:pPr>
        <w:spacing w:after="0" w:line="1" w:lineRule="exact"/>
        <w:rPr>
          <w:sz w:val="20"/>
          <w:szCs w:val="20"/>
          <w:color w:val="auto"/>
        </w:rPr>
      </w:pPr>
    </w:p>
    <w:p>
      <w:pPr>
        <w:ind w:left="1460" w:hanging="318"/>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(4) Consolidated Statements of Changes in Stockholders’ Equity;</w:t>
      </w:r>
    </w:p>
    <w:p>
      <w:pPr>
        <w:spacing w:after="0" w:line="9"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 (6) Notes to Consolidated Financial Statements.</w:t>
      </w:r>
    </w:p>
    <w:p>
      <w:pPr>
        <w:spacing w:after="0" w:line="9"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 and contained in Exhibit 101)</w:t>
      </w:r>
    </w:p>
    <w:p>
      <w:pPr>
        <w:spacing w:after="0" w:line="4" w:lineRule="exact"/>
        <w:rPr>
          <w:sz w:val="20"/>
          <w:szCs w:val="20"/>
          <w:color w:val="auto"/>
        </w:rPr>
      </w:pPr>
    </w:p>
    <w:p>
      <w:pPr>
        <w:ind w:left="1140" w:hanging="437"/>
        <w:spacing w:after="0" w:line="219" w:lineRule="exact"/>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177125) filed on October 3, 2011, and incorporated by reference.</w:t>
      </w:r>
    </w:p>
    <w:p>
      <w:pPr>
        <w:ind w:left="1140" w:hanging="437"/>
        <w:spacing w:after="0" w:line="207" w:lineRule="exact"/>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July 10,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11, 2021 (File No. 001-35589).</w:t>
      </w:r>
    </w:p>
    <w:p>
      <w:pPr>
        <w:spacing w:after="0" w:line="7" w:lineRule="exact"/>
        <w:rPr>
          <w:rFonts w:ascii="Times New Roman" w:cs="Times New Roman" w:eastAsia="Times New Roman" w:hAnsi="Times New Roman"/>
          <w:sz w:val="18"/>
          <w:szCs w:val="18"/>
          <w:color w:val="auto"/>
        </w:rPr>
      </w:pPr>
    </w:p>
    <w:p>
      <w:pPr>
        <w:ind w:left="1140" w:hanging="437"/>
        <w:spacing w:after="0" w:line="25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(333-192990) filed on December 20, 2013 and incorporated by reference.</w:t>
      </w:r>
    </w:p>
    <w:p>
      <w:pPr>
        <w:ind w:left="1140" w:hanging="437"/>
        <w:spacing w:after="0" w:line="207" w:lineRule="exact"/>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 2016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(333-22513) filed on May 23, 2018.</w:t>
      </w:r>
    </w:p>
    <w:p>
      <w:pPr>
        <w:spacing w:after="0" w:line="7"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(333-265729) filed on June 21, 2022.</w:t>
      </w:r>
    </w:p>
    <w:p>
      <w:pPr>
        <w:spacing w:after="0" w:line="9"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2, 2024 (File No. 001-35589).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FS BANCORP, INC.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r>
      <w:tr>
        <w:trPr>
          <w:trHeight w:val="191"/>
        </w:trPr>
        <w:tc>
          <w:tcPr>
            <w:tcW w:w="3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r>
      <w:tr>
        <w:trPr>
          <w:trHeight w:val="214"/>
        </w:trPr>
        <w:tc>
          <w:tcPr>
            <w:tcW w:w="3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(Duly Authorized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r>
      <w:tr>
        <w:trPr>
          <w:trHeight w:val="191"/>
        </w:trPr>
        <w:tc>
          <w:tcPr>
            <w:tcW w:w="3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D. Whittington</w:t>
            </w:r>
          </w:p>
        </w:tc>
      </w:tr>
      <w:tr>
        <w:trPr>
          <w:trHeight w:val="214"/>
        </w:trPr>
        <w:tc>
          <w:tcPr>
            <w:tcW w:w="3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540" w:type="dxa"/>
            <w:vAlign w:val="bottom"/>
          </w:tcPr>
          <w:p>
            <w:pPr>
              <w:spacing w:after="0"/>
              <w:rPr>
                <w:sz w:val="24"/>
                <w:szCs w:val="24"/>
                <w:color w:val="auto"/>
              </w:rPr>
            </w:pPr>
          </w:p>
        </w:tc>
        <w:tc>
          <w:tcPr>
            <w:tcW w:w="2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68</w:t>
            </w:r>
          </w:p>
        </w:tc>
        <w:tc>
          <w:tcPr>
            <w:tcW w:w="4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 Adams,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D. Whittington,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8,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2">
            <w:col w:w="4240" w:space="720"/>
            <w:col w:w="6280"/>
          </w:cols>
          <w:pgMar w:left="320" w:top="117"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June 30,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Joseph C. Adams, in my capacity as Chief Executive Officer of the Company, hereby certify pursuant to 18 U.S.C. Section 1350, as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8,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985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 Adams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2">
            <w:col w:w="4240" w:space="720"/>
            <w:col w:w="6280"/>
          </w:cols>
          <w:pgMar w:left="320" w:top="117" w:right="3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June 30,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Phillip D. Whittington, in my capacity as Chief Financial Officer of the Company, hereby certify pursuant to 18 U.S.C. Section 1350,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8,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2">
        <w:col w:w="4240" w:space="720"/>
        <w:col w:w="628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1)"/>
      <w:numFmt w:val="decimal"/>
      <w:start w:val="5"/>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4"/>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lowerLetter"/>
      <w:start w:val="3"/>
    </w:lvl>
  </w:abstractNum>
  <w:abstractNum w:abstractNumId="45">
    <w:nsid w:val="32FFF902"/>
    <w:multiLevelType w:val="hybridMultilevel"/>
    <w:lvl w:ilvl="0">
      <w:lvlJc w:val="left"/>
      <w:lvlText w:val="(%1)"/>
      <w:numFmt w:val="lowerLetter"/>
      <w:start w:val="4"/>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83" Type="http://schemas.openxmlformats.org/officeDocument/2006/relationships/hyperlink" Target="http://www.sec.gov/Archives/edgar/data/1530249/000118811211002766/ex3-1.htm" TargetMode="External"/><Relationship Id="rId84" Type="http://schemas.openxmlformats.org/officeDocument/2006/relationships/hyperlink" Target="http://www.sec.gov/Archives/edgar/data/1530249/000093905713000269/ex328k7913.htm" TargetMode="External"/><Relationship Id="rId85" Type="http://schemas.openxmlformats.org/officeDocument/2006/relationships/hyperlink" Target="http://www.sec.gov/Archives/edgar/data/1530249/000118811211002766/ex4-0.htm" TargetMode="External"/><Relationship Id="rId86" Type="http://schemas.openxmlformats.org/officeDocument/2006/relationships/hyperlink" Target="http://www.sec.gov/Archives/edgar/data/1530249/000093905721000056/fsbanc8k21021exh41.htm" TargetMode="External"/><Relationship Id="rId87" Type="http://schemas.openxmlformats.org/officeDocument/2006/relationships/hyperlink" Target="http://www.sec.gov/Archives/edgar/data/1530249/000118811211002766/ex10-1.htm" TargetMode="External"/><Relationship Id="rId88" Type="http://schemas.openxmlformats.org/officeDocument/2006/relationships/hyperlink" Target="http://www.sec.gov/Archives/edgar/data/1530249/000118811211002766/ex10-2.htm" TargetMode="External"/><Relationship Id="rId89" Type="http://schemas.openxmlformats.org/officeDocument/2006/relationships/hyperlink" Target="http://www.sec.gov/Archives/edgar/data/1530249/000093905713000311/fsbancproxy2013.htm" TargetMode="External"/><Relationship Id="rId90" Type="http://schemas.openxmlformats.org/officeDocument/2006/relationships/hyperlink" Target="http://www.sec.gov/Archives/edgar/data/1530249/000093905713000550/ex102s82013fsbancorp.htm" TargetMode="External"/><Relationship Id="rId91" Type="http://schemas.openxmlformats.org/officeDocument/2006/relationships/hyperlink" Target="http://www.sec.gov/Archives/edgar/data/1530249/000093905713000550/ex103s82013fsbancorp.htm" TargetMode="External"/><Relationship Id="rId92" Type="http://schemas.openxmlformats.org/officeDocument/2006/relationships/hyperlink" Target="http://www.sec.gov/Archives/edgar/data/1530249/000093905713000550/ex104s82013fsbancorp.htm" TargetMode="External"/><Relationship Id="rId93" Type="http://schemas.openxmlformats.org/officeDocument/2006/relationships/hyperlink" Target="http://www.sec.gov/Archives/edgar/data/1530249/000093905716000633/exhibit1012116.htm" TargetMode="External"/><Relationship Id="rId94" Type="http://schemas.openxmlformats.org/officeDocument/2006/relationships/hyperlink" Target="http://www.sec.gov/Archives/edgar/data/1530249/000155837018009146/fsbw-20180930ex10108016b.htm" TargetMode="External"/><Relationship Id="rId95" Type="http://schemas.openxmlformats.org/officeDocument/2006/relationships/hyperlink" Target="http://www.sec.gov/Archives/edgar/data/1530249/000093905718000306/fsbancs8518exh102.htm" TargetMode="External"/><Relationship Id="rId96" Type="http://schemas.openxmlformats.org/officeDocument/2006/relationships/hyperlink" Target="http://www.sec.gov/Archives/edgar/data/1530249/000093905718000306/fsbancs8518exh103.htm" TargetMode="External"/><Relationship Id="rId97" Type="http://schemas.openxmlformats.org/officeDocument/2006/relationships/hyperlink" Target="http://www.sec.gov/Archives/edgar/data/1530249/000093905718000306/fsbancs8518exh104.htm" TargetMode="External"/><Relationship Id="rId98" Type="http://schemas.openxmlformats.org/officeDocument/2006/relationships/hyperlink" Target="http://www.sec.gov/Archives/edgar/data/0001530249/000093905722000175/0000939057-22-000175-index.html" TargetMode="External"/><Relationship Id="rId99" Type="http://schemas.openxmlformats.org/officeDocument/2006/relationships/hyperlink" Target="http://www.sec.gov/Archives/edgar/data/0001530249/000093905722000175/ex102s8622.htm" TargetMode="External"/><Relationship Id="rId100" Type="http://schemas.openxmlformats.org/officeDocument/2006/relationships/hyperlink" Target="http://www.sec.gov/Archives/edgar/data/1530249/000093905724000032/fsbanc8k12924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2025-08-08T13:39:33Z</dcterms:created>
  <dcterms:modified xsi:type="dcterms:W3CDTF">2025-08-08T13:39:33Z</dcterms:modified>
</cp:coreProperties>
</file>