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3740" w:right="2000" w:hanging="3732"/>
        <w:spacing w:after="0" w:line="500" w:lineRule="auto"/>
        <w:tabs>
          <w:tab w:leader="none" w:pos="5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4"/>
          </w:tcPr>
          <w:p>
            <w:pPr>
              <w:ind w:left="35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tcBorders>
              <w:bottom w:val="single" w:sz="8" w:color="auto"/>
            </w:tcBorders>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 001-35589</w:t>
            </w:r>
          </w:p>
        </w:tc>
      </w:tr>
      <w:tr>
        <w:trPr>
          <w:trHeight w:val="418"/>
        </w:trPr>
        <w:tc>
          <w:tcPr>
            <w:tcW w:w="4660" w:type="dxa"/>
            <w:vAlign w:val="bottom"/>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FS BANCORP, INC.</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658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660" w:type="dxa"/>
            <w:vAlign w:val="bottom"/>
            <w:gridSpan w:val="3"/>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45-4585178</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6920 220th Street SW, Mountlake Terrace, Washington 98043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6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(425) 771</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5299</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2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27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Trading Symbol(s)</w:t>
            </w:r>
          </w:p>
        </w:tc>
        <w:tc>
          <w:tcPr>
            <w:tcW w:w="42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2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par value $.01 per share</w:t>
            </w:r>
          </w:p>
        </w:tc>
        <w:tc>
          <w:tcPr>
            <w:tcW w:w="2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FSBW</w:t>
            </w:r>
          </w:p>
        </w:tc>
        <w:tc>
          <w:tcPr>
            <w:tcW w:w="4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tabs>
          <w:tab w:leader="none" w:pos="1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472" w:right="339" w:bottom="1440" w:gutter="0" w:footer="0" w:header="0"/>
        </w:sectPr>
      </w:pP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700" w:space="720"/>
            <w:col w:w="3820"/>
          </w:cols>
          <w:pgMar w:left="320" w:top="472"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340" w:val="left"/>
          <w:tab w:leader="none" w:pos="9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5, 2026, there were 5,414,542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FS Bancorp,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9"/>
          </w:tcPr>
          <w:p>
            <w:pPr>
              <w:jc w:val="center"/>
              <w:ind w:right="318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3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5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3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1380" w:type="dxa"/>
            <w:vAlign w:val="bottom"/>
            <w:gridSpan w:val="6"/>
            <w:vMerge w:val="continue"/>
          </w:tcPr>
          <w:p>
            <w:pPr>
              <w:spacing w:after="0"/>
              <w:rPr>
                <w:sz w:val="18"/>
                <w:szCs w:val="18"/>
                <w:color w:val="auto"/>
              </w:rPr>
            </w:pPr>
          </w:p>
        </w:tc>
        <w:tc>
          <w:tcPr>
            <w:tcW w:w="8540" w:type="dxa"/>
            <w:vAlign w:val="bottom"/>
            <w:gridSpan w:val="18"/>
            <w:vMerge w:val="continue"/>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860" w:type="dxa"/>
            <w:vAlign w:val="bottom"/>
            <w:gridSpan w:val="5"/>
          </w:tcPr>
          <w:p>
            <w:pPr>
              <w:spacing w:after="0"/>
              <w:rPr>
                <w:sz w:val="24"/>
                <w:szCs w:val="24"/>
                <w:color w:val="auto"/>
              </w:rPr>
            </w:pPr>
          </w:p>
        </w:tc>
        <w:tc>
          <w:tcPr>
            <w:tcW w:w="1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04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Balance Sheets at March 31, 2026 (Unaudited) and December 31, 2025</w:t>
            </w: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for the Three Months Ended March 31, 2026 and 2025 (Unaudited)</w:t>
            </w:r>
          </w:p>
        </w:tc>
        <w:tc>
          <w:tcPr>
            <w:tcW w:w="1080" w:type="dxa"/>
            <w:vAlign w:val="bottom"/>
            <w:gridSpan w:val="4"/>
          </w:tcPr>
          <w:p>
            <w:pPr>
              <w:spacing w:after="0"/>
              <w:rPr>
                <w:sz w:val="24"/>
                <w:szCs w:val="24"/>
                <w:color w:val="auto"/>
              </w:rPr>
            </w:pP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Months Ended March 31, 2026 and 2025</w:t>
            </w:r>
          </w:p>
        </w:tc>
        <w:tc>
          <w:tcPr>
            <w:tcW w:w="8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32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Three Months Ended March 31, 2026 and 2025</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32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2026 and 2025 (Unaudited)</w:t>
            </w:r>
          </w:p>
        </w:tc>
        <w:tc>
          <w:tcPr>
            <w:tcW w:w="780" w:type="dxa"/>
            <w:vAlign w:val="bottom"/>
            <w:gridSpan w:val="2"/>
          </w:tcPr>
          <w:p>
            <w:pPr>
              <w:spacing w:after="0"/>
              <w:rPr>
                <w:sz w:val="24"/>
                <w:szCs w:val="24"/>
                <w:color w:val="auto"/>
              </w:rPr>
            </w:pP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 xml:space="preserve">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62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w w:val="95"/>
              </w:rPr>
              <w:t xml:space="preserve">9 </w:t>
            </w:r>
            <w:r>
              <w:rPr>
                <w:rFonts w:ascii="Times New Roman" w:cs="Times New Roman" w:eastAsia="Times New Roman" w:hAnsi="Times New Roman"/>
                <w:sz w:val="18"/>
                <w:szCs w:val="18"/>
                <w:color w:val="000000"/>
                <w:w w:val="95"/>
              </w:rPr>
              <w:t>-</w:t>
            </w:r>
            <w:r>
              <w:rPr>
                <w:rFonts w:ascii="Times New Roman" w:cs="Times New Roman" w:eastAsia="Times New Roman" w:hAnsi="Times New Roman"/>
                <w:sz w:val="18"/>
                <w:szCs w:val="18"/>
                <w:color w:val="0000EE"/>
                <w:w w:val="95"/>
              </w:rPr>
              <w:t xml:space="preserve"> 44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860" w:type="dxa"/>
            <w:vAlign w:val="bottom"/>
            <w:gridSpan w:val="5"/>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 xml:space="preserve">46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56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60" w:type="dxa"/>
            <w:vAlign w:val="bottom"/>
            <w:gridSpan w:val="5"/>
          </w:tcPr>
          <w:p>
            <w:pPr>
              <w:spacing w:after="0"/>
              <w:rPr>
                <w:sz w:val="24"/>
                <w:szCs w:val="24"/>
                <w:color w:val="auto"/>
              </w:rPr>
            </w:pP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10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0" w:type="dxa"/>
            <w:vAlign w:val="bottom"/>
            <w:gridSpan w:val="5"/>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56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40" w:type="dxa"/>
            <w:vAlign w:val="bottom"/>
            <w:tcBorders>
              <w:top w:val="single" w:sz="8" w:color="0000EE"/>
            </w:tcBorders>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20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520" w:type="dxa"/>
            <w:vAlign w:val="bottom"/>
            <w:gridSpan w:val="11"/>
          </w:tcPr>
          <w:p>
            <w:pPr>
              <w:spacing w:after="0"/>
              <w:rPr>
                <w:sz w:val="24"/>
                <w:szCs w:val="24"/>
                <w:color w:val="auto"/>
              </w:rPr>
            </w:pPr>
          </w:p>
        </w:tc>
        <w:tc>
          <w:tcPr>
            <w:tcW w:w="1140" w:type="dxa"/>
            <w:vAlign w:val="bottom"/>
            <w:gridSpan w:val="5"/>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1A.</w:t>
            </w: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740" w:type="dxa"/>
            <w:vAlign w:val="bottom"/>
            <w:gridSpan w:val="4"/>
          </w:tcPr>
          <w:p>
            <w:pPr>
              <w:spacing w:after="0"/>
              <w:rPr>
                <w:sz w:val="24"/>
                <w:szCs w:val="24"/>
                <w:color w:val="auto"/>
              </w:rPr>
            </w:pPr>
          </w:p>
        </w:tc>
        <w:tc>
          <w:tcPr>
            <w:tcW w:w="4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200" w:type="dxa"/>
            <w:vAlign w:val="bottom"/>
            <w:gridSpan w:val="8"/>
          </w:tcPr>
          <w:p>
            <w:pPr>
              <w:spacing w:after="0"/>
              <w:rPr>
                <w:sz w:val="24"/>
                <w:szCs w:val="24"/>
                <w:color w:val="auto"/>
              </w:rPr>
            </w:pPr>
          </w:p>
        </w:tc>
        <w:tc>
          <w:tcPr>
            <w:tcW w:w="1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60" w:type="dxa"/>
            <w:vAlign w:val="bottom"/>
            <w:gridSpan w:val="5"/>
          </w:tcPr>
          <w:p>
            <w:pPr>
              <w:spacing w:after="0"/>
              <w:rPr>
                <w:sz w:val="24"/>
                <w:szCs w:val="24"/>
                <w:color w:val="auto"/>
              </w:rPr>
            </w:pPr>
          </w:p>
        </w:tc>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220" w:type="dxa"/>
            <w:vAlign w:val="bottom"/>
            <w:gridSpan w:val="10"/>
          </w:tcPr>
          <w:p>
            <w:pPr>
              <w:spacing w:after="0"/>
              <w:rPr>
                <w:sz w:val="24"/>
                <w:szCs w:val="24"/>
                <w:color w:val="auto"/>
              </w:rPr>
            </w:pPr>
          </w:p>
        </w:tc>
        <w:tc>
          <w:tcPr>
            <w:tcW w:w="1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0" w:type="dxa"/>
            <w:vAlign w:val="bottom"/>
            <w:gridSpan w:val="5"/>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60" w:type="dxa"/>
            <w:vAlign w:val="bottom"/>
            <w:gridSpan w:val="5"/>
          </w:tcPr>
          <w:p>
            <w:pPr>
              <w:spacing w:after="0"/>
              <w:rPr>
                <w:sz w:val="24"/>
                <w:szCs w:val="24"/>
                <w:color w:val="auto"/>
              </w:rPr>
            </w:pP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780" w:type="dxa"/>
            <w:vAlign w:val="bottom"/>
            <w:gridSpan w:val="12"/>
          </w:tcPr>
          <w:p>
            <w:pPr>
              <w:spacing w:after="0"/>
              <w:rPr>
                <w:sz w:val="24"/>
                <w:szCs w:val="24"/>
                <w:color w:val="auto"/>
              </w:rPr>
            </w:pPr>
          </w:p>
        </w:tc>
        <w:tc>
          <w:tcPr>
            <w:tcW w:w="1140" w:type="dxa"/>
            <w:vAlign w:val="bottom"/>
            <w:gridSpan w:val="5"/>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860" w:type="dxa"/>
            <w:vAlign w:val="bottom"/>
            <w:gridSpan w:val="5"/>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3"/>
          </w:tcPr>
          <w:p>
            <w:pPr>
              <w:spacing w:after="0"/>
              <w:rPr>
                <w:sz w:val="24"/>
                <w:szCs w:val="24"/>
                <w:color w:val="auto"/>
              </w:rPr>
            </w:pPr>
          </w:p>
        </w:tc>
        <w:tc>
          <w:tcPr>
            <w:tcW w:w="7220" w:type="dxa"/>
            <w:vAlign w:val="bottom"/>
            <w:gridSpan w:val="14"/>
          </w:tcPr>
          <w:p>
            <w:pPr>
              <w:spacing w:after="0"/>
              <w:rPr>
                <w:sz w:val="24"/>
                <w:szCs w:val="24"/>
                <w:color w:val="auto"/>
              </w:rPr>
            </w:pPr>
          </w:p>
        </w:tc>
        <w:tc>
          <w:tcPr>
            <w:tcW w:w="1140" w:type="dxa"/>
            <w:vAlign w:val="bottom"/>
            <w:gridSpan w:val="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amounts)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26,278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14,715</w:t>
            </w:r>
          </w:p>
        </w:tc>
      </w:tr>
      <w:tr>
        <w:trPr>
          <w:trHeight w:val="223"/>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28,219</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Securities available-for-sale, at fair value (amortized cost of $293,844 and $310,097, net of allowance for</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losses of $0 and $0,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271,007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288,667</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Securities held-to-maturity, at amortized cost (fair value of $34,303 and $34,396, net of allowance for</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losses of $277 and $277, respectively)</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33,224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43,705</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Loans receivable, net of allowance for credit losses of $32,443 and $31,937 (includes loans of $12,977 and</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$13,183, at fair value, respectively)</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2,624,091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2,623,172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Long-lived assets held for sale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(“FHLB”) stock, at cost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owned life insurance (“BOLI”),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servicing rights (“MSRs”), held at the lower of cost or fair value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 deposit intangible,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38,072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38,203</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3,203,515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3,196,847</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653,691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658,123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Interest-bearing accounts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1,983,885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2,015,519</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2,637,576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2,673,642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subordinated notes less unamortized debt issuance costs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30,656</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2,889,663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2,889,153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45,000,000 shares authorized; 7,501,542 and 7,507,519 shares issued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280,197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313,852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307,694</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3,196,847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shares and per share amounts) (Unaudited)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including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43,303</w:t>
            </w:r>
          </w:p>
        </w:tc>
        <w:tc>
          <w:tcPr>
            <w:tcW w:w="0" w:type="dxa"/>
            <w:vAlign w:val="bottom"/>
          </w:tcPr>
          <w:p>
            <w:pPr>
              <w:spacing w:after="0"/>
              <w:rPr>
                <w:sz w:val="1"/>
                <w:szCs w:val="1"/>
                <w:color w:val="auto"/>
              </w:rPr>
            </w:pP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dividends on investment securities, cash and cash equivalents, and interest-bearing deposits at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institutions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46,788</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15,806</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29,390</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Deposit Insurance Corporation (“FDIC”) insurance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MSRs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25,055</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768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 xml:space="preserve"> (Unaudited)</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5"/>
          </w:tcPr>
          <w:p>
            <w:pPr>
              <w:jc w:val="right"/>
              <w:ind w:right="216"/>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8"/>
                <w:szCs w:val="18"/>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(loss) gain during period</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(provision) related to unrealized gain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derivative gain (loss) during period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 related to unrealized derivative gain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realized gain, net included in net income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Income tax provision related to reclassification,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2026 and 2025</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3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34"/>
        </w:trPr>
        <w:tc>
          <w:tcPr>
            <w:tcW w:w="328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Loss,</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Stockholders'</w:t>
            </w:r>
          </w:p>
        </w:tc>
      </w:tr>
      <w:tr>
        <w:trPr>
          <w:trHeight w:val="209"/>
        </w:trPr>
        <w:tc>
          <w:tcPr>
            <w:tcW w:w="328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Net of Tax</w:t>
            </w: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7,833,014</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($0.28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8,210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49"/>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7,742,907</w:t>
            </w:r>
          </w:p>
        </w:tc>
        <w:tc>
          <w:tcPr>
            <w:tcW w:w="12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52,806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262,945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298,840</w:t>
            </w:r>
          </w:p>
        </w:tc>
      </w:tr>
      <w:tr>
        <w:trPr>
          <w:trHeight w:val="197"/>
        </w:trPr>
        <w:tc>
          <w:tcPr>
            <w:tcW w:w="3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1, 2026</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7,507,519</w:t>
            </w:r>
          </w:p>
        </w:tc>
        <w:tc>
          <w:tcPr>
            <w:tcW w:w="120" w:type="dxa"/>
            <w:vAlign w:val="bottom"/>
          </w:tcPr>
          <w:p>
            <w:pPr>
              <w:spacing w:after="0"/>
              <w:rPr>
                <w:sz w:val="18"/>
                <w:szCs w:val="18"/>
                <w:color w:val="auto"/>
              </w:rPr>
            </w:pP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280,197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307,694</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($0.29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9,048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for</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employee/director taxes paid 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7,501,542</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285,854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313,852</w:t>
            </w: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 (Unaudited)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from operating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 related to stock options and restricted stock awards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on portfolio loans measured under the fair value option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of loans held for sale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93,068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purchase of tax credits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tax credits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of MSRs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8,176</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BY) INVESTING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Activity in securities available-for-sale: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Activity in securities held-to-maturity: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Maturities of certificates of deposit at other financial institutions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Portfolio loan originations and principal collections,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portfolio loans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FHLB stock,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contributions to affordable housing tax credit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from (used by) investing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BY) FROM FINANCING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increase in deposits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275,722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152,999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repurchased for employee/director taxes paid on restricted stock awards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 employee stock purchase plan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by)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31,109</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31,106</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38,702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62,741</w:t>
            </w:r>
          </w:p>
        </w:tc>
      </w:tr>
      <w:tr>
        <w:trPr>
          <w:trHeight w:val="413"/>
        </w:trPr>
        <w:tc>
          <w:tcPr>
            <w:tcW w:w="8000" w:type="dxa"/>
            <w:vAlign w:val="bottom"/>
            <w:tcBorders>
              <w:top w:val="single" w:sz="8" w:color="CCEEFF"/>
            </w:tcBorders>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DISCLOSURES OF CASH FLOW INFORMATION</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deposits and borrowings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15,874</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14,902</w:t>
            </w: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SUPPLEMENTARY DISCLOSURES OF NONCASH OPERATING, INVESTING AND</w:t>
            </w: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8"/>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on available-for-sale investment securities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on fair value and cash flow hedges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1,497</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34"/>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Retention of gross MSRs from loan sales</w:t>
            </w:r>
          </w:p>
        </w:tc>
        <w:tc>
          <w:tcPr>
            <w:tcW w:w="11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6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Dollar Amounts in Thousands,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BASIS OF PRESENTATION AND SUMMARY OF SIGNIFICANT ACCOUNTING POLICIES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 FS Bancorp, Inc. (the “Company”) was incorporated in September 2011 as the holding company for 1st Security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(the “Bank” or “1st Security Bank”) in connection with the Bank’s conversion from the mutual to stock form of ownership which was completed on July 9, 2012. 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spacing w:after="0" w:line="18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Financial Statement Presentation </w:t>
      </w:r>
      <w:r>
        <w:rPr>
          <w:rFonts w:ascii="Times New Roman" w:cs="Times New Roman" w:eastAsia="Times New Roman" w:hAnsi="Times New Roman"/>
          <w:sz w:val="18"/>
          <w:szCs w:val="18"/>
          <w:color w:val="auto"/>
        </w:rPr>
        <w:t>– The accompanying unaudited interim consolidated financial statements have been prepared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(“U.S. GAAP”) for interim financial information and in accordance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as promulgated by the Securities and Exchange Commission (“SEC”). These unaudited interim consolidated financial statements should be read in conjunction with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which includes all the audited financial statements and footnotes required by U.S. GAAP for complete financial statements for the year ended December 31, 2025. In the opinion of management, all normal adjustments and recurring accruals considered necessary for a fair presentation of the financial position and results of operations for the periods presented have been included. Certain prior-period amounts have been reclassified to conform to the current period presentation. These matters did not have an impact on net income or earnings per share for the periods presented.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25, 2026, FS Bancorp, Inc. announced the signing of a definitive merger agreement whereby the Company will acquire Pacific West Bancorp (“Pacific West”) in a stock and cash transaction valued at approximately $34.6 million. The transaction is subject to customary closing conditions, including the receipt of regulatory approvals and approval of the agreement by the shareholders of Pacific West. See “Note 15 – Definitive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for the three months ended March 31, 2026, are not necessarily indicative of the results that may be expected for the year ending December 31, 2026,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FS Bancorp and its wholly owned subsidiary, 1st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All material intercompany accounts have been eliminated in consolidation.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 The Company operates in two business segments through the Bank: commercial and consumer banking and home lending.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13 – Business Segments.”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 The Company has evaluated events and transactions after March 31, 2026, for potential recognition or disclosure.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2023-06, </w:t>
      </w:r>
      <w:r>
        <w:rPr>
          <w:rFonts w:ascii="Times New Roman" w:cs="Times New Roman" w:eastAsia="Times New Roman" w:hAnsi="Times New Roman"/>
          <w:sz w:val="18"/>
          <w:szCs w:val="18"/>
          <w:i w:val="1"/>
          <w:iCs w:val="1"/>
          <w:color w:val="auto"/>
        </w:rPr>
        <w:t>Disclosure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Amendments in Response to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Disclosure Update and Simplification Initiative</w:t>
      </w:r>
      <w:r>
        <w:rPr>
          <w:rFonts w:ascii="Times New Roman" w:cs="Times New Roman" w:eastAsia="Times New Roman" w:hAnsi="Times New Roman"/>
          <w:sz w:val="18"/>
          <w:szCs w:val="18"/>
          <w:color w:val="auto"/>
        </w:rPr>
        <w:t>. The amendments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and presentation requirements currently included in SEC regulations. Each amendment will become effective prospectively upon the SEC’s removal of the related disclosure requirement from its rules. The Company is currently evaluating the impact of ASU 2023-06 and does not expect the adoption to have a material effect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guidance within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The amendment in this ASU amends the effective date of ASU 2024-03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this ASU but does not expect it to have a material effect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guidance within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The ASU intends to improve the navigability of the guidance in ASC 270 and clarify when it applies. Under the amendments, an entity is subject to ASC 270 if it provides “interim financial statements and notes in accordance with GAAP.” The ASU is effective for interim periods in fiscal years beginning after December 15, 2027 for public business entities, with a one-year deferral for all other entities. Early adoption is permitted for all entities. The Company is currently evaluating the impact of this ASU but does not expect it to have a material effect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Accounting Guidance Adopted in 2026</w:t>
      </w:r>
    </w:p>
    <w:p>
      <w:pPr>
        <w:spacing w:after="0" w:line="188"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November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Purchased Loans</w:t>
      </w:r>
      <w:r>
        <w:rPr>
          <w:rFonts w:ascii="Times New Roman" w:cs="Times New Roman" w:eastAsia="Times New Roman" w:hAnsi="Times New Roman"/>
          <w:sz w:val="18"/>
          <w:szCs w:val="18"/>
          <w:color w:val="auto"/>
        </w:rPr>
        <w:t>, which expands and clarifies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accounting for certain purchased loans under the Current Expected Credit Loss ("CECL") model, including the use of a gross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approach for specified acquired loans. Although the ASU is effective for annual reporting periods beginning after December 15, 2026, and interim periods within those fiscal years, the Company early adopted the guidance effective January 1, 2026. Adoption of the ASU did not have a material impact on the Company’s accounting for acquired loans or related disclosures.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costs, unrealized gains, unrealized losses, estimated fair values of securities available-for-sale and held-to-maturity, and the ACL on securities available-for-sale and held-to-maturity at March 31,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293,844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271,007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33,544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327,388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305,310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r>
      <w:tr>
        <w:trPr>
          <w:trHeight w:val="21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18,127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310,097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288,667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323,063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ACL on securities held-to-maturity by major security type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3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w w:val="99"/>
              </w:rPr>
              <w:t>For the Three Months Ended March 31,</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ACL balance</w:t>
            </w:r>
          </w:p>
        </w:tc>
        <w:tc>
          <w:tcPr>
            <w:tcW w:w="3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ending ACL balance</w:t>
            </w:r>
          </w:p>
        </w:tc>
        <w:tc>
          <w:tcPr>
            <w:tcW w:w="3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412"/>
        </w:trPr>
        <w:tc>
          <w:tcPr>
            <w:tcW w:w="428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an individual basis. The estimate of expected credit losses considers historical credit loss information that is adjusted for current conditions and reasonable and supportable forecasts. There were no changes in credit loss reserves during the period, as there were no changes to the credit loss model and securities balances remained relatively flat. Accrued interest receivable totaled $675,000 and $271,000 on held-to-maturity debt securities and $1.5 million and $1.2 million on available-for-sale debt securities as of March 31, 2026 and December 31, 2025, respectively. Accrued interest receivable on securities is reported in “Accrued interest receivable” on the Consolidated Balance Sheets and is excluded from the calculation of the ACL.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2,108</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33,501</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there were no debt securities held-to-maturity that were classified as either nonaccrual or 90 days or more past due and still accruing interest.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as of March 31, 2026, investment securities which were pledged to secure borrowings, public deposits or other obligations as permitted or required by law: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March 31, 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Purpose or beneficiary</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Carrying Value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government public deposits</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25,737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securities that were in an unrealized loss position at the dates indicated are presented in the following tables, based on the length of time individual securities have been in an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r>
      <w:tr>
        <w:trPr>
          <w:trHeight w:val="191"/>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Unrealized</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16,045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42,805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161,081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203,886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(23,666)</w:t>
            </w:r>
          </w:p>
        </w:tc>
      </w:tr>
      <w:tr>
        <w:trPr>
          <w:trHeight w:val="209"/>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14,057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10"/>
        </w:trPr>
        <w:tc>
          <w:tcPr>
            <w:tcW w:w="3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09"/>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56,862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162,015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218,877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Unrealized</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42,202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165,674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207,876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(22,263)</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48,990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166,609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215,599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unrealized losses associated with our investment securities are believed to be caused by changing market conditions and considered to be temporary, and the Company does not intend and is not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available-for-sale mortgage-backed securities and asset-backed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three months ended March 31, 2026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agency securities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15,289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15,288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13,342</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71,698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62,827</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80,877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71,405</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National Mortgage Association (“FNMA”)</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75,492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Mortgage Corporation (“FHLMC”)</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46,556</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National Mortgage Association (“GNMA”)</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51,519</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166,729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158,122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181,849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173,567</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6,845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293,844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271,007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310,097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288,667</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31,393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32,075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34,396</w:t>
            </w:r>
          </w:p>
        </w:tc>
        <w:tc>
          <w:tcPr>
            <w:tcW w:w="0" w:type="dxa"/>
            <w:vAlign w:val="bottom"/>
          </w:tcPr>
          <w:p>
            <w:pPr>
              <w:spacing w:after="0"/>
              <w:rPr>
                <w:sz w:val="1"/>
                <w:szCs w:val="1"/>
                <w:color w:val="auto"/>
              </w:rPr>
            </w:pP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327,388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305,310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343,598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323,063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securities available-for-sale for the three months ended March 31, 2026 and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LOANS RECEIVABLE AND ALLOWANCE FOR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LOANS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loan portfolio was as follows at the dates indicated: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 ("CRE") LOANS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176,078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177,113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354,130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263,353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262,150</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986,838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969,471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One-to-four-family</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628,761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88,271</w:t>
            </w:r>
          </w:p>
        </w:tc>
      </w:tr>
      <w:tr>
        <w:trPr>
          <w:trHeight w:val="216"/>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42,329</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763,598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759,361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525,842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68,115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583,484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596,986</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industrial (“C&amp;I”)</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301,111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28,180</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322,614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329,291</w:t>
            </w: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loans receivable, gross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2,656,534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2,655,109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ACL on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(31,937)</w:t>
            </w:r>
          </w:p>
        </w:tc>
      </w:tr>
      <w:tr>
        <w:trPr>
          <w:trHeight w:val="25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2,623,172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amounts are net of unearned loan fees in excess of unamortized costs, unamortized net discounts on acquired loans, and premiums on purchased loans of $7.5 million as of March 31, 2026 and $8.6 million as of December 31, 2025. Net loans do not include accrued interest receivable.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Company’s CRE and multi-family real estate, construction, residential, and commercial business lending activities are with customers located in Western Washington, the Oregon Coast, or near our loan production offices in Vancouver and the Tri-Cities, Washington. While the Company primarily originates real estate, consumer, and commercial business loans in these market areas, it also originates indirect home improvement loans, including solar-related home improvement loans, through a network of home improvement contractors and dealers located throughout Washington, Oregon, California, Idaho, Colorado, Arizona, Minnesota, Nevada, Texas, Utah, Massachusetts, Montana, and New Hampshire. Depending on underwriting guidelines, these indirect home improvement loans may be secured by collateral, with legal documentation that establishes the Company's rights to the collateral, where practicable. Local economic conditions may affect borrowers’ ability to meet the stated repayment terms.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Company held approximately $1.12 billion in loans that are pledged as collateral for FHLB borrowings, compared to approximately $1.08 billion at December 31, 2025. The Company held approximately $567.1 million in loans that are pledged as collateral for the Federal Reserve Bank of San Francisco (the “FRB”) line of credit at March 31, 2026, compared to approximately $580.9 million at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defined its loan portfolio into four segments that reflect the structure of the lending function, the Company’s strategic plan and the way management monitors performance and credit quality. The four loan portfolio segments are: (a) CRE, (b) residential real estate, (c) consumer, and (d) commercial business. Each segment is further disaggregated into classes based on the risk characteristics of the borrower and/or the collateral securing the loan. The following is a summary of the Company’s loan portfolio segments and classes: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Loans</w:t>
      </w:r>
    </w:p>
    <w:p>
      <w:pPr>
        <w:spacing w:after="0" w:line="227"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Multi-Family Lending</w:t>
      </w:r>
      <w:r>
        <w:rPr>
          <w:rFonts w:ascii="Times New Roman" w:cs="Times New Roman" w:eastAsia="Times New Roman" w:hAnsi="Times New Roman"/>
          <w:sz w:val="18"/>
          <w:szCs w:val="18"/>
          <w:color w:val="auto"/>
        </w:rPr>
        <w:t>. Apartment term lending (five or more units) and community reinvestment loans for low to moderate income borrowers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footprint.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CRE Lending</w:t>
      </w:r>
      <w:r>
        <w:rPr>
          <w:rFonts w:ascii="Times New Roman" w:cs="Times New Roman" w:eastAsia="Times New Roman" w:hAnsi="Times New Roman"/>
          <w:sz w:val="18"/>
          <w:szCs w:val="18"/>
          <w:color w:val="auto"/>
        </w:rPr>
        <w:t>. Loans originated by the Company primarily secured by income-producing properties, including retail centers, warehouses,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located in our market areas.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Commercial and Speculative Construction and Development Lending</w:t>
      </w:r>
      <w:r>
        <w:rPr>
          <w:rFonts w:ascii="Times New Roman" w:cs="Times New Roman" w:eastAsia="Times New Roman" w:hAnsi="Times New Roman"/>
          <w:sz w:val="18"/>
          <w:szCs w:val="18"/>
          <w:color w:val="auto"/>
        </w:rPr>
        <w:t>. Loans originated for the construction of, and secured by, commercial real estate, one-to-four-family, and multi-family properties and tracts of land for development that are not pre-sold. Custom one-to-four-family construction loans to the intended occupant of the residence are included under residential custom construction lending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One-to-Four-Family Real Estate Lending</w:t>
      </w:r>
      <w:r>
        <w:rPr>
          <w:rFonts w:ascii="Times New Roman" w:cs="Times New Roman" w:eastAsia="Times New Roman" w:hAnsi="Times New Roman"/>
          <w:sz w:val="18"/>
          <w:szCs w:val="18"/>
          <w:color w:val="auto"/>
        </w:rPr>
        <w:t>. One-to-four-family residential loans include both owner occupied properties (including second homes), and non-owner occupied properties with up to four units. These loans, which are originated by the Company or periodically purchased from other banks, are secured by first mortgages on one-to-four-family residences in our market areas and are intended to be held in the Company's portfolio (excludes loans held for sale).</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Home Equity Lending</w:t>
      </w:r>
      <w:r>
        <w:rPr>
          <w:rFonts w:ascii="Times New Roman" w:cs="Times New Roman" w:eastAsia="Times New Roman" w:hAnsi="Times New Roman"/>
          <w:sz w:val="18"/>
          <w:szCs w:val="18"/>
          <w:color w:val="auto"/>
        </w:rPr>
        <w:t>. Loans originated by the Company secured by second mortgages on one-to-four-family residences, including home equity lines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within our market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Custom Construction Lending</w:t>
      </w:r>
      <w:r>
        <w:rPr>
          <w:rFonts w:ascii="Times New Roman" w:cs="Times New Roman" w:eastAsia="Times New Roman" w:hAnsi="Times New Roman"/>
          <w:sz w:val="18"/>
          <w:szCs w:val="18"/>
          <w:color w:val="auto"/>
        </w:rPr>
        <w:t>. Custom construction loans to intended occupants of one-to-four family residences.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Loans</w:t>
      </w:r>
    </w:p>
    <w:p>
      <w:pPr>
        <w:spacing w:after="0" w:line="22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Indirect Home Improvement</w:t>
      </w:r>
      <w:r>
        <w:rPr>
          <w:rFonts w:ascii="Times New Roman" w:cs="Times New Roman" w:eastAsia="Times New Roman" w:hAnsi="Times New Roman"/>
          <w:sz w:val="18"/>
          <w:szCs w:val="18"/>
          <w:color w:val="auto"/>
        </w:rPr>
        <w:t>. Fixture secured loans for home improvement are originated by the Company through its network of home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and dealers. These loans are secured by the personal property installed in, on, or at the borrower’s real property, and may be perfected with a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financing statement filed in the county of the borrower’s residence. These indirect home improvement loans include replacement windows, siding, roofing, spas, and other home fixture installations, including solar related home improvement projects.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Marine</w:t>
      </w:r>
      <w:r>
        <w:rPr>
          <w:rFonts w:ascii="Times New Roman" w:cs="Times New Roman" w:eastAsia="Times New Roman" w:hAnsi="Times New Roman"/>
          <w:sz w:val="18"/>
          <w:szCs w:val="18"/>
          <w:color w:val="auto"/>
        </w:rPr>
        <w:t>. Loans originated by the Company, secured by boats, to borrowers primarily located in states where the Company originates consumer loans.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Consumer</w:t>
      </w:r>
      <w:r>
        <w:rPr>
          <w:rFonts w:ascii="Times New Roman" w:cs="Times New Roman" w:eastAsia="Times New Roman" w:hAnsi="Times New Roman"/>
          <w:sz w:val="18"/>
          <w:szCs w:val="18"/>
          <w:color w:val="auto"/>
        </w:rPr>
        <w:t>. Loans originated by the Company to consumers in our retail branch footprint, including automobiles, direct home improvement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on deposits, and other consumer loans, primarily consisting of personal lines of credit and credit cards.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Business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C&amp;I Lending. </w:t>
      </w:r>
      <w:r>
        <w:rPr>
          <w:rFonts w:ascii="Times New Roman" w:cs="Times New Roman" w:eastAsia="Times New Roman" w:hAnsi="Times New Roman"/>
          <w:sz w:val="18"/>
          <w:szCs w:val="18"/>
          <w:color w:val="auto"/>
        </w:rPr>
        <w:t>C&amp;I loans originated by the Company to local small- and mid-sized businesses in our market area are secured primarily by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inventory, and personal property, plant and equipment. Some C&amp;I loans purchased by the Company are outside of our market area. C&amp;I loans are made based on the borrower’s ability to repay from the cash flow of the borrower’s business. At March 31, 2026 and December 31, 2025, C&amp;I loans included Small Business Administration and United States Department of Agriculture guaranteed certificates of $43.7 million and $44.8 million, respectively.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Warehouse Lending</w:t>
      </w:r>
      <w:r>
        <w:rPr>
          <w:rFonts w:ascii="Times New Roman" w:cs="Times New Roman" w:eastAsia="Times New Roman" w:hAnsi="Times New Roman"/>
          <w:sz w:val="18"/>
          <w:szCs w:val="18"/>
          <w:color w:val="auto"/>
        </w:rPr>
        <w:t>. Loans originated to non-depository financial institutions and secured by notes originated by the non-depository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two distinct warehouse lending divisions: commercial warehouse re-lending secured by notes on construction loans and mortgage warehouse re-lending secured by notes related to one-to-four-family loans. The Company’s commercial construction warehouse lines are secured by notes related to construction loans and typically guaranteed by principals with experience in construction lending. Mortgage warehouse lines are funded through third-party residential mortgage bankers. Under this program, the Company provides short-term funding to mortgage banking companies for the purpose of originating residential mortgage loans for sale into the secondary market.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activity in the ACL on loans by loan categories at or for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8"/>
                <w:szCs w:val="18"/>
                <w:color w:val="auto"/>
              </w:rPr>
              <w:t>At or For the Three Months Ended March 31, 2026</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31,937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(reversal of) credit losses on loans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r>
      <w:tr>
        <w:trPr>
          <w:trHeight w:val="209"/>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32,443</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8"/>
                <w:szCs w:val="18"/>
                <w:color w:val="auto"/>
              </w:rPr>
              <w:t>At or For the Three Months Ended March 31, 2025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(Reversal of) provision for credit losses on loans.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09"/>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31,653</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credit losses on loans for the three months ended March 31, 2026, was primarily attributable to elevated net charge-offs in the consumer loan portfolio, particularly within indirect home improvement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to Borrowers Experiencing Financial Difficulty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 An assessment of whether a borrower is experiencing financial difficulty is made on the date of a modification. The effect of most modifications made to borrowers experiencing financial difficulty is already included in the ACL on loans because of the measurement methodologies used to estimate the allowance.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that were both experiencing financial difficulty and modified during the three months ended March 31, 2026 and 2025, by class and by type of modification. The tables also present the percentage of the amortized cost basis of loans that were modified to borrowers experiencing financial difficulty relative to the total amortized cost basis of each class of financing receivable, as well as the financial effect of the modification.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Term</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0" w:type="dxa"/>
            <w:vAlign w:val="bottom"/>
          </w:tcPr>
          <w:p>
            <w:pPr>
              <w:spacing w:after="0"/>
              <w:rPr>
                <w:sz w:val="1"/>
                <w:szCs w:val="1"/>
                <w:color w:val="auto"/>
              </w:rPr>
            </w:pPr>
          </w:p>
        </w:tc>
      </w:tr>
      <w:tr>
        <w:trPr>
          <w:trHeight w:val="216"/>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COMMERCIAL BUSINESS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Class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Payment</w:t>
            </w:r>
          </w:p>
        </w:tc>
        <w:tc>
          <w:tcPr>
            <w:tcW w:w="0" w:type="dxa"/>
            <w:vAlign w:val="bottom"/>
          </w:tcPr>
          <w:p>
            <w:pPr>
              <w:spacing w:after="0"/>
              <w:rPr>
                <w:sz w:val="1"/>
                <w:szCs w:val="1"/>
                <w:color w:val="auto"/>
              </w:rPr>
            </w:pPr>
          </w:p>
        </w:tc>
      </w:tr>
      <w:tr>
        <w:trPr>
          <w:trHeight w:val="225"/>
        </w:trPr>
        <w:tc>
          <w:tcPr>
            <w:tcW w:w="388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Payment</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Financing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Delay</w:t>
            </w:r>
          </w:p>
        </w:tc>
        <w:tc>
          <w:tcPr>
            <w:tcW w:w="0" w:type="dxa"/>
            <w:vAlign w:val="bottom"/>
          </w:tcPr>
          <w:p>
            <w:pPr>
              <w:spacing w:after="0"/>
              <w:rPr>
                <w:sz w:val="1"/>
                <w:szCs w:val="1"/>
                <w:color w:val="auto"/>
              </w:rPr>
            </w:pPr>
          </w:p>
        </w:tc>
      </w:tr>
      <w:tr>
        <w:trPr>
          <w:trHeight w:val="238"/>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Delay</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Receivable</w:t>
            </w:r>
          </w:p>
        </w:tc>
        <w:tc>
          <w:tcPr>
            <w:tcW w:w="2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880" w:type="dxa"/>
            <w:vAlign w:val="bottom"/>
          </w:tcPr>
          <w:p>
            <w:pPr>
              <w:spacing w:after="0"/>
              <w:rPr>
                <w:sz w:val="24"/>
                <w:szCs w:val="24"/>
                <w:color w:val="auto"/>
              </w:rPr>
            </w:pPr>
          </w:p>
        </w:tc>
        <w:tc>
          <w:tcPr>
            <w:tcW w:w="2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color w:val="auto"/>
              </w:rPr>
              <w:t>For the Three Months Ended March 31, 2025</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Combination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Term</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Term</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Extension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Extension</w:t>
            </w: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Class of</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Payment</w:t>
            </w:r>
          </w:p>
        </w:tc>
        <w:tc>
          <w:tcPr>
            <w:tcW w:w="0" w:type="dxa"/>
            <w:vAlign w:val="bottom"/>
          </w:tcPr>
          <w:p>
            <w:pPr>
              <w:spacing w:after="0"/>
              <w:rPr>
                <w:sz w:val="1"/>
                <w:szCs w:val="1"/>
                <w:color w:val="auto"/>
              </w:rPr>
            </w:pPr>
          </w:p>
        </w:tc>
      </w:tr>
      <w:tr>
        <w:trPr>
          <w:trHeight w:val="216"/>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Payment</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Financing</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Delay</w:t>
            </w:r>
          </w:p>
        </w:tc>
        <w:tc>
          <w:tcPr>
            <w:tcW w:w="0" w:type="dxa"/>
            <w:vAlign w:val="bottom"/>
          </w:tcPr>
          <w:p>
            <w:pPr>
              <w:spacing w:after="0"/>
              <w:rPr>
                <w:sz w:val="1"/>
                <w:szCs w:val="1"/>
                <w:color w:val="auto"/>
              </w:rPr>
            </w:pPr>
          </w:p>
        </w:tc>
      </w:tr>
      <w:tr>
        <w:trPr>
          <w:trHeight w:val="234"/>
        </w:trPr>
        <w:tc>
          <w:tcPr>
            <w:tcW w:w="4020" w:type="dxa"/>
            <w:vAlign w:val="bottom"/>
            <w:gridSpan w:val="2"/>
            <w:vMerge w:val="continue"/>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Delay</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Receivable</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commitments to lend additional funds to borrowers experiencing financial difficulty whose terms had been modified during the three months ended March 31, 2026. As of December 31, 2025, there were no commitments to lend additional funds to borrowers experiencing financial difficulty whose terms had been modified during the year ended December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closely monitors the performance of loans modified to borrowers experiencing financial difficulty to evaluate the effectiveness of its modification efforts. There were no loans modified within the prior 12 months that were delinquent as of March 31, 2026. The following table presents the performance of such loans that were modified within the prior 12 months as of March 31, 2025: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616"/>
              <w:spacing w:after="0"/>
              <w:rPr>
                <w:sz w:val="20"/>
                <w:szCs w:val="20"/>
                <w:color w:val="auto"/>
              </w:rPr>
            </w:pPr>
            <w:r>
              <w:rPr>
                <w:rFonts w:ascii="Times New Roman" w:cs="Times New Roman" w:eastAsia="Times New Roman" w:hAnsi="Times New Roman"/>
                <w:sz w:val="18"/>
                <w:szCs w:val="18"/>
                <w:color w:val="auto"/>
                <w:w w:val="97"/>
              </w:rPr>
              <w:t>Days</w:t>
            </w:r>
          </w:p>
        </w:tc>
        <w:tc>
          <w:tcPr>
            <w:tcW w:w="128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7"/>
              </w:rPr>
              <w:t>Days</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90 Days</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20" w:type="dxa"/>
            <w:vAlign w:val="bottom"/>
          </w:tcPr>
          <w:p>
            <w:pPr>
              <w:spacing w:after="0"/>
              <w:rPr>
                <w:sz w:val="19"/>
                <w:szCs w:val="19"/>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Past</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Past</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Past</w:t>
            </w:r>
          </w:p>
        </w:tc>
        <w:tc>
          <w:tcPr>
            <w:tcW w:w="0" w:type="dxa"/>
            <w:vAlign w:val="bottom"/>
          </w:tcPr>
          <w:p>
            <w:pPr>
              <w:spacing w:after="0"/>
              <w:rPr>
                <w:sz w:val="1"/>
                <w:szCs w:val="1"/>
                <w:color w:val="auto"/>
              </w:rPr>
            </w:pPr>
          </w:p>
        </w:tc>
      </w:tr>
      <w:tr>
        <w:trPr>
          <w:trHeight w:val="234"/>
        </w:trPr>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Due</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Due</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Past Due</w:t>
            </w:r>
          </w:p>
        </w:tc>
        <w:tc>
          <w:tcPr>
            <w:tcW w:w="2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loans to borrowers experiencing financial difficulty that had a payment default during the three months ended March 31, 2026 and 2025, and were modified in the 12 months prior to that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and Past Due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pertaining to the aging analysis of contractually past due loans and nonaccrual loans at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1"/>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5"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1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182,260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182,568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349,215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358,657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263,353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263,353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976,315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986,838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10,523</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8"/>
        </w:trPr>
        <w:tc>
          <w:tcPr>
            <w:tcW w:w="3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One-to-four-family (excludes loans held for</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627,983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630,996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760,221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763,598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2,458</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4,622</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3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574,458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583,484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5,122</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18,144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18,144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322,614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3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2,633,344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2,656,534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18,268</w:t>
            </w: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w w:val="97"/>
              </w:rPr>
              <w:t>December 31, 2025</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5"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09"/>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174,647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176,078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5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344,894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354,130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958,804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969,471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11,285</w:t>
            </w:r>
          </w:p>
        </w:tc>
      </w:tr>
      <w:tr>
        <w:trPr>
          <w:trHeight w:val="2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8"/>
        </w:trPr>
        <w:tc>
          <w:tcPr>
            <w:tcW w:w="35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One-to-four-family (excludes loans held for</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627,219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628,761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757,520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759,361</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r>
      <w:tr>
        <w:trPr>
          <w:trHeight w:val="20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4,256</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587,971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596,986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300,409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328,589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329,291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r>
        <w:trPr>
          <w:trHeight w:val="210"/>
        </w:trPr>
        <w:tc>
          <w:tcPr>
            <w:tcW w:w="3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2,632,884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2,655,109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18,745</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 Includes loans less than 90 days past due,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90 days or more past due and still accruing interest at both March 31, 2026 and December 31, 2025.</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There were $776,000 and $156,000 in residential real estate loans in the process of foreclosure at March 31, 2026 and December 31, 2025,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utilizes a risk grading matrix to assign a risk grade to its real estate and commercial business loans. Loans are graded on a scale of 1 to 10, with loans in risk grades 1 to 6 reported as “Pass” and loans in risk grades 7 to 10 reported as classified loans in the Company’s ACL analysis.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10 risk grades is as follows:</w:t>
      </w:r>
    </w:p>
    <w:p>
      <w:pPr>
        <w:spacing w:after="0" w:line="223" w:lineRule="exact"/>
        <w:rPr>
          <w:sz w:val="20"/>
          <w:szCs w:val="20"/>
          <w:color w:val="auto"/>
        </w:rPr>
      </w:pPr>
    </w:p>
    <w:p>
      <w:pPr>
        <w:ind w:left="400" w:hanging="325"/>
        <w:spacing w:after="0"/>
        <w:tabs>
          <w:tab w:leader="none" w:pos="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1 and 2 - </w:t>
      </w:r>
      <w:r>
        <w:rPr>
          <w:rFonts w:ascii="Times New Roman" w:cs="Times New Roman" w:eastAsia="Times New Roman" w:hAnsi="Times New Roman"/>
          <w:sz w:val="18"/>
          <w:szCs w:val="18"/>
          <w:color w:val="auto"/>
        </w:rPr>
        <w:t>These grades include loans to very high-quality borrowers with excellent or desirable business credit.</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3 - </w:t>
      </w:r>
      <w:r>
        <w:rPr>
          <w:rFonts w:ascii="Times New Roman" w:cs="Times New Roman" w:eastAsia="Times New Roman" w:hAnsi="Times New Roman"/>
          <w:sz w:val="18"/>
          <w:szCs w:val="18"/>
          <w:color w:val="auto"/>
        </w:rPr>
        <w:t>This grade includes loans to borrowers of good business credit with moderate risk.</w:t>
      </w:r>
    </w:p>
    <w:p>
      <w:pPr>
        <w:spacing w:after="0" w:line="225"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4 and 5 - </w:t>
      </w:r>
      <w:r>
        <w:rPr>
          <w:rFonts w:ascii="Times New Roman" w:cs="Times New Roman" w:eastAsia="Times New Roman" w:hAnsi="Times New Roman"/>
          <w:sz w:val="18"/>
          <w:szCs w:val="18"/>
          <w:color w:val="auto"/>
        </w:rPr>
        <w:t>These grades include “Pass” grade loans to borrowers of average credit quality and risk.</w:t>
      </w:r>
    </w:p>
    <w:p>
      <w:pPr>
        <w:spacing w:after="0" w:line="225" w:lineRule="exact"/>
        <w:rPr>
          <w:rFonts w:ascii="Times New Roman" w:cs="Times New Roman" w:eastAsia="Times New Roman" w:hAnsi="Times New Roman"/>
          <w:sz w:val="18"/>
          <w:szCs w:val="18"/>
          <w:color w:val="auto"/>
        </w:rPr>
      </w:pPr>
    </w:p>
    <w:p>
      <w:pPr>
        <w:jc w:val="both"/>
        <w:ind w:left="380" w:right="20" w:hanging="318"/>
        <w:spacing w:after="0" w:line="267"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6 - </w:t>
      </w:r>
      <w:r>
        <w:rPr>
          <w:rFonts w:ascii="Times New Roman" w:cs="Times New Roman" w:eastAsia="Times New Roman" w:hAnsi="Times New Roman"/>
          <w:sz w:val="18"/>
          <w:szCs w:val="18"/>
          <w:color w:val="auto"/>
        </w:rPr>
        <w:t>This grade includes loans on management’s “Watch” list and is intended to be utilized on a temporary basis for “Pass” grade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frequent and thorough monitoring is required due to credit weaknesses and where significant risk-modifying action is anticipated in the near term.</w:t>
      </w:r>
    </w:p>
    <w:p>
      <w:pPr>
        <w:spacing w:after="0" w:line="173" w:lineRule="exact"/>
        <w:rPr>
          <w:rFonts w:ascii="Times New Roman" w:cs="Times New Roman" w:eastAsia="Times New Roman" w:hAnsi="Times New Roman"/>
          <w:sz w:val="18"/>
          <w:szCs w:val="18"/>
          <w:color w:val="auto"/>
        </w:rPr>
      </w:pPr>
    </w:p>
    <w:p>
      <w:pPr>
        <w:ind w:left="380" w:right="20" w:hanging="318"/>
        <w:spacing w:after="0" w:line="284"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7 - </w:t>
      </w:r>
      <w:r>
        <w:rPr>
          <w:rFonts w:ascii="Times New Roman" w:cs="Times New Roman" w:eastAsia="Times New Roman" w:hAnsi="Times New Roman"/>
          <w:sz w:val="18"/>
          <w:szCs w:val="18"/>
          <w:color w:val="auto"/>
        </w:rPr>
        <w:t>This grade is for “Other Assets Especially Mentioned (“OAEM”)” or “Special Mention” loans in accordance with regulatory guidelines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borrowers where performance is poor or significantly less than expected.</w:t>
      </w:r>
    </w:p>
    <w:p>
      <w:pPr>
        <w:spacing w:after="0" w:line="158" w:lineRule="exact"/>
        <w:rPr>
          <w:rFonts w:ascii="Times New Roman" w:cs="Times New Roman" w:eastAsia="Times New Roman" w:hAnsi="Times New Roman"/>
          <w:sz w:val="18"/>
          <w:szCs w:val="18"/>
          <w:color w:val="auto"/>
        </w:rPr>
      </w:pPr>
    </w:p>
    <w:p>
      <w:pPr>
        <w:ind w:left="380" w:right="20" w:hanging="318"/>
        <w:spacing w:after="0" w:line="284"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8 - </w:t>
      </w:r>
      <w:r>
        <w:rPr>
          <w:rFonts w:ascii="Times New Roman" w:cs="Times New Roman" w:eastAsia="Times New Roman" w:hAnsi="Times New Roman"/>
          <w:sz w:val="18"/>
          <w:szCs w:val="18"/>
          <w:color w:val="auto"/>
        </w:rPr>
        <w:t>This grade includes “Substandard” loans in accordance with regulatory guidelines which represent an unacceptable business credit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is possible if loan weakness is not corrected.</w:t>
      </w:r>
    </w:p>
    <w:p>
      <w:pPr>
        <w:spacing w:after="0" w:line="15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9 - </w:t>
      </w:r>
      <w:r>
        <w:rPr>
          <w:rFonts w:ascii="Times New Roman" w:cs="Times New Roman" w:eastAsia="Times New Roman" w:hAnsi="Times New Roman"/>
          <w:sz w:val="18"/>
          <w:szCs w:val="18"/>
          <w:color w:val="auto"/>
        </w:rPr>
        <w:t>This grade includes “Doubtful” loans in accordance with regulatory guidelines where a loss is highly probable.</w:t>
      </w:r>
    </w:p>
    <w:p>
      <w:pPr>
        <w:spacing w:after="0" w:line="225" w:lineRule="exact"/>
        <w:rPr>
          <w:rFonts w:ascii="Times New Roman" w:cs="Times New Roman" w:eastAsia="Times New Roman" w:hAnsi="Times New Roman"/>
          <w:sz w:val="18"/>
          <w:szCs w:val="18"/>
          <w:color w:val="auto"/>
        </w:rPr>
      </w:pPr>
    </w:p>
    <w:p>
      <w:pPr>
        <w:ind w:left="380" w:hanging="318"/>
        <w:spacing w:after="0" w:line="284"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10 - </w:t>
      </w:r>
      <w:r>
        <w:rPr>
          <w:rFonts w:ascii="Times New Roman" w:cs="Times New Roman" w:eastAsia="Times New Roman" w:hAnsi="Times New Roman"/>
          <w:sz w:val="18"/>
          <w:szCs w:val="18"/>
          <w:color w:val="auto"/>
        </w:rPr>
        <w:t>This grade includes “Loss” loans in accordance with regulatory guidelines for which total loss is expected and when identified are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and Account Management Policy, loans that are current or less than 90 days past due are graded “Pass” and risk rated “4” or “5” internally. Loans that are past due more than 90 days are classified “Substandard” and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 (owner occupied, non-owner occupied, commercial construction and development, and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risk rated loan balances and total current period gross charge-offs by category, as of the dates indicated. Term loans that were renewed or extended for periods longer than 90 days are presented as new originations in the year of the most recent renewal or extension.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10,257</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37,386</w:t>
            </w:r>
          </w:p>
        </w:tc>
        <w:tc>
          <w:tcPr>
            <w:tcW w:w="3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4,122</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21,366</w:t>
            </w:r>
          </w:p>
        </w:tc>
        <w:tc>
          <w:tcPr>
            <w:tcW w:w="34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34,917</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41,151</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149,199</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31,980</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CRE owner occupied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10,257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37,386</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4,722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25,431</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41,012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63,452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182,260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CRE non-owner occupied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35,656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84,862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176,088</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3,041</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3,041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21,926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9,421</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8,358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18,906</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37,001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86,956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182,568</w:t>
            </w: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26,236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81,224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22,347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349,215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9,442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9,442</w:t>
            </w:r>
          </w:p>
        </w:tc>
        <w:tc>
          <w:tcPr>
            <w:tcW w:w="0" w:type="dxa"/>
            <w:vAlign w:val="bottom"/>
          </w:tcPr>
          <w:p>
            <w:pPr>
              <w:spacing w:after="0"/>
              <w:rPr>
                <w:sz w:val="1"/>
                <w:szCs w:val="1"/>
                <w:color w:val="auto"/>
              </w:rPr>
            </w:pPr>
          </w:p>
        </w:tc>
      </w:tr>
      <w:tr>
        <w:trPr>
          <w:trHeight w:val="119"/>
        </w:trPr>
        <w:tc>
          <w:tcPr>
            <w:tcW w:w="22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commercial and speculative</w:t>
            </w: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26,236</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200,608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81,224</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31,789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10,054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358,657</w:t>
            </w:r>
          </w:p>
        </w:tc>
        <w:tc>
          <w:tcPr>
            <w:tcW w:w="0" w:type="dxa"/>
            <w:vAlign w:val="bottom"/>
          </w:tcPr>
          <w:p>
            <w:pPr>
              <w:spacing w:after="0"/>
              <w:rPr>
                <w:sz w:val="1"/>
                <w:szCs w:val="1"/>
                <w:color w:val="auto"/>
              </w:rPr>
            </w:pPr>
          </w:p>
        </w:tc>
      </w:tr>
      <w:tr>
        <w:trPr>
          <w:trHeight w:val="158"/>
        </w:trPr>
        <w:tc>
          <w:tcPr>
            <w:tcW w:w="228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2,522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26,391</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20,759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6,990</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19,824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186,867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263,353</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multi-family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2,522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26,391</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20,759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6,990</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186,867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263,353</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loans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60,941</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273,806</w:t>
            </w:r>
          </w:p>
        </w:tc>
        <w:tc>
          <w:tcPr>
            <w:tcW w:w="3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115,063</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54,141</w:t>
            </w:r>
          </w:p>
        </w:tc>
        <w:tc>
          <w:tcPr>
            <w:tcW w:w="34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129,626</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347,329</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5,932</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986,838</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REAL ESTATE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35,311</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89,332</w:t>
            </w:r>
          </w:p>
        </w:tc>
        <w:tc>
          <w:tcPr>
            <w:tcW w:w="36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48,518</w:t>
            </w:r>
          </w:p>
        </w:tc>
        <w:tc>
          <w:tcPr>
            <w:tcW w:w="2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91,669</w:t>
            </w:r>
          </w:p>
        </w:tc>
        <w:tc>
          <w:tcPr>
            <w:tcW w:w="34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147,036</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214,029</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625,895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3,144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3,815</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one-to-four-family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35,311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89,332</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48,518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92,340</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147,740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217,755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630,996</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68,965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87,993</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7,425</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1,282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1,609</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7,397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69,365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88,468</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5,081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33,740</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3,469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44,134</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5,081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33,740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3,469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44,134</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41,503</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130,497</w:t>
            </w:r>
          </w:p>
        </w:tc>
        <w:tc>
          <w:tcPr>
            <w:tcW w:w="36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53,269</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94,782</w:t>
            </w:r>
          </w:p>
        </w:tc>
        <w:tc>
          <w:tcPr>
            <w:tcW w:w="3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149,030</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225,152</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69,365</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763,598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0"/>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Indirect home improvement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23,901</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102,789</w:t>
            </w:r>
          </w:p>
        </w:tc>
        <w:tc>
          <w:tcPr>
            <w:tcW w:w="220" w:type="dxa"/>
            <w:vAlign w:val="bottom"/>
            <w:tcBorders>
              <w:left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61,602</w:t>
            </w:r>
          </w:p>
        </w:tc>
        <w:tc>
          <w:tcPr>
            <w:tcW w:w="2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94,506</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123,542</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102,475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508,815</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23,901</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103,362</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62,489</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95,521</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124,766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103,398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513,437</w:t>
            </w: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9,759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16,825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66,660</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marine</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1,411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7,448</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9,759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9,257</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16,935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22,316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67,126</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 gross charge-offs</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158</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2,281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2,921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25,470</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111,028</w:t>
            </w:r>
          </w:p>
        </w:tc>
        <w:tc>
          <w:tcPr>
            <w:tcW w:w="220" w:type="dxa"/>
            <w:vAlign w:val="bottom"/>
            <w:tcBorders>
              <w:left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72,326</w:t>
            </w:r>
          </w:p>
        </w:tc>
        <w:tc>
          <w:tcPr>
            <w:tcW w:w="2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104,806</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141,767</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125,806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2,281</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583,484</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467</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396</w:t>
            </w:r>
          </w:p>
        </w:tc>
        <w:tc>
          <w:tcPr>
            <w:tcW w:w="2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550</w:t>
            </w:r>
          </w:p>
        </w:tc>
        <w:tc>
          <w:tcPr>
            <w:tcW w:w="34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615</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542</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2,620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9"/>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w:t>
            </w:r>
          </w:p>
        </w:tc>
        <w:tc>
          <w:tcPr>
            <w:tcW w:w="920" w:type="dxa"/>
            <w:vAlign w:val="bottom"/>
            <w:tcBorders>
              <w:bottom w:val="single" w:sz="8" w:color="auto"/>
            </w:tcBorders>
            <w:gridSpan w:val="3"/>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28,302</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53,730</w:t>
            </w:r>
          </w:p>
        </w:tc>
        <w:tc>
          <w:tcPr>
            <w:tcW w:w="2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23,962</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11,622</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21,668</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133,989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274,958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25,057</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3,168</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C&amp;I</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46,790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53,779</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23,984</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11,912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24,876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141,444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304,470</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 gross charge-offs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Warehouse lending</w:t>
            </w: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18,142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18,142</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left w:val="single" w:sz="8" w:color="CCEEFF"/>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warehouse lending</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18,144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18,144</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46,790</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53,779</w:t>
            </w:r>
          </w:p>
        </w:tc>
        <w:tc>
          <w:tcPr>
            <w:tcW w:w="2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23,984</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11,912</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24,876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159,588</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322,614</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20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4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129,460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543,060</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292,891</w:t>
            </w:r>
          </w:p>
        </w:tc>
        <w:tc>
          <w:tcPr>
            <w:tcW w:w="2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268,899</w:t>
            </w:r>
          </w:p>
        </w:tc>
        <w:tc>
          <w:tcPr>
            <w:tcW w:w="3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413,124</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690,480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229,286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2,567,339</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22,746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58,323</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4,728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10,828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7,699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26,144</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2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129,460</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left w:val="single" w:sz="8" w:color="CCEEFF"/>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562,121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left w:val="single" w:sz="8" w:color="CCEEFF"/>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294,437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277,713</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432,335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723,163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237,166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2,656,534</w:t>
            </w:r>
          </w:p>
        </w:tc>
        <w:tc>
          <w:tcPr>
            <w:tcW w:w="0" w:type="dxa"/>
            <w:vAlign w:val="bottom"/>
          </w:tcPr>
          <w:p>
            <w:pPr>
              <w:spacing w:after="0"/>
              <w:rPr>
                <w:sz w:val="1"/>
                <w:szCs w:val="1"/>
                <w:color w:val="auto"/>
              </w:rPr>
            </w:pPr>
          </w:p>
        </w:tc>
      </w:tr>
      <w:tr>
        <w:trPr>
          <w:trHeight w:val="129"/>
        </w:trPr>
        <w:tc>
          <w:tcPr>
            <w:tcW w:w="22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Total gross charge-offs</w:t>
            </w:r>
          </w:p>
        </w:tc>
        <w:tc>
          <w:tcPr>
            <w:tcW w:w="2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1"/>
                <w:szCs w:val="11"/>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1"/>
                <w:szCs w:val="11"/>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37,809</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4,148</w:t>
            </w:r>
          </w:p>
        </w:tc>
        <w:tc>
          <w:tcPr>
            <w:tcW w:w="360" w:type="dxa"/>
            <w:vAlign w:val="bottom"/>
            <w:gridSpan w:val="3"/>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21,485</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35,169</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10,625</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34,840</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144,076</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14,137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29,568</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2,434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owner occupied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37,951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4,748</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25,569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41,336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24,762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41,712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176,078</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non-owner occupied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15,734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49,708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34,888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51,951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170,585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3,467</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3,061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3,061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9,467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8,362</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18,795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51,062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34,888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54,064</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177,113</w:t>
            </w:r>
          </w:p>
        </w:tc>
        <w:tc>
          <w:tcPr>
            <w:tcW w:w="0" w:type="dxa"/>
            <w:vAlign w:val="bottom"/>
          </w:tcPr>
          <w:p>
            <w:pPr>
              <w:spacing w:after="0"/>
              <w:rPr>
                <w:sz w:val="1"/>
                <w:szCs w:val="1"/>
                <w:color w:val="auto"/>
              </w:rPr>
            </w:pPr>
          </w:p>
        </w:tc>
      </w:tr>
      <w:tr>
        <w:trPr>
          <w:trHeight w:val="119"/>
        </w:trPr>
        <w:tc>
          <w:tcPr>
            <w:tcW w:w="22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188,568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19,623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22,343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344,894</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9,236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9,236</w:t>
            </w: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and speculative</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188,568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96,592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19,623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31,579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7,701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354,130</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Commercial and speculative</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construction and development gross</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26,491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7,017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19,921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85,961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102,010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262,150</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multi-family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26,491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20,750</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7,017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19,921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85,961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102,010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262,150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loans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262,477</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130,452</w:t>
            </w:r>
          </w:p>
        </w:tc>
        <w:tc>
          <w:tcPr>
            <w:tcW w:w="360" w:type="dxa"/>
            <w:vAlign w:val="bottom"/>
            <w:gridSpan w:val="3"/>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71,004</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143,898</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155,615</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197,849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7,701</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475</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969,471</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CRE loans gross charge-offs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REAL ESTATE LOANS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1"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93,883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56,292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102,074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149,010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97,732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124,942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502</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624,435</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2,943</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one-to-four-family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93,883</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56,292</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102,747</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149,720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97,732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127,885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628,761</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65,154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87,881</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11,609</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1,595</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1,615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1,189</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65,464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88,271</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31,650</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8,097</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42,329</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31,650</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8,097</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42,329</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137,142</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65,984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105,592</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151,359</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98,921</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134,397</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65,464</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502</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759,361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11"/>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1"/>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111,727</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67,451</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100,504</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131,844</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58,058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52,002</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521,586</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95"/>
              </w:rPr>
              <w:t>434</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792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112,161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68,243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101,515</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132,968</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58,381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52,574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525,842</w:t>
            </w:r>
          </w:p>
        </w:tc>
        <w:tc>
          <w:tcPr>
            <w:tcW w:w="0" w:type="dxa"/>
            <w:vAlign w:val="bottom"/>
          </w:tcPr>
          <w:p>
            <w:pPr>
              <w:spacing w:after="0"/>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gridSpan w:val="3"/>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w w:val="95"/>
              </w:rPr>
              <w:t>261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1,647</w:t>
            </w:r>
          </w:p>
        </w:tc>
        <w:tc>
          <w:tcPr>
            <w:tcW w:w="18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7,333</w:t>
            </w:r>
          </w:p>
        </w:tc>
        <w:tc>
          <w:tcPr>
            <w:tcW w:w="0" w:type="dxa"/>
            <w:vAlign w:val="bottom"/>
          </w:tcPr>
          <w:p>
            <w:pPr>
              <w:spacing w:after="0"/>
              <w:rPr>
                <w:sz w:val="1"/>
                <w:szCs w:val="1"/>
                <w:color w:val="auto"/>
              </w:rPr>
            </w:pPr>
          </w:p>
        </w:tc>
      </w:tr>
      <w:tr>
        <w:trPr>
          <w:trHeight w:val="158"/>
        </w:trPr>
        <w:tc>
          <w:tcPr>
            <w:tcW w:w="22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7,619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9,647</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17,126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15,693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67,661</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3"/>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CCEEFF"/>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marine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7,619</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10,210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9,652</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17,237</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7,460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15,937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68,115</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 gross charge-offs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3"/>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CCEEFF"/>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71"/>
              </w:rPr>
              <w:t>42</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95"/>
              </w:rPr>
              <w:t>255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71"/>
              </w:rPr>
              <w:t>37</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gridSpan w:val="3"/>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95"/>
              </w:rPr>
              <w:t>255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71"/>
              </w:rPr>
              <w:t>37</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2,440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71"/>
              </w:rPr>
              <w:t>—</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120,035</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78,547</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111,204</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150,294</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65,847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68,619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2,440</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596,986</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95"/>
              </w:rPr>
              <w:t>261</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1,832</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1,689</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910</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color w:val="auto"/>
              </w:rPr>
              <w:t>December 31, 2025</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10"/>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0"/>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48,052</w:t>
            </w:r>
          </w:p>
        </w:tc>
        <w:tc>
          <w:tcPr>
            <w:tcW w:w="340" w:type="dxa"/>
            <w:vAlign w:val="bottom"/>
            <w:gridSpan w:val="3"/>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55,033</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18,762</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12,437</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12,048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11,105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123,306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2,121</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282,864</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7,039</w:t>
            </w:r>
          </w:p>
        </w:tc>
        <w:tc>
          <w:tcPr>
            <w:tcW w:w="0" w:type="dxa"/>
            <w:vAlign w:val="bottom"/>
          </w:tcPr>
          <w:p>
            <w:pPr>
              <w:spacing w:after="0"/>
              <w:rPr>
                <w:sz w:val="1"/>
                <w:szCs w:val="1"/>
                <w:color w:val="auto"/>
              </w:rPr>
            </w:pPr>
          </w:p>
        </w:tc>
      </w:tr>
      <w:tr>
        <w:trPr>
          <w:trHeight w:val="162"/>
        </w:trPr>
        <w:tc>
          <w:tcPr>
            <w:tcW w:w="2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3,872</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C&amp;I</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48,243</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55,033</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23,846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12,437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13,695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131,063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301,111</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 gross charge-offs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Warehouse lending</w:t>
            </w: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28,177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28,177</w:t>
            </w:r>
          </w:p>
        </w:tc>
        <w:tc>
          <w:tcPr>
            <w:tcW w:w="0" w:type="dxa"/>
            <w:vAlign w:val="bottom"/>
          </w:tcPr>
          <w:p>
            <w:pPr>
              <w:spacing w:after="0"/>
              <w:rPr>
                <w:sz w:val="1"/>
                <w:szCs w:val="1"/>
                <w:color w:val="auto"/>
              </w:rPr>
            </w:pPr>
          </w:p>
        </w:tc>
      </w:tr>
      <w:tr>
        <w:trPr>
          <w:trHeight w:val="149"/>
        </w:trPr>
        <w:tc>
          <w:tcPr>
            <w:tcW w:w="22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warehouse lending</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28,180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28,180</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48,243</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55,033</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23,846</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12,437</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13,695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159,243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2,137</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329,291</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2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58"/>
        </w:trPr>
        <w:tc>
          <w:tcPr>
            <w:tcW w:w="22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567,130</w:t>
            </w:r>
          </w:p>
        </w:tc>
        <w:tc>
          <w:tcPr>
            <w:tcW w:w="34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328,624</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6"/>
              </w:rPr>
              <w:t>297,728</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439,285</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317,877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399,146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226,777</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3,098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2,579,665</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6,877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15,154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37,614</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10,509</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4,834</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10,472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7,472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27,321</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567,897</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330,016</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right w:val="single" w:sz="8" w:color="CCEEFF"/>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96"/>
              </w:rPr>
              <w:t>311,646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right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457,988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335,040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414,560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234,848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3,114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2,655,109</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Total gross charge-offs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4,325</w:t>
            </w: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10,464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loans on nonaccrual status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1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140" w:type="dxa"/>
            <w:vAlign w:val="bottom"/>
            <w:gridSpan w:val="2"/>
          </w:tcPr>
          <w:p>
            <w:pPr>
              <w:jc w:val="center"/>
              <w:ind w:right="48"/>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Total</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Nonaccrual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Nonaccrual</w:t>
            </w:r>
          </w:p>
        </w:tc>
      </w:tr>
      <w:tr>
        <w:trPr>
          <w:trHeight w:val="142"/>
        </w:trPr>
        <w:tc>
          <w:tcPr>
            <w:tcW w:w="39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80" w:type="dxa"/>
            <w:vAlign w:val="bottom"/>
            <w:shd w:val="clear" w:color="auto" w:fill="CCEEFF"/>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1,081</w:t>
            </w:r>
          </w:p>
        </w:tc>
        <w:tc>
          <w:tcPr>
            <w:tcW w:w="340" w:type="dxa"/>
            <w:vAlign w:val="bottom"/>
            <w:gridSpan w:val="2"/>
            <w:shd w:val="clear" w:color="auto" w:fill="CCEEFF"/>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1,081</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2,049</w:t>
            </w:r>
          </w:p>
        </w:tc>
        <w:tc>
          <w:tcPr>
            <w:tcW w:w="34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2,049</w:t>
            </w: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and speculative construction and development</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9,442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9,442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9,236</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9,236</w:t>
            </w:r>
          </w:p>
        </w:tc>
      </w:tr>
      <w:tr>
        <w:trPr>
          <w:trHeight w:val="142"/>
        </w:trPr>
        <w:tc>
          <w:tcPr>
            <w:tcW w:w="39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1,081</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9,442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10,523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2,049</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9,236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11,285</w:t>
            </w:r>
          </w:p>
        </w:tc>
      </w:tr>
      <w:tr>
        <w:trPr>
          <w:trHeight w:val="142"/>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 ESTATE LOANS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62"/>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1,778</w:t>
            </w:r>
          </w:p>
        </w:tc>
      </w:tr>
      <w:tr>
        <w:trPr>
          <w:trHeight w:val="168"/>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r>
      <w:tr>
        <w:trPr>
          <w:trHeight w:val="135"/>
        </w:trPr>
        <w:tc>
          <w:tcPr>
            <w:tcW w:w="3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2,458</w:t>
            </w: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2,458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2,168</w:t>
            </w:r>
          </w:p>
        </w:tc>
      </w:tr>
      <w:tr>
        <w:trPr>
          <w:trHeight w:val="142"/>
        </w:trPr>
        <w:tc>
          <w:tcPr>
            <w:tcW w:w="3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LOANS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Indirect home improvement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4,256</w:t>
            </w: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Marine</w:t>
            </w: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454</w:t>
            </w:r>
          </w:p>
        </w:tc>
      </w:tr>
      <w:tr>
        <w:trPr>
          <w:trHeight w:val="149"/>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42"/>
        </w:trPr>
        <w:tc>
          <w:tcPr>
            <w:tcW w:w="3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5,122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5,122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4,712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4,712</w:t>
            </w:r>
          </w:p>
        </w:tc>
      </w:tr>
      <w:tr>
        <w:trPr>
          <w:trHeight w:val="142"/>
        </w:trPr>
        <w:tc>
          <w:tcPr>
            <w:tcW w:w="3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BUSINESS LOANS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C&amp;I</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580</w:t>
            </w:r>
          </w:p>
        </w:tc>
      </w:tr>
      <w:tr>
        <w:trPr>
          <w:trHeight w:val="182"/>
        </w:trPr>
        <w:tc>
          <w:tcPr>
            <w:tcW w:w="3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3,539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14,729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18,268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4,632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14,113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18,745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interest income on a cash basis for nonaccrual loans of $132,000 and $105,000 during the three months ended March 31,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by class of loans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48"/>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Non-Real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Non-Real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9"/>
              </w:rPr>
              <w:t>Estate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Estate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1,081</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1,081</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2,049</w:t>
            </w:r>
          </w:p>
        </w:tc>
        <w:tc>
          <w:tcPr>
            <w:tcW w:w="260" w:type="dxa"/>
            <w:vAlign w:val="bottom"/>
            <w:gridSpan w:val="2"/>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126"/>
        </w:trPr>
        <w:tc>
          <w:tcPr>
            <w:tcW w:w="3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Commercial and speculative construction and</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9,442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9,442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9,236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9,236</w:t>
            </w:r>
          </w:p>
        </w:tc>
        <w:tc>
          <w:tcPr>
            <w:tcW w:w="0" w:type="dxa"/>
            <w:vAlign w:val="bottom"/>
          </w:tcPr>
          <w:p>
            <w:pPr>
              <w:spacing w:after="0"/>
              <w:rPr>
                <w:sz w:val="1"/>
                <w:szCs w:val="1"/>
                <w:color w:val="auto"/>
              </w:rPr>
            </w:pPr>
          </w:p>
        </w:tc>
      </w:tr>
      <w:tr>
        <w:trPr>
          <w:trHeight w:val="158"/>
        </w:trPr>
        <w:tc>
          <w:tcPr>
            <w:tcW w:w="3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development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10,523</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10,523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11,285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11,285</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 ESTATE LOANS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1,778</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2,458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2,458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149"/>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5,088</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5,088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4,710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4,710</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BUSINESS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10,523</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2,458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5,253</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18,234</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11,285</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5,108</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18,561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MORTGAGE SERVICING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serviced for others are not included on the Consolidated Balance Sheets. The unpaid principal balance of residential mortgage loans serviced for others was $1.68 billion and $1.67 billion at March 31, 2026 and December 31, 2025, respectively. Custodial escrow balances maintained in connection with loans serviced for others were $18.9 million and $10.9 million at March 31, 2026 and December 31, 2025,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MSRs activity at or for the dates indicated:</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At or For the Three Months Ended</w:t>
            </w:r>
          </w:p>
        </w:tc>
      </w:tr>
      <w:tr>
        <w:trPr>
          <w:trHeight w:val="234"/>
        </w:trPr>
        <w:tc>
          <w:tcPr>
            <w:tcW w:w="8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March 31,</w:t>
            </w:r>
          </w:p>
        </w:tc>
        <w:tc>
          <w:tcPr>
            <w:tcW w:w="1160" w:type="dxa"/>
            <w:vAlign w:val="bottom"/>
            <w:tcBorders>
              <w:bottom w:val="single" w:sz="8" w:color="auto"/>
            </w:tcBorders>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the lower of cost or fair value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MSRs amortized</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Recovery of MSRs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Ending balance, at the lower of cost or fair value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MSRs’ assets was $22.8 million and $21.8 million at March 31, 2026 and December 31, 2025,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economic assumptions of the current fair value for single family MSRs are presented in the table below. Also shown is the sensitivity of the MSR portfolio to changes in market interest rates on the underlying loans, expressed as the impact on prepayment speeds and discount rates. The table presents the estimated decline in fair value assuming a 10% and 20% adverse change in market interest rates. Two sets of sensitivities are provided: (i) prepayment-only sensitivity, reflecting the impact of the interest rate change on prepayment speeds, holding discount rates constant; and (ii) combined sensitivity reflecting the impact of the interest rate change on both prepayment speeds and the discount rate used to value the MSRs.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portfolio principal balance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1,684,714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1,673,501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rate of loans in MSRs portfolio</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22,815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21,800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Decline in fair value from 10% adverse change (prepayment-only)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Decline in fair value from 20% adverse change (prepayment-only)</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Effective discount rate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Decline in fair value from 10% adverse change (prepayment + discount rate)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899</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Decline in fair value from 20% adverse change (prepayment + discount rate)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1,730</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tables above demonstrate the Company’s methodology for estimating the fair value of MSRs which is extremely sensitive to changes in key assumptions. For example, actual prepayment experience may differ and any difference may have a material effect on the fair value of MSRs. Changes in fair value resulting from changes in assumptions generally cannot be extrapolated because the relationship of the change in the assumption to the change in fair value may not be linear. Also, in this table, the effects of a variation in a particular assumption on the fair value of MSRs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MSRs is limited by the conditions existing and assumptions made at a particular point in time. Those assumptions may not be appropriate if they are applied to a different time.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$1.2 million and $1.1 million of gross contractually specified servicing fees, late fees, and other ancillary fees resulting from servicing of loans for the three months ended March 31, 2026 and 2025, respectively. The income, net of amortization of MSRs, is reported in “Service charges and fee income” on the Consolidated Statements of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 Not Designated as Hedges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Swaps Not Designated as Hedges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swaps to reduce its exposure to variability in interest-related cash outflows attributable to changes in forecasted Secured Overnight Financing Rate (“SOFR”) based brokered deposits. These derivative instruments are designated as cash flow hedges. The hedged item is the SOFR portion of a series of future adjustable-rate borrowings and deposits over the term of the interest rate swap. The Company tests for hedging effectiveness on a quarterly basis. The accumulated other comprehensive income is subsequently reclassified into earnings in the period that the hedged forecasted transaction effects earnings. The Company has not recorded any hedge ineffectiveness since the inception of hedges.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that approximately $382,000 will be reclassified from accumulated other comprehensive loss as a decrease to interest expense over the next 12 months related to these cash flow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recorded on the balance sheet related to cumulative-basis adjustment for fair value hedges for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Cumulative Amount of Fair</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Value Hedging Adjustment</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Included in the Carrying</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 Amount of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Amount of the Hedged</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 is included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Hedged Assets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Assets</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4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r>
      <w:tr>
        <w:trPr>
          <w:trHeight w:val="197"/>
        </w:trPr>
        <w:tc>
          <w:tcPr>
            <w:tcW w:w="6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2,131</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jc w:val="both"/>
        <w:ind w:left="340" w:hanging="332"/>
        <w:spacing w:after="0" w:line="25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amortized cost basis of closed portfolios used in designated hedging relationships in which the hedged item is the last layer expected to be remaining at the end of the hedging relationship. At March 31, 2026, the amortized cost basis of the closed portfolios used in these hedging relationships was $178.1 million; the cumulative basis adjustments associated with these hedging relationships was $2.4 million; and the amount of the designated hedged items was $60.0 million. At December 31, 2025, the amortized cost basis of the closed portfolios used in these hedging relationships was $179.4 million; the cumulative basis adjustment associated with these hedging relationships was a loss of $2.1 million; and the amount of the designated hedged items was $60.0 million.</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derivative instruments at the dates indicated. The Company recognizes derivative assets and liabilities in “Other assets” and “Other liabilities,” respectively, on the Consolidated Balance Sheets,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March 31, 2026</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1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1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514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fair value and cash flow hedge accounting on the Consolidated Statements of Income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Deposits and</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Deposits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amounts presented on the Consolidated Statements of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16,097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15,321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gains (losses) on fair value hedging relationships:</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on hedged items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Recognized on derivatives designated as hedging instruments</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recognized on cash flows of derivatives designated as</w:t>
            </w:r>
          </w:p>
        </w:tc>
        <w:tc>
          <w:tcPr>
            <w:tcW w:w="80" w:type="dxa"/>
            <w:vAlign w:val="bottom"/>
          </w:tcPr>
          <w:p>
            <w:pPr>
              <w:spacing w:after="0"/>
              <w:rPr>
                <w:sz w:val="17"/>
                <w:szCs w:val="17"/>
                <w:color w:val="auto"/>
              </w:rPr>
            </w:pP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fair value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gain on cash flow hedging relationships:</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brokered deposits and borrowings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Realized gains, pre-tax, reclassified from accumulated other comprehensive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into net income</w:t>
            </w:r>
          </w:p>
        </w:tc>
        <w:tc>
          <w:tcPr>
            <w:tcW w:w="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cash flow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non-hedging derivatives were recorded in “Gain on sale of loans” on the Consolidated Statements of Income as net gains of $419,000 and $72,000 for the three months ended March 31, 2026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these tables to limit the amount of such collateral to the amount of the related asset or liability for each counterparty.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Gross Amounts</w:t>
            </w:r>
          </w:p>
        </w:tc>
        <w:tc>
          <w:tcPr>
            <w:tcW w:w="15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Net Amounts of Assets</w:t>
            </w:r>
          </w:p>
        </w:tc>
        <w:tc>
          <w:tcPr>
            <w:tcW w:w="140" w:type="dxa"/>
            <w:vAlign w:val="bottom"/>
          </w:tcPr>
          <w:p>
            <w:pPr>
              <w:spacing w:after="0"/>
              <w:rPr>
                <w:sz w:val="13"/>
                <w:szCs w:val="13"/>
                <w:color w:val="auto"/>
              </w:rPr>
            </w:pPr>
          </w:p>
        </w:tc>
        <w:tc>
          <w:tcPr>
            <w:tcW w:w="2640" w:type="dxa"/>
            <w:vAlign w:val="bottom"/>
            <w:gridSpan w:val="6"/>
          </w:tcPr>
          <w:p>
            <w:pPr>
              <w:jc w:val="center"/>
              <w:ind w:left="749"/>
              <w:spacing w:after="0"/>
              <w:rPr>
                <w:sz w:val="20"/>
                <w:szCs w:val="20"/>
                <w:color w:val="auto"/>
              </w:rPr>
            </w:pPr>
            <w:r>
              <w:rPr>
                <w:rFonts w:ascii="Times New Roman" w:cs="Times New Roman" w:eastAsia="Times New Roman" w:hAnsi="Times New Roman"/>
                <w:sz w:val="14"/>
                <w:szCs w:val="14"/>
                <w:color w:val="auto"/>
              </w:rPr>
              <w:t>Gross Amounts Not Offset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Gross Amounts</w:t>
            </w:r>
          </w:p>
        </w:tc>
        <w:tc>
          <w:tcPr>
            <w:tcW w:w="10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rPr>
              <w:t>Offset in the</w:t>
            </w:r>
          </w:p>
        </w:tc>
        <w:tc>
          <w:tcPr>
            <w:tcW w:w="80" w:type="dxa"/>
            <w:vAlign w:val="bottom"/>
          </w:tcPr>
          <w:p>
            <w:pPr>
              <w:spacing w:after="0"/>
              <w:rPr>
                <w:sz w:val="14"/>
                <w:szCs w:val="14"/>
                <w:color w:val="auto"/>
              </w:rPr>
            </w:pPr>
          </w:p>
        </w:tc>
        <w:tc>
          <w:tcPr>
            <w:tcW w:w="14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Presented in the</w:t>
            </w: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7"/>
          </w:tcPr>
          <w:p>
            <w:pPr>
              <w:jc w:val="center"/>
              <w:ind w:right="168"/>
              <w:spacing w:after="0"/>
              <w:rPr>
                <w:sz w:val="20"/>
                <w:szCs w:val="20"/>
                <w:color w:val="auto"/>
              </w:rPr>
            </w:pPr>
            <w:r>
              <w:rPr>
                <w:rFonts w:ascii="Times New Roman" w:cs="Times New Roman" w:eastAsia="Times New Roman" w:hAnsi="Times New Roman"/>
                <w:sz w:val="14"/>
                <w:szCs w:val="14"/>
                <w:color w:val="auto"/>
              </w:rPr>
              <w:t>in the Consolidated Balance Sheets</w:t>
            </w: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Offsetting of derivative assets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of Recognized</w:t>
            </w:r>
          </w:p>
        </w:tc>
        <w:tc>
          <w:tcPr>
            <w:tcW w:w="100" w:type="dxa"/>
            <w:vAlign w:val="bottom"/>
          </w:tcPr>
          <w:p>
            <w:pPr>
              <w:spacing w:after="0"/>
              <w:rPr>
                <w:sz w:val="10"/>
                <w:szCs w:val="10"/>
                <w:color w:val="auto"/>
              </w:rPr>
            </w:pPr>
          </w:p>
        </w:tc>
        <w:tc>
          <w:tcPr>
            <w:tcW w:w="1280" w:type="dxa"/>
            <w:vAlign w:val="bottom"/>
            <w:gridSpan w:val="4"/>
          </w:tcPr>
          <w:p>
            <w:pPr>
              <w:jc w:val="center"/>
              <w:ind w:right="36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40" w:type="dxa"/>
            <w:vAlign w:val="bottom"/>
          </w:tcPr>
          <w:p>
            <w:pPr>
              <w:spacing w:after="0"/>
              <w:rPr>
                <w:sz w:val="10"/>
                <w:szCs w:val="10"/>
                <w:color w:val="auto"/>
              </w:rPr>
            </w:pPr>
          </w:p>
        </w:tc>
        <w:tc>
          <w:tcPr>
            <w:tcW w:w="1080" w:type="dxa"/>
            <w:vAlign w:val="bottom"/>
          </w:tcPr>
          <w:p>
            <w:pPr>
              <w:jc w:val="center"/>
              <w:ind w:right="189"/>
              <w:spacing w:after="0" w:line="119" w:lineRule="exact"/>
              <w:rPr>
                <w:sz w:val="20"/>
                <w:szCs w:val="20"/>
                <w:color w:val="auto"/>
              </w:rPr>
            </w:pPr>
            <w:r>
              <w:rPr>
                <w:rFonts w:ascii="Times New Roman" w:cs="Times New Roman" w:eastAsia="Times New Roman" w:hAnsi="Times New Roman"/>
                <w:sz w:val="13"/>
                <w:szCs w:val="13"/>
                <w:color w:val="auto"/>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rPr>
              <w:t>Balance Sheets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Balance Sheets</w:t>
            </w:r>
          </w:p>
        </w:tc>
        <w:tc>
          <w:tcPr>
            <w:tcW w:w="140" w:type="dxa"/>
            <w:vAlign w:val="bottom"/>
          </w:tcPr>
          <w:p>
            <w:pPr>
              <w:spacing w:after="0"/>
              <w:rPr>
                <w:sz w:val="14"/>
                <w:szCs w:val="1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Received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March 31, 2026</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2,585</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December 31, 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2,269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0" w:type="dxa"/>
            <w:vAlign w:val="bottom"/>
          </w:tcPr>
          <w:p>
            <w:pPr>
              <w:spacing w:after="0"/>
              <w:rPr>
                <w:sz w:val="1"/>
                <w:szCs w:val="1"/>
                <w:color w:val="auto"/>
              </w:rPr>
            </w:pPr>
          </w:p>
        </w:tc>
      </w:tr>
      <w:tr>
        <w:trPr>
          <w:trHeight w:val="342"/>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Gross Amounts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Net Amounts of</w:t>
            </w:r>
          </w:p>
        </w:tc>
        <w:tc>
          <w:tcPr>
            <w:tcW w:w="140" w:type="dxa"/>
            <w:vAlign w:val="bottom"/>
          </w:tcPr>
          <w:p>
            <w:pPr>
              <w:spacing w:after="0"/>
              <w:rPr>
                <w:sz w:val="24"/>
                <w:szCs w:val="24"/>
                <w:color w:val="auto"/>
              </w:rPr>
            </w:pPr>
          </w:p>
        </w:tc>
        <w:tc>
          <w:tcPr>
            <w:tcW w:w="2640" w:type="dxa"/>
            <w:vAlign w:val="bottom"/>
            <w:gridSpan w:val="6"/>
            <w:vMerge w:val="restart"/>
          </w:tcPr>
          <w:p>
            <w:pPr>
              <w:jc w:val="center"/>
              <w:ind w:left="749"/>
              <w:spacing w:after="0"/>
              <w:rPr>
                <w:sz w:val="20"/>
                <w:szCs w:val="20"/>
                <w:color w:val="auto"/>
              </w:rPr>
            </w:pPr>
            <w:r>
              <w:rPr>
                <w:rFonts w:ascii="Times New Roman" w:cs="Times New Roman" w:eastAsia="Times New Roman" w:hAnsi="Times New Roman"/>
                <w:sz w:val="14"/>
                <w:szCs w:val="14"/>
                <w:color w:val="auto"/>
              </w:rPr>
              <w:t>Gross Amounts Not Offset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Pr>
          <w:p>
            <w:pPr>
              <w:spacing w:after="0"/>
              <w:rPr>
                <w:sz w:val="12"/>
                <w:szCs w:val="12"/>
                <w:color w:val="auto"/>
              </w:rPr>
            </w:pPr>
          </w:p>
        </w:tc>
        <w:tc>
          <w:tcPr>
            <w:tcW w:w="2640" w:type="dxa"/>
            <w:vAlign w:val="bottom"/>
            <w:gridSpan w:val="6"/>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Gross 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Offset in the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Presented in the</w:t>
            </w: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7"/>
          </w:tcPr>
          <w:p>
            <w:pPr>
              <w:jc w:val="center"/>
              <w:ind w:right="168"/>
              <w:spacing w:after="0"/>
              <w:rPr>
                <w:sz w:val="20"/>
                <w:szCs w:val="20"/>
                <w:color w:val="auto"/>
              </w:rPr>
            </w:pPr>
            <w:r>
              <w:rPr>
                <w:rFonts w:ascii="Times New Roman" w:cs="Times New Roman" w:eastAsia="Times New Roman" w:hAnsi="Times New Roman"/>
                <w:sz w:val="14"/>
                <w:szCs w:val="14"/>
                <w:color w:val="auto"/>
              </w:rPr>
              <w:t>in the Consolidated Balance Sheets</w:t>
            </w:r>
          </w:p>
        </w:tc>
        <w:tc>
          <w:tcPr>
            <w:tcW w:w="0" w:type="dxa"/>
            <w:vAlign w:val="bottom"/>
          </w:tcPr>
          <w:p>
            <w:pPr>
              <w:spacing w:after="0"/>
              <w:rPr>
                <w:sz w:val="1"/>
                <w:szCs w:val="1"/>
                <w:color w:val="auto"/>
              </w:rPr>
            </w:pPr>
          </w:p>
        </w:tc>
      </w:tr>
      <w:tr>
        <w:trPr>
          <w:trHeight w:val="119"/>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Offsetting of derivative liabilities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of Recognized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40" w:type="dxa"/>
            <w:vAlign w:val="bottom"/>
          </w:tcPr>
          <w:p>
            <w:pPr>
              <w:spacing w:after="0"/>
              <w:rPr>
                <w:sz w:val="10"/>
                <w:szCs w:val="10"/>
                <w:color w:val="auto"/>
              </w:rPr>
            </w:pPr>
          </w:p>
        </w:tc>
        <w:tc>
          <w:tcPr>
            <w:tcW w:w="1080" w:type="dxa"/>
            <w:vAlign w:val="bottom"/>
          </w:tcPr>
          <w:p>
            <w:pPr>
              <w:jc w:val="center"/>
              <w:ind w:right="189"/>
              <w:spacing w:after="0" w:line="119" w:lineRule="exact"/>
              <w:rPr>
                <w:sz w:val="20"/>
                <w:szCs w:val="20"/>
                <w:color w:val="auto"/>
              </w:rPr>
            </w:pPr>
            <w:r>
              <w:rPr>
                <w:rFonts w:ascii="Times New Roman" w:cs="Times New Roman" w:eastAsia="Times New Roman" w:hAnsi="Times New Roman"/>
                <w:sz w:val="13"/>
                <w:szCs w:val="13"/>
                <w:color w:val="auto"/>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Balance Sheets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 Sheets</w:t>
            </w:r>
          </w:p>
        </w:tc>
        <w:tc>
          <w:tcPr>
            <w:tcW w:w="140" w:type="dxa"/>
            <w:vAlign w:val="bottom"/>
          </w:tcPr>
          <w:p>
            <w:pPr>
              <w:spacing w:after="0"/>
              <w:rPr>
                <w:sz w:val="14"/>
                <w:szCs w:val="1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Posted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March 31, 2026</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December 31, 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42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Contingent Features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derivative contracts with its derivative counterparties that contain a provision to post collateral to the counterparties when these contracts are in a net liability position. At March 31, 2026, the Company had $40,000 of collateral posted due to this provision.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retail bank and home lending branches, loan production offices, and certain equipment. At March 31, 2026, these leases have remaining terms ranging from six months to nine years and four months, with some including options to extend for up to five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lease cost (included in occupancy expense on the Consolidated Statements of Income) for the three months ended March 31, 2026 and 2025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operating leases at or for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At or For the Three months Ended March 31,</w:t>
            </w: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 operating leases (in years)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leases typically do not contain a discount rate implicit in the lease contract. As an alternative, the discount rate used in determining the lease liability for each individual lease was the FHLB of Des Moines’ fixed advance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at March 31, 2026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7,703</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60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08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DEPOSITS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634,787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647,197</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Interest-bearing checking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335,449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164,056</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385,618</w:t>
            </w: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Certificates of deposit less than $100,000 </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512,808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452,666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greater than $250,000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164,922</w:t>
            </w: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Escrow accounts related to mortgages serviced </w:t>
            </w:r>
            <w:r>
              <w:rPr>
                <w:rFonts w:ascii="Times New Roman" w:cs="Times New Roman" w:eastAsia="Times New Roman" w:hAnsi="Times New Roman"/>
                <w:sz w:val="25"/>
                <w:szCs w:val="25"/>
                <w:color w:val="auto"/>
                <w:vertAlign w:val="superscript"/>
              </w:rPr>
              <w:t>(4)</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10,926</w:t>
            </w:r>
          </w:p>
        </w:tc>
      </w:tr>
      <w:tr>
        <w:trPr>
          <w:trHeight w:val="249"/>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2,673,642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$140.4 million and $140.2 million of brokered deposits at March 31, 2026 and December 31, 2025, respectively.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$250,000 and $20.3 million of brokered deposits at March 31, 2026 and December 31, 2025,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$186.7 million and $202.1 million of brokered deposits at March 31, 2026 and December 31, 2025, respectively.</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Noninterest-bearing accounts.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time deposits at March 31, 2026 for future periods ending are as follows: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Maturing in 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Maturing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Maturing in 2030 and thereafter</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by deposit category for the periods indicated is as follows: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120" w:hanging="853"/>
        <w:spacing w:after="0"/>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989,490</w:t>
      </w:r>
    </w:p>
    <w:p>
      <w:pPr>
        <w:spacing w:after="0" w:line="27"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95,024</w:t>
      </w:r>
    </w:p>
    <w:p>
      <w:pPr>
        <w:spacing w:after="0" w:line="9"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12,123</w:t>
      </w:r>
    </w:p>
    <w:p>
      <w:pPr>
        <w:spacing w:after="0" w:line="9"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13,098</w:t>
      </w:r>
    </w:p>
    <w:p>
      <w:pPr>
        <w:spacing w:after="0" w:line="9" w:lineRule="exact"/>
        <w:rPr>
          <w:rFonts w:ascii="Times New Roman" w:cs="Times New Roman" w:eastAsia="Times New Roman" w:hAnsi="Times New Roman"/>
          <w:sz w:val="18"/>
          <w:szCs w:val="18"/>
          <w:color w:val="auto"/>
        </w:rPr>
      </w:pPr>
    </w:p>
    <w:p>
      <w:pPr>
        <w:ind w:left="2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814</w:t>
      </w:r>
    </w:p>
    <w:p>
      <w:pPr>
        <w:spacing w:after="0" w:line="9" w:lineRule="exact"/>
        <w:rPr>
          <w:sz w:val="20"/>
          <w:szCs w:val="20"/>
          <w:color w:val="auto"/>
        </w:rPr>
      </w:pPr>
    </w:p>
    <w:p>
      <w:pPr>
        <w:ind w:left="2000" w:hanging="733"/>
        <w:spacing w:after="0"/>
        <w:tabs>
          <w:tab w:leader="none" w:pos="2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14605</wp:posOffset>
            </wp:positionV>
            <wp:extent cx="986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804545</wp:posOffset>
            </wp:positionH>
            <wp:positionV relativeFrom="paragraph">
              <wp:posOffset>31750</wp:posOffset>
            </wp:positionV>
            <wp:extent cx="9861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24765</wp:posOffset>
            </wp:positionV>
            <wp:extent cx="2057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9" w:lineRule="exact"/>
        <w:rPr>
          <w:sz w:val="20"/>
          <w:szCs w:val="20"/>
          <w:color w:val="auto"/>
        </w:rPr>
      </w:pPr>
    </w:p>
    <w:p>
      <w:pPr>
        <w:ind w:left="140"/>
        <w:spacing w:after="0"/>
        <w:tabs>
          <w:tab w:leader="none" w:pos="178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43" w:lineRule="exact"/>
        <w:rPr>
          <w:sz w:val="20"/>
          <w:szCs w:val="20"/>
          <w:color w:val="auto"/>
        </w:rPr>
      </w:pPr>
    </w:p>
    <w:p>
      <w:pPr>
        <w:sectPr>
          <w:pgSz w:w="11900" w:h="16838" w:orient="portrait"/>
          <w:cols w:equalWidth="0" w:num="2">
            <w:col w:w="7700" w:space="720"/>
            <w:col w:w="28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0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0"/>
        </w:trPr>
        <w:tc>
          <w:tcPr>
            <w:tcW w:w="8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Interest-bearing checking</w:t>
            </w:r>
          </w:p>
        </w:tc>
        <w:tc>
          <w:tcPr>
            <w:tcW w:w="54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jc w:val="right"/>
              <w:ind w:right="3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10,090</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10,422</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r>
      <w:tr>
        <w:trPr>
          <w:trHeight w:val="20"/>
        </w:trPr>
        <w:tc>
          <w:tcPr>
            <w:tcW w:w="8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color w:val="auto"/>
        </w:rPr>
        <w:t>– The Company is party to financial instruments with off-balance sheet risk in the normal course of business to meet the financing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customers. These financial instruments include commitments to extend credit. These instruments involve, to varying degrees, elements of credit risk in excess of the amount recognized on the Consolidated Balance Sheets.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commitments at the dates indicated: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TO EXTEND CREDIT</w:t>
            </w:r>
          </w:p>
        </w:tc>
        <w:tc>
          <w:tcPr>
            <w:tcW w:w="22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198,176</w:t>
            </w:r>
          </w:p>
        </w:tc>
      </w:tr>
      <w:tr>
        <w:trPr>
          <w:trHeight w:val="216"/>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w:t>
            </w:r>
          </w:p>
        </w:tc>
      </w:tr>
      <w:tr>
        <w:trPr>
          <w:trHeight w:val="210"/>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193,681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207,056</w:t>
            </w: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One-to-four-family (including loans held for sale)</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28,977</w:t>
            </w:r>
          </w:p>
        </w:tc>
      </w:tr>
      <w:tr>
        <w:trPr>
          <w:trHeight w:val="216"/>
        </w:trPr>
        <w:tc>
          <w:tcPr>
            <w:tcW w:w="8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100,071</w:t>
            </w: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33,212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37,213</w:t>
            </w:r>
          </w:p>
        </w:tc>
      </w:tr>
      <w:tr>
        <w:trPr>
          <w:trHeight w:val="209"/>
        </w:trPr>
        <w:tc>
          <w:tcPr>
            <w:tcW w:w="8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166,261</w:t>
            </w: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29,517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29,646</w:t>
            </w:r>
          </w:p>
        </w:tc>
      </w:tr>
      <w:tr>
        <w:trPr>
          <w:trHeight w:val="21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160,277</w:t>
            </w:r>
          </w:p>
        </w:tc>
      </w:tr>
      <w:tr>
        <w:trPr>
          <w:trHeight w:val="216"/>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62,195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42,145</w:t>
            </w:r>
          </w:p>
        </w:tc>
      </w:tr>
      <w:tr>
        <w:trPr>
          <w:trHeight w:val="209"/>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216,900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202,422</w:t>
            </w:r>
          </w:p>
        </w:tc>
      </w:tr>
      <w:tr>
        <w:trPr>
          <w:trHeight w:val="25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commitments to extend credit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605,385</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provided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extension of credit, is based on management’s credit evaluation of the party. Collateral held varies, but may include accounts receivable, inventory, property and equipment, residential real estate, and income-producing commercial properties.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Unfunded commitments under commercial lines of credit, revolving credit lines, and overdraft protection agreements represent potential future extensions of credit to existing customers. These commitments generally do not contain a specified maturity date and may not be drawn upon to the total extent to which the Company is committed. The Company maintains an ACL – unfunded loan commitments for all arrangements that are not unconditionally cancellable, consistent with the Company's CECL methodology. The ACL on unfunded loan commitments is recorded within “Other liabilities” on the Consolidated Balance Sheets. The Company's ACL on unfunded loan commitments at March 31, 2026 and December 31, 2025 was $1.6 million and $1.8 million, respectively. The Company recorded a recovery of credit losses – unfunded loan commitments of $121,000 and a provision of $66,000 for the three months ended March 31, 2026 and 2025, respectively. The decrease in provision for the three months ended March 31, 2026 and 2025 was primarily attributable to a $12.9 million decrease in commercial and speculative construction and development loan commitments.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portion of the one-to-four-family commitments included in the table above are accounted for as fair value derivatives and do not carry an associated reserve. The Company's derivative positions are presented with the discussion in “Note 5 – Derivatives.”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sells one-to-four-family loans to the FHLB of Des Moines under agreements that require a limited level of recourse in the event of borrower default. Under the recourse structure, losses on defaulted loans are first absorbed by a first loss account (“FLA”) established by the FHLB of Des Moines, and thereafter by a credit enhancement (“CE”) obligation required of the Bank. The FLA and CE obligation function as sequential layers of credit protection for the FHLB of Des Moines on the sold loan portfolio. As of March 31, 2026, the outstanding unpaid principal balance of loans sold to the FHLB of Des Moines was $8.2 million. The FLA balance was $581,000 and the CE obligation balance was $389,000 at that date. Management has established a loss reserve holdback equal to10% of the outstanding CE obligation, or $39,000, based on management's analysis of historical loss experiences and additional market factors. This holdback is included in the Company's broader reserve for off-balance sheet credit exposures related to loans sold. At both March 31, 2026 and December 31, 2025, there were no loans sold to the FHLB of Des Moines with contractual payments greater than 30 days past due.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liabilities for loans held for sale </w:t>
      </w:r>
      <w:r>
        <w:rPr>
          <w:rFonts w:ascii="Times New Roman" w:cs="Times New Roman" w:eastAsia="Times New Roman" w:hAnsi="Times New Roman"/>
          <w:sz w:val="18"/>
          <w:szCs w:val="18"/>
          <w:color w:val="auto"/>
        </w:rPr>
        <w:t>– In the ordinary course of business, loans are sold with limited recourse against the Company and may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$1.4 million and $1.8 million to cover loss exposure related to these guarantees for one-to-four-family loans sold into the secondary market at March 31, 2026 and December 31, 2025, respectively, which is included in “Other liabilities” on the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severance agreement with its Chief Executive Officer (“CEO”). The severance agreement, subject to certain requirements, generally includes a lump sum payment to the CEO equal to 24 months of base compensation in the event his employment is involuntarily terminated, other than for cause or the executive terminates his employment with good reason, as defined in the severance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change of control agreements with its executives and select key personnel.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March 31,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fair value based on the requirements established in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describe the levels of inputs that may be used to measure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Inputs to the valuation methodology are quoted prices (unadjusted) for identical assets or liabilities in active markets.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to the valuation methodology include quoted prices for similar assets and liabilities in active markets, and inputs that are observable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 or liability, either directly or indirectly, for substantially the full term of the financial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certain assets and liabilities on a recurring and nonrecurring basis: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The fair value of securities available-for-sale are recorded on a recurring basis. The fair value of investments and mortgage-backed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consider market convention.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Loans Held for Sale </w:t>
      </w:r>
      <w:r>
        <w:rPr>
          <w:rFonts w:ascii="Times New Roman" w:cs="Times New Roman" w:eastAsia="Times New Roman" w:hAnsi="Times New Roman"/>
          <w:sz w:val="18"/>
          <w:szCs w:val="18"/>
          <w:color w:val="auto"/>
        </w:rPr>
        <w:t>– The fair value of loans held for sale reflects the value of commitments with investors and/or the relative price as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TBA mortgage-backed security (Level 2).</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Receivable </w:t>
      </w:r>
      <w:r>
        <w:rPr>
          <w:rFonts w:ascii="Times New Roman" w:cs="Times New Roman" w:eastAsia="Times New Roman" w:hAnsi="Times New Roman"/>
          <w:sz w:val="18"/>
          <w:szCs w:val="18"/>
          <w:color w:val="auto"/>
        </w:rPr>
        <w:t>– Certain residential mortgage loans were initially originated for sale with the fair value option elected; after origination, these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transferred to loans held for investment. As of March 31, 2026 and December 31, 2025, there were $13.0 million and $13.2 million, respectively, in residential mortgage loans recorded at fair value as they were previously transferred from held for sale, at fair value to loans held for investment. The aggregate unpaid principal balance of these loans was $13.7 million and $13.8 million as of March 31, 2026 and December 31, 2025, respectively. Gains and losses from changes in fair value for these loans are reported in earnings as a component of “Other noninterest income” on the Consolidated Statements of Income. For the three months ended March 31, 2026, the Company recorded a net decrease in fair value of $101,000, as compared to a net increase in fair value of $263,000, for the three months ended March 31, 2025. For loans originated as held for sale and transferred into loans held for investment, the fair value is determined based on quoted secondary market prices for similar loans (Level 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 Fair values for derivative assets and liabilities are measured on a recurring basis. The primary use of derivative instruments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Collateral-Dependent Loans </w:t>
      </w:r>
      <w:r>
        <w:rPr>
          <w:rFonts w:ascii="Times New Roman" w:cs="Times New Roman" w:eastAsia="Times New Roman" w:hAnsi="Times New Roman"/>
          <w:sz w:val="18"/>
          <w:szCs w:val="18"/>
          <w:color w:val="auto"/>
        </w:rPr>
        <w:t>– Expected credit losses on collateral dependent loans are measured based on the fair value of collateral as of the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less estimated selling costs, as applicable. If the fair value of the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is limited to the amount previously charged off. Subsequent changes in expected credit losses on collateral-dependent loans are included within the provision for credit losses, either as an additional provision or as a reduction of the provision that would otherwise be reported (Level 3).</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The fair value of MSRs is estimated using net present value of expected cash flows using a third-party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incorporates assumptions used in the industry to value such rights, adjusted for factors such as weighted average prepayments speeds based on historical information where appropriate (Level 3).</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securities available-for-sale, mortgage loans held for sale, loans receivable, at fair value, and derivative assets and liabilities measured at fair value on a recurring basis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At March 31, 2026</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70,066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70,066</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158,122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56,275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56,275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353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343,378</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666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344,044</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5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628"/>
        </w:trPr>
        <w:tc>
          <w:tcPr>
            <w:tcW w:w="50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115"/>
        </w:trPr>
        <w:tc>
          <w:tcPr>
            <w:tcW w:w="50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At December 31, 2025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18,127</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18,127</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15,386</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71,405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173,567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173,567</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tcPr>
          <w:p>
            <w:pPr>
              <w:spacing w:after="0"/>
              <w:rPr>
                <w:sz w:val="19"/>
                <w:szCs w:val="19"/>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cash flow and fair value hedges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9"/>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347,485</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249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347,734</w:t>
            </w:r>
          </w:p>
        </w:tc>
      </w:tr>
      <w:tr>
        <w:trPr>
          <w:trHeight w:val="197"/>
        </w:trPr>
        <w:tc>
          <w:tcPr>
            <w:tcW w:w="59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measured at fair value on a nonrecurring basis and the level within the fair value hierarchy at March 31, 2026 and December 31, 2025. Level 3 assets recorded at fair value on a nonrecurring basis included loans for which a partial charge-off was recorded based on the estimated fair value of the underlying collateral.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22,815</w:t>
            </w:r>
          </w:p>
        </w:tc>
      </w:tr>
      <w:tr>
        <w:trPr>
          <w:trHeight w:val="414"/>
        </w:trPr>
        <w:tc>
          <w:tcPr>
            <w:tcW w:w="59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5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9,236</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Quantitative Information about Level 3 Fair Value Measurements </w:t>
      </w:r>
      <w:r>
        <w:rPr>
          <w:rFonts w:ascii="Times New Roman" w:cs="Times New Roman" w:eastAsia="Times New Roman" w:hAnsi="Times New Roman"/>
          <w:sz w:val="18"/>
          <w:szCs w:val="18"/>
          <w:color w:val="auto"/>
        </w:rPr>
        <w:t>– Shown in the table below is the fair value of financial instruments measured under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 on a recurring and nonrecurring basis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340" w:type="dxa"/>
            <w:vAlign w:val="bottom"/>
          </w:tcPr>
          <w:p>
            <w:pPr>
              <w:spacing w:after="0"/>
              <w:rPr>
                <w:sz w:val="20"/>
                <w:szCs w:val="20"/>
                <w:color w:val="auto"/>
              </w:rPr>
            </w:pPr>
          </w:p>
        </w:tc>
        <w:tc>
          <w:tcPr>
            <w:tcW w:w="2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Weighted Average Input</w:t>
            </w:r>
          </w:p>
        </w:tc>
      </w:tr>
      <w:tr>
        <w:trPr>
          <w:trHeight w:val="187"/>
        </w:trPr>
        <w:tc>
          <w:tcPr>
            <w:tcW w:w="33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920" w:type="dxa"/>
            <w:vAlign w:val="bottom"/>
          </w:tcPr>
          <w:p>
            <w:pPr>
              <w:ind w:left="660"/>
              <w:spacing w:after="0" w:line="188" w:lineRule="exact"/>
              <w:rPr>
                <w:sz w:val="20"/>
                <w:szCs w:val="20"/>
                <w:color w:val="auto"/>
              </w:rPr>
            </w:pPr>
            <w:r>
              <w:rPr>
                <w:rFonts w:ascii="Times New Roman" w:cs="Times New Roman" w:eastAsia="Times New Roman" w:hAnsi="Times New Roman"/>
                <w:sz w:val="18"/>
                <w:szCs w:val="18"/>
                <w:color w:val="auto"/>
              </w:rPr>
              <w:t>Valuation</w:t>
            </w:r>
          </w:p>
        </w:tc>
        <w:tc>
          <w:tcPr>
            <w:tcW w:w="1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Unobservable</w:t>
            </w:r>
          </w:p>
        </w:tc>
        <w:tc>
          <w:tcPr>
            <w:tcW w:w="1340" w:type="dxa"/>
            <w:vAlign w:val="bottom"/>
          </w:tcPr>
          <w:p>
            <w:pPr>
              <w:spacing w:after="0"/>
              <w:rPr>
                <w:sz w:val="16"/>
                <w:szCs w:val="16"/>
                <w:color w:val="auto"/>
              </w:rPr>
            </w:pPr>
          </w:p>
        </w:tc>
        <w:tc>
          <w:tcPr>
            <w:tcW w:w="134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color w:val="auto"/>
              </w:rPr>
              <w:t>March 31,</w:t>
            </w:r>
          </w:p>
        </w:tc>
        <w:tc>
          <w:tcPr>
            <w:tcW w:w="11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6"/>
                <w:szCs w:val="16"/>
                <w:color w:val="auto"/>
              </w:rPr>
            </w:pPr>
          </w:p>
        </w:tc>
      </w:tr>
      <w:tr>
        <w:trPr>
          <w:trHeight w:val="23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Techniques</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Range</w:t>
            </w: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r>
      <w:tr>
        <w:trPr>
          <w:trHeight w:val="210"/>
        </w:trPr>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w:t>
            </w:r>
          </w:p>
        </w:tc>
        <w:tc>
          <w:tcPr>
            <w:tcW w:w="19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920" w:type="dxa"/>
            <w:vAlign w:val="bottom"/>
          </w:tcPr>
          <w:p>
            <w:pPr>
              <w:spacing w:after="0"/>
              <w:rPr>
                <w:sz w:val="16"/>
                <w:szCs w:val="16"/>
                <w:color w:val="auto"/>
              </w:rPr>
            </w:pPr>
          </w:p>
        </w:tc>
        <w:tc>
          <w:tcPr>
            <w:tcW w:w="1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Pull-through</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Quoted market prices</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80% - 99%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Quoted market prices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80% - 99%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NONRECURRING</w:t>
            </w:r>
          </w:p>
        </w:tc>
        <w:tc>
          <w:tcPr>
            <w:tcW w:w="1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3360" w:type="dxa"/>
            <w:vAlign w:val="bottom"/>
            <w:shd w:val="clear" w:color="auto" w:fill="CCEEFF"/>
          </w:tcPr>
          <w:p>
            <w:pPr>
              <w:spacing w:after="0"/>
              <w:rPr>
                <w:sz w:val="16"/>
                <w:szCs w:val="16"/>
                <w:color w:val="auto"/>
              </w:rPr>
            </w:pPr>
          </w:p>
        </w:tc>
        <w:tc>
          <w:tcPr>
            <w:tcW w:w="19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Fair value of underlying</w:t>
            </w:r>
          </w:p>
        </w:tc>
        <w:tc>
          <w:tcPr>
            <w:tcW w:w="19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Discount applied to the</w:t>
            </w: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obtained appraisal</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0% - 25%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Industry sources</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 speeds</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 - 50%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pull-through expectation is based on historical loan closing rates for similar interest rate lock commitments. An increase or decrease in the pull-through rate would have a corresponding positive or negative fair value adjustment.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assets and liabilities measured at fair value using significant unobservable inputs (Level 3) on a recurring basis during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Purchases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Net change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Sales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fair value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for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Issuances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Settlements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gains/(losses) </w:t>
            </w:r>
            <w:r>
              <w:rPr>
                <w:rFonts w:ascii="Times New Roman" w:cs="Times New Roman" w:eastAsia="Times New Roman" w:hAnsi="Times New Roman"/>
                <w:sz w:val="27"/>
                <w:szCs w:val="27"/>
                <w:color w:val="auto"/>
                <w:vertAlign w:val="superscript"/>
              </w:rPr>
              <w:t>(1)</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gains/(losses) </w:t>
            </w:r>
            <w:r>
              <w:rPr>
                <w:rFonts w:ascii="Times New Roman" w:cs="Times New Roman" w:eastAsia="Times New Roman" w:hAnsi="Times New Roman"/>
                <w:sz w:val="27"/>
                <w:szCs w:val="27"/>
                <w:color w:val="auto"/>
                <w:vertAlign w:val="superscript"/>
              </w:rPr>
              <w:t>(2)</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income.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other comprehensive income.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on interest rate lock commitments and on forward sale commitments with investors carried at fair value are recorded in “Gain on sale of loans held for sale” on the Consolidated Statements of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estimated fair values of the Company’s financial instruments at the dates indicated, whether recognized at fair value or not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23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1 inputs:</w:t>
            </w: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2"/>
              </w:rPr>
              <w:t>Value</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38,702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28,219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271,007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288,667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held-to-maturity, gross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56,275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43,705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2,643,557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2,582,586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2,641,926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2,578,744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MSRs, held at lower of cost or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interest rate locks with customers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1,110,549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1,129,892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167,305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 excluding unamortized debt issuance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48,856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Company.</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components used to compute basic and diluted earnings per share at or for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color w:val="auto"/>
              </w:rPr>
              <w:t>At or For the Three Months Ended March</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Dividends and undistributed earnings allocated to participating securities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(shown as actual):</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7,402,375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7,695,320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shares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128,916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110,408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7,531,291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7,805,728</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Potentially dilutive weighted average share options that were not included in the computation of diluted</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36,495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because to do so would be anti-dilutive.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2018, the shareholders of FS Bancorp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March 31, 2026, there were 52,060 stock option awards and 500 RSAs available for future grants under the 2018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was $627,000 and $512,000 for the three months ended March 31, 2026 and 2025,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awards are settled by issuing new shares from the Company's pool of authorized but unissued common stock, rather than previously repurchased treasury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2018 Plan provides for the grant of stock option awards that may be designated as either incentive stock options or nonqualified stock options. Stock option awards generally vest over a one-year period for non-employee directors, and over a four-or five-year period for employees and officers with annual vesting in equal installments on the anniversary date of each grant date provided the award recipient remains in continuous service with the Company. Options become exercisable after vesting and remain exercisable for the remaining term of the original grant, subject to a maximum term of 10 years. Any unexercised stock options expire 10 years after the grant date, or earlier upon the termination of the recipient's service with the Company or the Bank.</w:t>
      </w: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grant date using a Black-Scholes Option pricing model which incorporates the following assumptions. The dividend yield is based on the current quarterly dividend in effect at the time of the grant.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5.5 years for one-year vesting, 6.25 years for four-year vesting, and 6.5 years for five-year vesting.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9"/>
        </w:trPr>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awards during the dates indicated (shown as actual):</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Term In Years</w:t>
            </w:r>
          </w:p>
        </w:tc>
        <w:tc>
          <w:tcPr>
            <w:tcW w:w="1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5,134,992</w:t>
            </w:r>
          </w:p>
        </w:tc>
      </w:tr>
      <w:tr>
        <w:trPr>
          <w:trHeight w:val="216"/>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exercised</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658,623</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3,843,979</w:t>
            </w:r>
          </w:p>
        </w:tc>
      </w:tr>
      <w:tr>
        <w:trPr>
          <w:trHeight w:val="196"/>
        </w:trPr>
        <w:tc>
          <w:tcPr>
            <w:tcW w:w="128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60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Expected to vest, assuming a 0.31% annual forfeiture rate at, March 31, 2026 </w:t>
            </w:r>
            <w:r>
              <w:rPr>
                <w:rFonts w:ascii="Times New Roman" w:cs="Times New Roman" w:eastAsia="Times New Roman" w:hAnsi="Times New Roman"/>
                <w:sz w:val="25"/>
                <w:szCs w:val="25"/>
                <w:color w:val="auto"/>
                <w:vertAlign w:val="superscript"/>
              </w:rPr>
              <w:t>(1)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645,202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3,820,421</w:t>
            </w:r>
          </w:p>
        </w:tc>
      </w:tr>
      <w:tr>
        <w:trPr>
          <w:trHeight w:val="216"/>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371,448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Forfeiture rate has been calculated and estimated, based on historical employment data, to assume a forfeiture of 3.1% of the options over 10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was $2.5 million of total unrecognized compensation cost related to nonvested stock options granted under the 2018 Plan. The cost is expected to be recognized over the remaining weighted-average vesting period of 1.5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RSA fair value is equal to the market price of FS Bancorp’s common stock on the grant date. Compensation expense is recognized over the vesting period of the awards based on the fair value of the restricted stock. Shares granted under the 2018 Plan generally vest over a four- or five-year period for employees and officers, beginning on the grant date, and over a one-year period for non-employee directors, with vesting occurring at the end of the one-year period. Any nonvested RSAs are forfeited upon the award recipient’s termination of service with the Company or the Bank.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awards during the dates indicated (shown as actual):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Grant-Date Fair</w:t>
            </w:r>
          </w:p>
        </w:tc>
      </w:tr>
      <w:tr>
        <w:trPr>
          <w:trHeight w:val="234"/>
        </w:trPr>
        <w:tc>
          <w:tcPr>
            <w:tcW w:w="788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color w:val="auto"/>
              </w:rPr>
              <w:t>Nonvested Shares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Value Per Share</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37.73</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vested</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102,971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37.73</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there was $3.0 million of total unrecognized compensation cost related to nonvested shares granted under the 2018 Plan as RSAs. The cost is expected to be recognized over the remaining weighted-average vesting period of 1.5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REGULATORY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capital adequacy guidelines of the regulatory framework for prompt corrective action,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must maintain minimum total risk-based, Tier 1 risk-based, Tier 1 leverage, and CET 1 capital ratios as set forth in the table below to be categorized as “well capitalized”. At March 31, 2026, the Bank was categorized as “well capitalized” under applicable regulatory requirements. There are no conditions or events since that notification that management believes have changed the Bank’s category. Management believes, at March 31, 2026, that the Bank met all capital adequacy requirements.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Bank’s actual capital amounts and ratios to their minimum regulatory capital requirements and well capitalized regulatory capital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7"/>
              </w:rPr>
              <w:t>To be Well Capitalized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For Capital</w:t>
            </w:r>
          </w:p>
        </w:tc>
        <w:tc>
          <w:tcPr>
            <w:tcW w:w="19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Under Prompt</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Capital</w:t>
            </w:r>
          </w:p>
        </w:tc>
        <w:tc>
          <w:tcPr>
            <w:tcW w:w="80" w:type="dxa"/>
            <w:vAlign w:val="bottom"/>
          </w:tcPr>
          <w:p>
            <w:pPr>
              <w:spacing w:after="0"/>
              <w:rPr>
                <w:sz w:val="18"/>
                <w:szCs w:val="18"/>
                <w:color w:val="auto"/>
              </w:rPr>
            </w:pP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Adequacy With</w:t>
            </w:r>
          </w:p>
        </w:tc>
        <w:tc>
          <w:tcPr>
            <w:tcW w:w="19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Corrective</w:t>
            </w: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Actual</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Adequacy Purposes</w:t>
            </w:r>
          </w:p>
        </w:tc>
        <w:tc>
          <w:tcPr>
            <w:tcW w:w="80" w:type="dxa"/>
            <w:vAlign w:val="bottom"/>
          </w:tcPr>
          <w:p>
            <w:pPr>
              <w:spacing w:after="0"/>
              <w:rPr>
                <w:sz w:val="20"/>
                <w:szCs w:val="20"/>
                <w:color w:val="auto"/>
              </w:rPr>
            </w:pP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Capital Buffer</w:t>
            </w:r>
          </w:p>
        </w:tc>
        <w:tc>
          <w:tcPr>
            <w:tcW w:w="19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8"/>
              </w:rPr>
              <w:t>Action Provisions</w:t>
            </w:r>
          </w:p>
        </w:tc>
      </w:tr>
      <w:tr>
        <w:trPr>
          <w:trHeight w:val="210"/>
        </w:trPr>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9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Ratio</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2026</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198"/>
        </w:trPr>
        <w:tc>
          <w:tcPr>
            <w:tcW w:w="3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risk-based capital (to risk-</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226,991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297,926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226,991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297,926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283,739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32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risk-based capital (to risk-</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170,243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241,178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357,362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170,243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241,178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226,991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198"/>
        </w:trPr>
        <w:tc>
          <w:tcPr>
            <w:tcW w:w="3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leverage capital (to average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128,104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128,104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127,683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198,617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357,362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127,683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198,617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3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risk-based capital (to risk-</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393,396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220,788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289,785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220,788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289,785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275,986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32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risk-based capital (to risk-</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165,591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234,588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165,591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234,588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198"/>
        </w:trPr>
        <w:tc>
          <w:tcPr>
            <w:tcW w:w="3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leverage capital (to average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309,413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128,160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128,160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124,194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193,190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Only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124,194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193,190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179,391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minimum CET 1, Tier 1, total capital and leverage ratios, the Bank is required to maintain a capital conservation buffer consisting of additional CET 1 capital greater than 2.5% of risk-weighted assets above the required minimum capital levels. Failure to maintain the required buffer could result in limitations on the Bank's ability to pay dividends, repurchase shares, and pay discretionary bonuses, based on specified percentages of eligible retained income. At March 31, 2026, the Bank’s capital exceeded the conservation buffer.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the capital adequacy requirements of the Federal Reserve. Bank holding companies with $3.0 billion or more in assets must comply with the Federal Reserve’s capital regulations, which are generally the same as the capital regulations applicable to the Bank. The Federal Reserve has a policy requiring a bank holding company to serve as a source of financial and managerial strength to the holding company’s subsidiary bank and the Federal Reserve expects the holding company’s subsidiary bank to be well capitalized under the prompt corrective action regulations.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Federal Reserve regulations, a bank holding company is considered a small bank holding company if its total consolidated assets are below $3.0 billion as of June 30 of a given year. The Company's total consolidated assets exceeded $3.0 billion as of June 30, 2025, and therefore, the Company did not qualify as a small bank holding company for regulatory purposes as of that reporting period. As a result, the Company is subject to all regulatory requirements applicable to larger bank holding companies, including enhanced reporting, capital, and governance standards.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SEGMENTS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reportable segments are determined by the Chief Financial Officer (“CFO”), who is the designated chief operating decision maker, or CODM, based upon information provided about the Company's products and services offered, primarily distinguished between commercial and consumer banking and home lending. They are also distinguished by the level of information provided to the CFO, who uses such information to review performance of various components of business for each branch and home lending office, which are aggregated if operating performance, products/services, and customers are similar. The CFO evaluates the financial performance of the Company's business components such as by evaluating revenue streams, significant expenses, and budget to actual results in assessing the performance of the Company's segments and in the determination of allocating resources. The CFO uses revenue streams to evaluate product pricing and significant expenses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home lending segment by monitoring the premium received on loans sales. Loans, investments, and deposits provide the revenues in the commercial and consumer banking operations, and servicing fees and loan sales provide the revenues in home lending. Interest expense, provisions for credit losses, and payroll provide the significant expenses in commercial and consumer banking, and cost of loan sales and payroll provide the significant expenses in home lending. All operations are domestic and the Company has no major customers providing greater than 10% of total segment revenue. The Company does not have any material intra-entity sales or transfers, aside from certain allocations of interest expense and loan servicing cost from the commercial and consumer banking segment to the home lending segment.</w:t>
      </w: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various management accounting methodologies to assign certain income statement items to the responsible operating segment, including:</w:t>
      </w:r>
    </w:p>
    <w:p>
      <w:pPr>
        <w:spacing w:after="0" w:line="162"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transfer pricing (“FTP”) system, which allocates interest income credits and funding charges between the segments, assigning to each segment a funding credit for its liabilities, such as deposits, and a charge to fund its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per loan serviced allocation based on the number of loans being serviced on the balance sheet and the number of loans serviced for third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based upon the approximate square footage utilized by the home lending segment in Company owned locations;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charges for services rendered to the segments by centralized functions, such as corporate overhead, which are generally based on the number of full-time employees (“FTEs”) in each segment;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the Company’s consolidated income taxes which are based on the effective tax rate applied to the segment’s pretax income or loss.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assets are primarily allocated based on loan origination channel. The home lending segment is limited to residential mortgage and home equity loans originated through the home lending platform. The home lending segment additionally includes related accrued interest receivable and the Company's MSR assets. The commercial and consumer banking segment includes the remainder of the loan portfolio, the assets of the retail branch network and administrative buildings, as well as the investment portfolio and other assets of the Bank. A description of the Company’s business segments and the products and services they provide is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Consumer Banking Segment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March 31, 2026, the Company’s retail deposit branch network consisted of 27 branches in the Pacific Northwest. This segment is also responsible for the management of the investment portfolio and other assets of the Bank.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Lending Segment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home lending segment originates one-to-four-family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(“FHA”), US Department of Veterans Affairs (“VA”), and United States Department of Agriculture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MSRs portfolio and may sell small pools of loans initially originated to be held in the loan portfolio. The Company manages the loan funding and the interest rate risk associated with the secondary market loan sales and the retained one-to-four-family MSRs within this business segment. One-to-four-family loans originated for investment and held in this segment are allocated to the home lending segment with a corresponding provision expense and FTP for cost of funds. Noninterest expense includes allocated overhead expense from general corporate activities. Allocation is determined based on a combination of segment assets and FTEs.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policies for segments are consistent with those described in “Note 1 – Basis of Presentation and Summary of Significant Accounting Policies.” Segment performance is evaluated using net income. Indirect expenses are allocated based on segment assets and full-time equivalent employees (“FTEs”). Transactions among segments are made at fair value. Information reported internally for performance assessment by the CFO follows, inclusive of reconciliations of significant segment totals to the financial statements at or for the three months ended March 31, 2026 and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At or For the Three Months Ended March 31, 2026</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Commercial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6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 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37,023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46,012</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49,333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54,734</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14,713</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10,793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 by segment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10,315</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10"/>
        </w:trPr>
        <w:tc>
          <w:tcPr>
            <w:tcW w:w="4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20,862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25,520</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09"/>
        </w:trPr>
        <w:tc>
          <w:tcPr>
            <w:tcW w:w="4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by segment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2,524,337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679,178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3,203,515</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tcPr>
          <w:p>
            <w:pPr>
              <w:ind w:left="180"/>
              <w:spacing w:after="0" w:line="196" w:lineRule="exact"/>
              <w:rPr>
                <w:sz w:val="20"/>
                <w:szCs w:val="20"/>
                <w:color w:val="auto"/>
              </w:rPr>
            </w:pPr>
            <w:r>
              <w:rPr>
                <w:rFonts w:ascii="Times New Roman" w:cs="Times New Roman" w:eastAsia="Times New Roman" w:hAnsi="Times New Roman"/>
                <w:sz w:val="18"/>
                <w:szCs w:val="18"/>
                <w:color w:val="auto"/>
              </w:rPr>
              <w:t>FTEs</w:t>
            </w:r>
          </w:p>
        </w:tc>
        <w:tc>
          <w:tcPr>
            <w:tcW w:w="16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At or For the Three Months Ended March 31, 2025</w:t>
            </w:r>
          </w:p>
        </w:tc>
      </w:tr>
      <w:tr>
        <w:trPr>
          <w:trHeight w:val="191"/>
        </w:trPr>
        <w:tc>
          <w:tcPr>
            <w:tcW w:w="1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Commercial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22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 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34,928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43,303</w:t>
            </w:r>
          </w:p>
        </w:tc>
      </w:tr>
      <w:tr>
        <w:trPr>
          <w:trHeight w:val="216"/>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r>
      <w:tr>
        <w:trPr>
          <w:trHeight w:val="210"/>
        </w:trPr>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46,788</w:t>
            </w:r>
          </w:p>
        </w:tc>
      </w:tr>
      <w:tr>
        <w:trPr>
          <w:trHeight w:val="209"/>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r>
      <w:tr>
        <w:trPr>
          <w:trHeight w:val="216"/>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r>
      <w:tr>
        <w:trPr>
          <w:trHeight w:val="210"/>
        </w:trPr>
        <w:tc>
          <w:tcPr>
            <w:tcW w:w="12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40,658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51,914</w:t>
            </w:r>
          </w:p>
        </w:tc>
      </w:tr>
      <w:tr>
        <w:trPr>
          <w:trHeight w:val="209"/>
        </w:trPr>
        <w:tc>
          <w:tcPr>
            <w:tcW w:w="12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r>
      <w:tr>
        <w:trPr>
          <w:trHeight w:val="216"/>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r>
      <w:tr>
        <w:trPr>
          <w:trHeight w:val="216"/>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15,806</w:t>
            </w:r>
          </w:p>
        </w:tc>
      </w:tr>
      <w:tr>
        <w:trPr>
          <w:trHeight w:val="210"/>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9,943</w:t>
            </w:r>
          </w:p>
        </w:tc>
      </w:tr>
      <w:tr>
        <w:trPr>
          <w:trHeight w:val="216"/>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7,201</w:t>
            </w:r>
          </w:p>
        </w:tc>
      </w:tr>
      <w:tr>
        <w:trPr>
          <w:trHeight w:val="216"/>
        </w:trPr>
        <w:tc>
          <w:tcPr>
            <w:tcW w:w="510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7,911</w:t>
            </w:r>
          </w:p>
        </w:tc>
      </w:tr>
      <w:tr>
        <w:trPr>
          <w:trHeight w:val="209"/>
        </w:trPr>
        <w:tc>
          <w:tcPr>
            <w:tcW w:w="5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25,055</w:t>
            </w:r>
          </w:p>
        </w:tc>
      </w:tr>
      <w:tr>
        <w:trPr>
          <w:trHeight w:val="210"/>
        </w:trPr>
        <w:tc>
          <w:tcPr>
            <w:tcW w:w="12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9,461</w:t>
            </w:r>
          </w:p>
        </w:tc>
      </w:tr>
      <w:tr>
        <w:trPr>
          <w:trHeight w:val="216"/>
        </w:trPr>
        <w:tc>
          <w:tcPr>
            <w:tcW w:w="5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09"/>
        </w:trPr>
        <w:tc>
          <w:tcPr>
            <w:tcW w:w="5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income by segment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2,424,808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641,270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3,066,078</w:t>
            </w:r>
          </w:p>
        </w:tc>
      </w:tr>
      <w:tr>
        <w:trPr>
          <w:trHeight w:val="196"/>
        </w:trPr>
        <w:tc>
          <w:tcPr>
            <w:tcW w:w="5100" w:type="dxa"/>
            <w:vAlign w:val="bottom"/>
            <w:tcBorders>
              <w:top w:val="single" w:sz="8" w:color="CCEEFF"/>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FTEs</w:t>
            </w: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567</w:t>
            </w: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operations, occupancy, data processing, loan costs, professional and board fees, marketing and advertising, and (recovery) impairment of MSRs.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OTHER INTANGIBLE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certain other intangibles generally arise from business combinations accounted for under the acquisition method of accounting. Goodwill totaled $3.6 million at both March 31, 2026, and December 31, 2025, and represents the excess of the total consideration transferred over the net identifiable assets acquired in the branch purchase on February 24, 2023 (“Branch Acquisition”),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During the last annual evaluation, the Company elected to perform a qualitative assessment to determine whether it was more likely than not that the fair value of the reporting unit exceeded its carrying value, including goodwill. In performing this assessment, management considered qualitative factors including macroeconomic conditions, industry and market trends, financial performance, and changes in the Company's stock price and market capitalization. Based on this assessment, management concluded that it was more likely than not the fair value of the reporting unit exceeded its carrying value, and therefore no impairment of goodwill was indicated.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deposit intangible (“CDI”) is evaluated for impairment whenever events or changes in circumstances indicate that its carrying amount may not be recoverable, with any changes in estimated useful life accounted for prospectively over the revised remaining life. As of March 31, 2026, management believes that there have been no events or changes in the circumstances that would indicate a potential impairment of CDI.</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other intangible assets comprised solely of CDI for the year ended December 31, 2025, and the three months ended March 31,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Gross CDI</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Net CDI</w:t>
            </w: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10,518</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CDI represents the fair value assigned to the intangible core deposit base acquired in business combinations. The CDI from the Branch Acquisition is being amortized on an accelerated basis over 10 years, while the CDI from the Anchor Bank acquisition (completed in November 2018) is being amortized on a straight-line basis over 10 years. Amortization expense was $744,000 for the three months ended March 31, 2026, compared to $831,000 for the same period in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CDI is expected to be as follows at March 31,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8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2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DEFINITIVE AGREEMENT</w:t>
      </w:r>
    </w:p>
    <w:p>
      <w:pPr>
        <w:spacing w:after="0" w:line="229"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On February 25, 2026, the Company entered into a definitive agreement (the “Agreement”) with Pacific West Bancorp, headquartered in West Linn, Oregon ("Pacific West"), pursuant to which Pacific West will be merged with and into the Company, and immediately thereafter Pacific West’s bank subsidiary, Pacific West Bank, will be merged with and into 1st Security Bank of Washington. Pacific West Bank primarily serves the Greater Portland, Oregon metropolitan area with four branch locations in Portland, Vancouver, West Linn, and Lake Oswego.</w:t>
      </w:r>
    </w:p>
    <w:p>
      <w:pPr>
        <w:spacing w:after="0" w:line="18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the aggregate consideration will consist of 430,176 shares of FS Bancorp common stock and $16,832,742 in cash. Pacific West shareholders will have the right to elect shares of FS Bancorp common stock or cash, subject to proration as provided in the Agreement. Based on the closing price of FS Bancorp common stock of $41.26 on February 25, 2026, the consideration value for Pacific West was $34.6 million, or approximately $12.52 per share. Upon completion of the merger, Pacific West shareholders would hold, in aggregate, approximately 5.4% of FS Bancorp’s outstanding common stock.</w:t>
      </w:r>
    </w:p>
    <w:p>
      <w:pPr>
        <w:spacing w:after="0" w:line="183"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All of the directors of Pacific West have agreed to vote their shares of Pacific West common stock in favor of approval of the Agreement. The proposed transaction is subject to customary closing conditions, including the receipt of regulatory approvals and approval of the Agreement by the shareholders of Pacific West, and is expected to be completed in the third quarter of 2026.</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December 31, 2025, Pacific West reported total assets of $386.0 million, total loans of $276.6 million and total deposits of $342.2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contains forward-looking statements, which can be identified by the use of words such as “believes,” “expects,” “anticipates,” “estimates,” “plans,” “intends,” “projects,” or similar expressions. Forward-looking statements include, but are not limited to:</w:t>
      </w:r>
    </w:p>
    <w:p>
      <w:pPr>
        <w:spacing w:after="0" w:line="16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goals, intentions, and expectations;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subject to significant risks and uncertainties. Actual results may differ materially from those contemplated by the forward-looking statements due to, among other things, the following factors:</w:t>
      </w:r>
    </w:p>
    <w:p>
      <w:pPr>
        <w:spacing w:after="0" w:line="162" w:lineRule="exact"/>
        <w:rPr>
          <w:sz w:val="20"/>
          <w:szCs w:val="20"/>
          <w:color w:val="auto"/>
        </w:rPr>
      </w:pPr>
    </w:p>
    <w:p>
      <w:pPr>
        <w:ind w:left="260" w:right="820" w:hanging="252"/>
        <w:spacing w:after="0" w:line="261"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economic conditions in our local markets or other markets where we have lending relationships; or to other aspects of the Company's business operations;</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employment levels, labor shortages, persistent inflation, recessionary pressures or slowed economic growth;</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 levels and volatility, and the timing and pace of such changes, including actions by the Board of Governors of the Federal Reserve System (“Federal Reserve”), which could adversely affect our revenues and expenses, the values of our assets and obligations, and the availability and cost of capital and liquidity;</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related monetary and fiscal policy responses thereto, and their impact on consumer and business behavior;</w:t>
      </w:r>
    </w:p>
    <w:p>
      <w:pPr>
        <w:spacing w:after="0" w:line="9" w:lineRule="exact"/>
        <w:rPr>
          <w:rFonts w:ascii="Times New Roman" w:cs="Times New Roman" w:eastAsia="Times New Roman" w:hAnsi="Times New Roman"/>
          <w:sz w:val="18"/>
          <w:szCs w:val="18"/>
          <w:color w:val="auto"/>
        </w:rPr>
      </w:pPr>
    </w:p>
    <w:p>
      <w:pPr>
        <w:ind w:left="260" w:hanging="252"/>
        <w:spacing w:after="0" w:line="180" w:lineRule="auto"/>
        <w:tabs>
          <w:tab w:leader="none" w:pos="260" w:val="left"/>
        </w:tabs>
        <w:numPr>
          <w:ilvl w:val="0"/>
          <w:numId w:val="1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geopolitical developments and international conflicts, or the imposition of new or increased tariffs and trade restrictions that may disrupt financial markets, global supply chains, commodity prices, or economic activity in specific industry sectors;</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government shutdown, debt ceiling standoff, or other fiscal policy uncertainty;</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inherent in lending activities, including loan delinquencies, charge-offs, changes in our allowance for credit losses (“ACL”), and provisions for credit losses;</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conditions and our ability to originate loans for sale and sell loans in the secondary market;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loan demand, unsold homes, and land and in property values;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fluctuations arising from product demand or corporate strategies;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in determining the fair value of assets, which may prove incorrect;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 among financial services companies;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plans to grow our residential construction lending, our home lending operations, our warehouse lending, and the geographic expansion of our indirect home improvement lending;</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deposits;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and management personnel we may acquire in the future into our operations, to realize related revenue synergies and cost savings within expected time frames, and the potential for goodwill impairments;</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operating costs and expenses;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key growth initiatives and strategic priorities;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members of our senior management team;</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or adverse developments at other banks and related negative publicity about the banking industry in general on investor and depositor sentiment;</w:t>
      </w:r>
    </w:p>
    <w:p>
      <w:pPr>
        <w:ind w:left="260" w:right="1040" w:hanging="252"/>
        <w:spacing w:after="0" w:line="180" w:lineRule="auto"/>
        <w:tabs>
          <w:tab w:leader="none" w:pos="260" w:val="left"/>
        </w:tabs>
        <w:numPr>
          <w:ilvl w:val="0"/>
          <w:numId w:val="1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ability to adapt to rapid technological changes, including advancements related to artificial intelligence, digital banking platforms, and cybersecurity;</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regulatory changes including, but not limited to shifts in capital requirements, banking regulation, tax laws, or consumer protection 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composition of our securities portfolio and the impact of adverse changes in the securities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adopted by the bank regulatory agencies, the Public Company Accounting Oversight Board or the Financial Accounting Standards Board (“FASB”);</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including settlements and judgments;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our information systems or those of third-party service providers, including disruptions, breaches, or cyberattacks;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key third-party vendors to perform their obligations to us;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climate change, severe weather events, natural disasters, pandemics, epidemics and other public health crises, acts of war or terrorism, domestic political unrest, and other external events;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new or increased tariffs, trade restrictions or geopolitical tensions that could affect economic activity or specific industry sectors;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goals and targets;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bank regulatory, consumer and technical factors affecting our operations, pricing, products and services; and</w:t>
      </w:r>
    </w:p>
    <w:p>
      <w:pPr>
        <w:ind w:left="340" w:hanging="332"/>
        <w:spacing w:after="0" w:line="216" w:lineRule="exact"/>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elsewhere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our other reports filed with or furnished to the SEC, including our Annual Report on Form 10-K for the year ended December 31, 2025 (the “2025 Form 10-K”).</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statements about the potential effects of the Company's proposed merger with Pacific West Bancorp, headquartered in West Linn, Oregon (“Pacific West”) on the Company's business, financial results, and condition may constitute forward-looking statements and are subject to the risk that the actual effects may differ, possibly materially, from what is reflected in the forward-looking statements due to factors and future developments which are uncertain, unpredictable, and in many cases, beyond the Company's control, including the following:</w:t>
      </w:r>
    </w:p>
    <w:p>
      <w:pPr>
        <w:spacing w:after="0" w:line="180"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savings, synergies and other financial benefits from the merger might not be realized within the expected time frames or at all;</w:t>
      </w:r>
    </w:p>
    <w:p>
      <w:pPr>
        <w:spacing w:after="0" w:line="27" w:lineRule="exact"/>
        <w:rPr>
          <w:rFonts w:ascii="Times New Roman" w:cs="Times New Roman" w:eastAsia="Times New Roman" w:hAnsi="Times New Roman"/>
          <w:sz w:val="18"/>
          <w:szCs w:val="18"/>
          <w:color w:val="auto"/>
        </w:rPr>
      </w:pPr>
    </w:p>
    <w:p>
      <w:pPr>
        <w:ind w:left="340" w:right="66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approval of the merger may not be obtained, or adverse regulatory conditions may be imposed in connection with governmental approvals of the merger;</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the closing of the merger may not be satisfied; the shareholders of Pacific West may fail to approve the consummation of the merger;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the combined company, including personnel changes/retention, might not proceed as planned;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might not perform as well as expected.</w:t>
      </w:r>
    </w:p>
    <w:p>
      <w:pPr>
        <w:spacing w:after="0" w:line="166"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Any forward-looking statements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in other public statements may prove to be inaccurate because of incorrect assumptions, the factors described above, or other factors that we cannot foresee. Forward-looking statements are based on management’s beliefs and assumptions as of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in this report might not occur and you should not place undue reliance on any 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1st Security Bank including the predecessor to Anchor Bank, one of its banking acquisitions, has been serving the Puget Sound area since 1907. On July 9, 2012, the Bank converted from mutual to stock ownership, becoming the wholly owned subsidiary of FS Bancorp.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relationship-driven, delivering banking and financial services to families, businesses, and industry niches in suburban communities across the greater Puget Sound area, the Kennewick-Pasco-Richland metropolitan area (also known as the Tri-Cities), and the communities of Goldendale, Vancouver, and White Salmon, Washington, as well as Manzanita, Newport, Ontario, Tillamook and Waldport, Oregon.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its community banking presence, the Company maintains a long-standing indirect consumer lending platform operating primarily throughout the Western United States. Through active community involvement and a broad array of products and services, the Company emphasizes long-term relationships with the families and businesses it serves, working alongside them to meet their evolving financial needs.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strategic focus involves diversifying revenues, expanding lending channels, and enhancing the banking franchise. Management is committed to building varied revenue streams while thoughtfully managing credit, interest rate, and concentration risks. This commitment is reflected in the following priorities:</w:t>
      </w:r>
    </w:p>
    <w:p>
      <w:pPr>
        <w:spacing w:after="0" w:line="1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diversifying the loan portfolio;</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strong asset quality;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lower cost core deposits to reduce funding costs and support loan growth;</w:t>
      </w:r>
    </w:p>
    <w:p>
      <w:pPr>
        <w:spacing w:after="0" w:line="9"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Capturing customers’ complete relationships through a broad array of products and services, leveraging community involvement, and selectively emphasizing offerings aligned with customers’ banking needs; and</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new markets.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diversified lender, the Company specializes in originating one-to-four-family residential loans, CRE mortgages, second mortgages, consumer loans, marine lending, and commercial business loans.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the Company's loan portfolio consisted of the following major categories: CRE loans, residential real estate loans, consumer loans, and commercial business loans representing 37.2%, 28.8%, 21.9%, and 12.1% of the portfolio,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Indirect home improvement loans to finance window, gutter, siding replacement, solar panels, spas, and other improvement renovations represent a large segment of the consumer loan portfolio. These loans are sourced through a contractor/dealer network of 30 active fixture dealerships located throughout Washington, Oregon, California, Idaho, Colorado, Nevada, Arizona, Minnesota, Texas, Utah, Massachusetts, Montana, and New Hampshire. During the three months ended March 31, 2026, the Company originated 1,181 indirect home improvement loans with an aggregate total of $26.6 million. Five contractor/dealers accounted for 71.7% of the dollar volume funded in this category, and four states – Washington, Oregon, California, and Utah – represented nearly three-quarters of total loan originations at 36.4%, 21.0%, 15.3%, and 4.7%,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originates one-to-four-family residential mortgage loans through referrals from real estate agents, financial planners, builders, and existing customers with retail banking customers also serving as an important source of loan originations. During the three months ended March 31, 2026, the Company originated $204.9 million of one-to-four-family loans (including loans held for sale, loans held for investment, and fixed seconds). In addition, $3.1 million of loans were brokered to other institutions through the home lending segment. Of the loans originated, $154.7 million were sold to investors, of which $73.6 million were sold to the FNMA and FHLMC with servicing rights retained to further develop these customer relationships.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one-to-four-family loan originations and refinancing activity increased compared to the prior period, driven by changes in interest rates and economic conditions. Residential construction and development lending, while less common than other origination options, remains an important element of the total loan portfolio. The Company continues to take a disciplined approach concentrating its efforts on loans to builders and developers in its known market areas. These short-term loans typically carry a maturity of six to 18 months, with disbursements not fully realized at origination, resulting in a short-term reduction in net loans receivable.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earnings are also affected by fee income from mortgage banking activities, the provision for (reversal of) credit losses, service charges and fees, gains from sales of assets, operating expenses and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estimates as disclosed in the Company’s Annual Report on Form 10-K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March 31, 2026 and December 31, 2025</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remained virtually unchanged at $3.20 billion at March 31, 2026, compared to December 31, 2025. The most significant 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these periods were a $17.7 million decrease in securities available-for-sale, a $12.6 million increase in loans held for sale, a $10.5 million increase in total cash and cash equivalents, and a $919,000 increase in loans receivable, net. Asset growth was primarily funded by brokered deposits.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net, was $2.62 billion at both March 31, 2026, and December 31, 2025.</w:t>
      </w:r>
    </w:p>
    <w:p>
      <w:pPr>
        <w:spacing w:after="0" w:line="225" w:lineRule="exact"/>
        <w:rPr>
          <w:sz w:val="20"/>
          <w:szCs w:val="20"/>
          <w:color w:val="auto"/>
        </w:rPr>
      </w:pPr>
    </w:p>
    <w:p>
      <w:pPr>
        <w:ind w:left="320" w:hanging="150"/>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(“CRE”) loans increased $17.4 million, primarily reflecting:</w:t>
      </w:r>
    </w:p>
    <w:p>
      <w:pPr>
        <w:spacing w:after="0" w:line="2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million in CRE owner occupied loans,</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in CRE non-owner occupied loans,</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in commercial and speculative construction and development loans, and</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 multi-family loans.</w:t>
      </w:r>
    </w:p>
    <w:p>
      <w:pPr>
        <w:spacing w:after="0" w:line="206"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real estate loans increased $4.2 million, driven by:</w:t>
      </w:r>
    </w:p>
    <w:p>
      <w:pPr>
        <w:spacing w:after="0" w:line="2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 one-to-four-family loans (excluding loans held for sale),</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 residential custom construction loans, and</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$197,000 in home equity loans.</w:t>
      </w:r>
    </w:p>
    <w:p>
      <w:pPr>
        <w:spacing w:after="0" w:line="206" w:lineRule="exact"/>
        <w:rPr>
          <w:rFonts w:ascii="Times New Roman" w:cs="Times New Roman" w:eastAsia="Times New Roman" w:hAnsi="Times New Roman"/>
          <w:sz w:val="18"/>
          <w:szCs w:val="18"/>
          <w:color w:val="auto"/>
        </w:rPr>
      </w:pPr>
    </w:p>
    <w:p>
      <w:pPr>
        <w:ind w:firstLine="170"/>
        <w:spacing w:after="0" w:line="282" w:lineRule="auto"/>
        <w:tabs>
          <w:tab w:leader="none" w:pos="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undisbursed construction and development loan commitments decreased $16.9 million to $218.5 million at March 31, 2026, from $235.4 million at December 31, 2025.</w:t>
      </w:r>
    </w:p>
    <w:p>
      <w:pPr>
        <w:spacing w:after="0" w:line="161" w:lineRule="exact"/>
        <w:rPr>
          <w:rFonts w:ascii="Times New Roman" w:cs="Times New Roman" w:eastAsia="Times New Roman" w:hAnsi="Times New Roman"/>
          <w:sz w:val="18"/>
          <w:szCs w:val="18"/>
          <w:color w:val="auto"/>
        </w:rPr>
      </w:pPr>
    </w:p>
    <w:p>
      <w:pPr>
        <w:ind w:firstLine="170"/>
        <w:spacing w:after="0" w:line="282"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business loans decreased $6.7 million, reflecting a decrease of $10.0 million in warehouse lending, partially offset by an increase of $3.4 million in commercial and industrial (“C&amp;I”) loans.</w:t>
      </w:r>
    </w:p>
    <w:p>
      <w:pPr>
        <w:spacing w:after="0" w:line="161"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loans decreased $13.5 million, primarily due to declines of $12.4 million in indirect home improvement loans and $989,000 in marine 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loan growth was concentrated in CRE, including owner occupied, non-owner occupied, and construction and development loans, and to a lesser extent, multi-family and residential real estate segments. Consumer balances declined, driven primarily by a reduction in indirect home improvement loans, reflecting the impact of current economic conditions on consumer demand.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held for sale, consisting of one-to-four-family loans, increased $12.6 million to $56.3 million at March 31, 2026, from $43.7 million at December 31, 2025, reflecting higher origination volume driven by increased refinance activity resulting from improved mortgage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one-to-four-family loan originations and refinancing activity increased significantly compared to the prior period, driven by improved mortgage rates which resulted in a 175% increase in refinance volume. Purchase originations also increased $18.9 million. or 15.7%, reflecting continued demand in the Company's market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 of one-to-four-family loans for the periods indicated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Pr>
          <w:p>
            <w:pPr>
              <w:spacing w:after="0"/>
              <w:rPr>
                <w:sz w:val="20"/>
                <w:szCs w:val="20"/>
                <w:color w:val="auto"/>
              </w:rPr>
            </w:pPr>
          </w:p>
        </w:tc>
        <w:tc>
          <w:tcPr>
            <w:tcW w:w="3980" w:type="dxa"/>
            <w:vAlign w:val="bottom"/>
            <w:gridSpan w:val="11"/>
          </w:tcPr>
          <w:p>
            <w:pPr>
              <w:jc w:val="right"/>
              <w:ind w:right="76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vMerge w:val="restart"/>
          </w:tcPr>
          <w:p>
            <w:pPr>
              <w:spacing w:after="0"/>
              <w:rPr>
                <w:sz w:val="18"/>
                <w:szCs w:val="18"/>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Percent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99"/>
              </w:rPr>
              <w:t>Percent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139,626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Refinance</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67,864</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24,677</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43,187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207,490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145,396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62,094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$154.7 million of one-to-four-family loans, compared to $91.9 million for the same period one year ago. The increase in loan sales reflects improved mortgage rates which is also driving higher refinance activity. The Company remains focused on managing loan production capacity and maintaining a pipeline consistent with market demand. Gross margin on home loan sales was 3.03% for the three months ended March 31, 2026, compared to 3.26% for the three months ended March 31, 2025. The compression in gross margin reflects competitive pricing pressures in the current mortgage market environment as the Company maintained production volume consistent with market demand. Gross margin is defined as the margin on loans sold without the impact of deferred loan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ACL on loans totaled $32.4 million, or 1.22%, of gross loans receivable (excluding loans held for sale), at March 31, 2026, compared to $31.9 million, or 1.20%, at December 31, 2025. The ACL on unfunded loan commitments decreased $121,000 to $1.6 million at March 31, 2026, from $1.8 million at December 31, 2025. Total loans 30 days or more past due increased to $23.2 million, or 0.87% of total loans, from $22.2 million, or 0.84%, at December 31, 2025, reflecting softening credit performance across the broader loan portfolio, driven by current economic conditions and their impact on borrower cash flows.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Nonperforming loans, consisting solely of nonaccrual loans, decreased $477,000 to $18.3 million at March 31, 2026, from $18.7 million at December 31, 2025. The decrease was primarily attributable to nonperforming CRE loans, which decreased $762,000 to $10.5 million, and nonperforming C&amp;I loans, which decreased $415,000 to $165,000, partially offset by nonperforming indirect home improvement loans, which increased $366,000 to $4.6 million and nonperforming residential loans, which increased $290,000 to $2.5 million. The ratio of nonperforming loans to total gross loans reduced slightly to 0.69% at March 31, 2026, from 0.71% at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Classified loans totaled $26.1 million at March 31, 2026, compared to $27.3 million at December 31, 2025. The coverage ratio of the ACL on loans to nonperforming loans was 177.7% at March 31, 2026, compared to 170.6% at December 31, 2025. The increase in the coverage ratio primarily reflects increased provision for nonperforming loans.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asset quality trends reflect growth in CRE, construction, multi-family, and residential loan segments, ongoing elevated losses in certain consumer loan portfolios, and continued risk management and monitoring of nonperforming and substandard exposures.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Liabilities. </w:t>
      </w:r>
      <w:r>
        <w:rPr>
          <w:rFonts w:ascii="Times New Roman" w:cs="Times New Roman" w:eastAsia="Times New Roman" w:hAnsi="Times New Roman"/>
          <w:sz w:val="18"/>
          <w:szCs w:val="18"/>
          <w:color w:val="auto"/>
        </w:rPr>
        <w:t>Total liabilities were $2.89 billion at both March 31, 2026 and December 31, 2025. The loan-to-deposit ratio was approximately 102.9%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March 31, 2026, compared to approximately 100.9% at December 31, 2025.</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decreased $36.1 million to $2.64 billion at March 31, 2026, from $2.67 billion at December 31, 2025, reflecting decreases in all deposit categories other than escrow accounts. Transactional accounts (noninterest-bearing checking, interest-bearing checking and escrow accounts) decreased $13.7 million to $980.0 million at March 31, 2026, from $993.6 million at December 31, 2025, primarily due to decreases of $12.4 million in noninterest-bearing checking, and $9.2 million in interest-bearing checking, partially offset by an $8.0 million increase in escrow accounts related to mortgages serviced, reflecting higher customer balances and increased activity in mortgage servicing. Money market and savings accounts decreased $2.5 million to $547.1 million at March 31, 2026, from $549.7 million at December 31, 2025, primarily reflecting a decline in money market balances, partially offset by an increase in retail and business savings accounts.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CDs, which include both retail and non-retail CDs, decreased $19.8 million to $1.11 billion at March 31, 2026, from $1.13 billion at December 31, 2025. Retail CDs decreased $5.0 million to $916.7 million at March 31, 2026, from $921.7 million at December 31, 2025. Non-retail CDs, which include brokered CDs, online CDs and public funds CDs decreased $14.9 million to $193.8 million, compared to $208.7 million at December 31, 2025, primarily due to a decrease of $15.3 million in brokered CDs. Non-retail CDs represented 17.5% and 18.5% of total CDs at March 31, 2026 and December 31, 2025, respectively. The decrease in non-retail CDs aligns with the Company's strategy to manage interest rate risk and liquidity by accessing larger and more diversified funding sources at competitive rates that were only slightly higher than local market rates, while reducing reliance on higher cost borrowings.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34"/>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91"/>
        </w:trPr>
        <w:tc>
          <w:tcPr>
            <w:tcW w:w="8000" w:type="dxa"/>
            <w:vAlign w:val="bottom"/>
            <w:gridSpan w:val="3"/>
            <w:vMerge w:val="continue"/>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634,787</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Interest-bearing checking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326,209</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169,192</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377,935</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Certificates of deposit less than $100,000 </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501,103</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441,795</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Certificates of deposit greater than $250,000 </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167,651</w:t>
            </w:r>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line="235" w:lineRule="exact"/>
              <w:rPr>
                <w:sz w:val="20"/>
                <w:szCs w:val="20"/>
                <w:color w:val="auto"/>
              </w:rPr>
            </w:pPr>
            <w:r>
              <w:rPr>
                <w:rFonts w:ascii="Times New Roman" w:cs="Times New Roman" w:eastAsia="Times New Roman" w:hAnsi="Times New Roman"/>
                <w:sz w:val="17"/>
                <w:szCs w:val="17"/>
                <w:color w:val="auto"/>
              </w:rPr>
              <w:t xml:space="preserve">Escrow accounts related to mortgages serviced </w:t>
            </w:r>
            <w:r>
              <w:rPr>
                <w:rFonts w:ascii="Times New Roman" w:cs="Times New Roman" w:eastAsia="Times New Roman" w:hAnsi="Times New Roman"/>
                <w:sz w:val="27"/>
                <w:szCs w:val="27"/>
                <w:color w:val="auto"/>
                <w:vertAlign w:val="superscript"/>
              </w:rPr>
              <w:t>(5)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18,904</w:t>
            </w:r>
          </w:p>
        </w:tc>
        <w:tc>
          <w:tcPr>
            <w:tcW w:w="0" w:type="dxa"/>
            <w:vAlign w:val="bottom"/>
          </w:tcPr>
          <w:p>
            <w:pPr>
              <w:spacing w:after="0"/>
              <w:rPr>
                <w:sz w:val="1"/>
                <w:szCs w:val="1"/>
                <w:color w:val="auto"/>
              </w:rPr>
            </w:pPr>
          </w:p>
        </w:tc>
      </w:tr>
      <w:tr>
        <w:trPr>
          <w:trHeight w:val="210"/>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2,637,576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$140.4 million and $140.2 million of brokered deposits at March 31, 2026 and December 31, 2025, respectively.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$250,000 and $20.3 million of brokered deposits at March 31, 2026 and December 31, 2025,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$186.7 million and $202.1 million of brokered deposits at March 31, 2026 and December 31, 2025,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 that meet or exceed the FDIC insurance limit.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checking.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860" w:hanging="85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647,197</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335,449</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164,056</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385,618</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512,808</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452,666</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164,922</w:t>
      </w:r>
    </w:p>
    <w:p>
      <w:pPr>
        <w:spacing w:after="0" w:line="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740" w:hanging="73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2,673,642</w:t>
      </w:r>
    </w:p>
    <w:p>
      <w:pPr>
        <w:spacing w:after="0" w:line="1455" w:lineRule="exact"/>
        <w:rPr>
          <w:sz w:val="20"/>
          <w:szCs w:val="20"/>
          <w:color w:val="auto"/>
        </w:rPr>
      </w:pPr>
    </w:p>
    <w:p>
      <w:pPr>
        <w:sectPr>
          <w:pgSz w:w="11900" w:h="16838" w:orient="portrait"/>
          <w:cols w:equalWidth="0" w:num="2">
            <w:col w:w="9580" w:space="100"/>
            <w:col w:w="1560"/>
          </w:cols>
          <w:pgMar w:left="320" w:top="108" w:right="339" w:bottom="1440" w:gutter="0" w:footer="0" w:header="0"/>
        </w:sectPr>
      </w:pPr>
    </w:p>
    <w:p>
      <w:pPr>
        <w:spacing w:after="0" w:line="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had uninsured deposits of approximately $704.2 million or 26.7% of total deposits, at March 31, 2026, compared to approximately $718.1 million or 26.9% of total deposits at December 31, 2025. The uninsured amounts are estimates based on the methodologies and assumptions used for the Bank’s regulatory reporting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increased $38.0 million to $167.3 million at March 31, 2026, from $129.3 million at December 31, 2025. The increase reflects competitive rates on borrowings, compared to brokered deposits, consistent with the Company's funding strategy. At March 31, 2026, borrowings were comprised of FHLB and FRB advances.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w:t>
      </w:r>
      <w:r>
        <w:rPr>
          <w:rFonts w:ascii="Times New Roman" w:cs="Times New Roman" w:eastAsia="Times New Roman" w:hAnsi="Times New Roman"/>
          <w:sz w:val="18"/>
          <w:szCs w:val="18"/>
          <w:color w:val="auto"/>
        </w:rPr>
        <w:t>Total stockholders’ equity increased $6.2 million to $313.9 million at March 31, 2026, from $307.7 million at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primarily reflects net income of $7.8 million. Declines in the fair value of available-for-sale securities recorded in accumulated other comprehensive income (“AOCI”) were largely offset by improvements in the fair value of interest rate swap cash flow hedges, resulting in a net improvement of $83,000, net of tax. Gains and losses in fair value reflect changes in market interest rates during the periods. The increase in shareholders’ equity was partially offset by cash dividends paid totaling $2.2 million, and share repurchases of $620,000.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 value per common share was $42.42 at March 31, 2026, compared to $41.55 at December 31, 2025. The calculation of book value per share at March 31, 2026, was based on 7,398,571 common shares, derived by subtracting the 102,971 unvested restricted stock shares from the 7,501,542 reported common shares outstanding as of that date. Similarly, the book value per share at December 31, 2025, was calculated based on 7,404,548 common shares, after deducting 102,971 unvested restricted stock shares from the 7,507,519 reported common shares outstanding as of that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March 31, 2026 and 2025</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Net income was $7.8 million for the three months ended March 31, 2026, compared to $8.0 million for the three months ended March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was primarily due to a $937,000, or 58.9%, increase in provision for credit losses, a $627,000, or 43.5%, increase in provision for income taxes, and a $465,000, or 1.9%, increase in total noninterest expense, partially offset by a $1.6 million, or 5.0%, increase in net interest income, and a $275,000, or 5.4%, increase in total noninterest income.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Interest and Average Yields/Cost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Yield/</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Earned/ Paid</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Rate</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receivable, net and loans held for sale </w:t>
            </w:r>
            <w:r>
              <w:rPr>
                <w:rFonts w:ascii="Times New Roman" w:cs="Times New Roman" w:eastAsia="Times New Roman" w:hAnsi="Times New Roman"/>
                <w:sz w:val="25"/>
                <w:szCs w:val="25"/>
                <w:color w:val="auto"/>
                <w:vertAlign w:val="superscript"/>
              </w:rPr>
              <w:t>(1)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2,700,993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2,559,944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4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investment securities </w:t>
            </w:r>
            <w:r>
              <w:rPr>
                <w:rFonts w:ascii="Times New Roman" w:cs="Times New Roman" w:eastAsia="Times New Roman" w:hAnsi="Times New Roman"/>
                <w:sz w:val="25"/>
                <w:szCs w:val="25"/>
                <w:color w:val="auto"/>
                <w:vertAlign w:val="superscript"/>
              </w:rPr>
              <w:t>(3)(4)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254,244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 exempt securities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23,082</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16,161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9"/>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3,064,520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49,333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2,907,126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46,788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136,839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3,201,359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3,032,512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197"/>
        </w:trPr>
        <w:tc>
          <w:tcPr>
            <w:tcW w:w="43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551,570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495,895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351,417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182,783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1,106,171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1,086,927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218,639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0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2,191,074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16,788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2,033,844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15,806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right="1080"/>
        <w:spacing w:after="0" w:line="267" w:lineRule="auto"/>
        <w:rPr>
          <w:sz w:val="20"/>
          <w:szCs w:val="20"/>
          <w:color w:val="auto"/>
        </w:rPr>
      </w:pPr>
      <w:r>
        <w:rPr>
          <w:rFonts w:ascii="Times New Roman" w:cs="Times New Roman" w:eastAsia="Times New Roman" w:hAnsi="Times New Roman"/>
          <w:sz w:val="18"/>
          <w:szCs w:val="18"/>
          <w:color w:val="auto"/>
        </w:rPr>
        <w:t>Noninterest-bearing accounts Other noninterest-bearing liabilities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rate spread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margin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Average interest-earning assets to average 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102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658,746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663,824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34,805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33,739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2,884,625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2,731,407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32,545</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30,982</w:t>
            </w:r>
          </w:p>
        </w:tc>
        <w:tc>
          <w:tcPr>
            <w:tcW w:w="0" w:type="dxa"/>
            <w:vAlign w:val="bottom"/>
          </w:tcPr>
          <w:p>
            <w:pPr>
              <w:spacing w:after="0" w:line="20" w:lineRule="exact"/>
              <w:rPr>
                <w:sz w:val="1"/>
                <w:szCs w:val="1"/>
                <w:color w:val="auto"/>
              </w:rPr>
            </w:pPr>
          </w:p>
        </w:tc>
      </w:tr>
      <w:tr>
        <w:trPr>
          <w:trHeight w:val="197"/>
        </w:trPr>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873,446</w:t>
            </w:r>
          </w:p>
        </w:tc>
        <w:tc>
          <w:tcPr>
            <w:tcW w:w="4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873,282</w:t>
            </w:r>
          </w:p>
        </w:tc>
        <w:tc>
          <w:tcPr>
            <w:tcW w:w="4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-1088390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-762635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-436880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4.32%</w:t>
      </w:r>
    </w:p>
    <w:p>
      <w:pPr>
        <w:spacing w:after="0" w:line="727" w:lineRule="exact"/>
        <w:rPr>
          <w:sz w:val="20"/>
          <w:szCs w:val="20"/>
          <w:color w:val="auto"/>
        </w:rPr>
      </w:pPr>
    </w:p>
    <w:p>
      <w:pPr>
        <w:sectPr>
          <w:pgSz w:w="11900" w:h="16838" w:orient="portrait"/>
          <w:cols w:equalWidth="0" w:num="3">
            <w:col w:w="3660" w:space="640"/>
            <w:col w:w="6120" w:space="340"/>
            <w:col w:w="480"/>
          </w:cols>
          <w:pgMar w:left="320" w:top="121" w:right="339" w:bottom="1440" w:gutter="0" w:footer="0" w:header="0"/>
          <w:type w:val="continuous"/>
        </w:sectPr>
      </w:pPr>
    </w:p>
    <w:p>
      <w:pPr>
        <w:spacing w:after="0" w:line="10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net deferred fee recognition of $1.7 million and $1.2 million for the three months ended March 31, 2026 and 2025, respectively.</w:t>
      </w:r>
    </w:p>
    <w:p>
      <w:pPr>
        <w:spacing w:after="0" w:line="20"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$164,000 and $297,000 for the three months ended March 31, 2026 and 2025,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w:t>
      </w:r>
      <w:r>
        <w:rPr>
          <w:rFonts w:ascii="Times New Roman" w:cs="Times New Roman" w:eastAsia="Times New Roman" w:hAnsi="Times New Roman"/>
          <w:sz w:val="18"/>
          <w:szCs w:val="18"/>
          <w:color w:val="auto"/>
        </w:rPr>
        <w:t>Net interest income increased $1.6 million to $32.5 million for the three months ended March 31, 2026, from $31.0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primarily due to an increase in total interest income of $2.5 million, partially offset by an increase in total interest expense of $982,000. The increase in total interest income was primarily due to an increase of $2.7 million in interest income on loans receivable, including fees, driven primarily by a five-basis point increase in the average yield earned on loans receivable as new loans were originated at higher rates and variable-rate loans repriced higher, and a higher average balance of loans outstanding. The increase in total interest expense was primarily the result of a $1.7 million increase in deposit interest expense, reflecting significantly higher average balances in interest-bearing checking accounts, including brokered deposits, and a 108 basis point increase in the rate paid on those accounts. Additionally, the repricing of the Company's subordinated notes to a floating rate on February 15, 2026, contributed $206,000 of incremental interest expense. These increases were partially offset by an $879,000 decrease in borrowing costs, as the Company reduced average borrowings by $86.4 million in accordance with its funding and liquidity strategy.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margin (“NIM”) (annualized) decreased one basis point to 4.31% for the three months ended March 31, 2026, from 4.32% for the same period the prior year. The change in NIM primarily reflects the repricing of the Company's subordinated notes to a floating rate on February 15, 2026, which resulted in an estimated two-basis point decline in NIM for the quarter, and higher funding costs associated with growth in interest-bearing checking balances, including brokered deposits. These effects were largely offset by a five-basis point improvement in average loan yields and a modest decline in CD rates.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Total interest income for the three months ended March 31, 2026, increased $2.5 million to $49.3 million, from $46.8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The increase was primarily due to a $2.7 million increase in interest income on loans receivable, including fees, as a result of higher average loan balances and a five-basis point increase in average loan yields. Offsetting this growth were decreases in interest income on investment securities and FHLB stock, collectively totaling $190,000, reflecting yield compression on taxable investment securities from 4.34% to 3.99% and lower average FHLB stock balances.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compares average interest-earning asset balances, associated yields, and resulting changes in interest income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1"/>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Loans receivable, net and loans held for sale </w:t>
            </w:r>
            <w:r>
              <w:rPr>
                <w:rFonts w:ascii="Times New Roman" w:cs="Times New Roman" w:eastAsia="Times New Roman" w:hAnsi="Times New Roman"/>
                <w:sz w:val="24"/>
                <w:szCs w:val="24"/>
                <w:color w:val="auto"/>
                <w:vertAlign w:val="superscript"/>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2,700,993</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6.91%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2,559,944</w:t>
            </w: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6.86%</w:t>
            </w: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$ 2,709</w:t>
            </w:r>
          </w:p>
        </w:tc>
        <w:tc>
          <w:tcPr>
            <w:tcW w:w="0" w:type="dxa"/>
            <w:vAlign w:val="bottom"/>
          </w:tcPr>
          <w:p>
            <w:pPr>
              <w:spacing w:after="0"/>
              <w:rPr>
                <w:sz w:val="1"/>
                <w:szCs w:val="1"/>
                <w:color w:val="auto"/>
              </w:rPr>
            </w:pP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 taxable </w:t>
            </w:r>
            <w:r>
              <w:rPr>
                <w:rFonts w:ascii="Times New Roman" w:cs="Times New Roman" w:eastAsia="Times New Roman" w:hAnsi="Times New Roman"/>
                <w:sz w:val="25"/>
                <w:szCs w:val="25"/>
                <w:color w:val="auto"/>
                <w:vertAlign w:val="superscript"/>
              </w:rPr>
              <w:t>(3)(4)</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254,244</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241,430</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78,144</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77,643</w:t>
            </w: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8,057</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11,948</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23,082</w:t>
            </w: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16,161</w:t>
            </w: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3,064,520</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6.53%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2,907,126</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6.53%</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$ 2,545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$1.7 million and $1.2 million for the three months ended March 31, 2026 and 2025,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$164,000 and $297,000 for the three months ended March 31, 2026 and 2025, respectively.</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Total interest expense increased $982,000 to $16.8 million for the three months ended March 31, 2026, from $15.8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quarter in 2025, primarily due to an increase of interest expense on deposits of $1.7 million, partially offset by a decrease of $879,000 of interest expense on borrowings. The higher deposit costs were the result of an increase in interest-bearing checking balances, including brokered deposits, combined with a 108-basis point increase in the rate paid on those accounts, partially offset by a $332,000 decrease in interest expense on CDs due to a 19-basis point decline in CD rates. Additionally, the repricing of the Company's subordinated notes to a floating rate on February 15, 2026, contributed $206,000 of incremental interest expense.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cost of total interest-bearing deposits decreased three-basis points to 2.97% for the three months ended March 31, 2026, compared to 3.00% for the three months ended March 31, 2025, primarily reflecting lower rates paid on certificates of deposit, which more than offset higher rates on interest-bearing checking accounts. The average balance of total interest-bearing deposits increased $243.6 million to $2.0 billion for the three months ended March 31, 2026, compared to $1.77 billion for the three months ended March 31, 2025, driven primarily by an increase in interest-bearing checking balances, including brokered deposits.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cost of total interest-bearing liabilities similarly decreased four basis points to 3.11%, reflecting the benefit of lower borrowing costs as average borrowings declined $86.4 million. The average cost of funds, which includes noninterest-bearing checking, increased one basis point to 2.39%, primarily reflecting a lower proportion of noninterest-bearing deposits in the overall funding mix.</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average balances of interest-bearing liabilities, associated rates, and resulting change in interest expense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Average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7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Expense</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551,570</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1.71%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495,895</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1.57%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351,417</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182,783</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1,106,171</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1,086,927</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132,250</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218,639</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49,666</w:t>
            </w:r>
          </w:p>
        </w:tc>
        <w:tc>
          <w:tcPr>
            <w:tcW w:w="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49,600</w:t>
            </w: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9"/>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2,191,074</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4"/>
              </w:rPr>
              <w:t>3.11%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2,033,844</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3.15%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Provision for Credit Losses. </w:t>
      </w:r>
      <w:r>
        <w:rPr>
          <w:rFonts w:ascii="Times New Roman" w:cs="Times New Roman" w:eastAsia="Times New Roman" w:hAnsi="Times New Roman"/>
          <w:sz w:val="18"/>
          <w:szCs w:val="18"/>
          <w:color w:val="auto"/>
        </w:rPr>
        <w:t>For the three months ended March 31, 2026, the provision for credit losses was $2.5 million, consisting of a $2.6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 for credit losses on loans and a $121,000 recovery of credit losses on unfunded loan commitments. This compares to a $1.6 million provision for credit losses for the three months ended March 31, 2025. which consisted of a $1.5 million provision for credit losses on loans, a $21,000 provision for credit losses on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securities, and a $66,000 provision for credit losses on unfunded loan commitments. The increase in the provision for credit losses on loans primarily reflects an increase in nonperforming loans and higher net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loan charge-offs totaled $2.1 million for the three months ended March 31, 2026, compared to $1.7 million during the three months ended March 31, 2025. The increase was primarily due to a $624,000 increase in indirect home improvement loan net charge-offs, partially offset by a $281,000 decrease in commercial business loan net charge-offs, with the remainder attributable to slightly higher net charge-offs in marine and consumer loans. The rise in indirect home improvement and consumer loan net charge-offs reflects continued credit stress in those portfolios amid a challenging economic environment that could result in a material increase in the ACL on loans and adversely affect the Company’s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Income. </w:t>
      </w:r>
      <w:r>
        <w:rPr>
          <w:rFonts w:ascii="Times New Roman" w:cs="Times New Roman" w:eastAsia="Times New Roman" w:hAnsi="Times New Roman"/>
          <w:sz w:val="18"/>
          <w:szCs w:val="18"/>
          <w:color w:val="auto"/>
        </w:rPr>
        <w:t>Noninterest income increased $275,000 to $5.4 million for the three months ended March 31, 2026, from $5.1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2025. The increase primarily reflects a $684,000 increase in gain on sale of loans, partially offset by a $246,000 decrease in other noninterest income, and a $171,000 decrease in service charges and fee income.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Expense. </w:t>
      </w:r>
      <w:r>
        <w:rPr>
          <w:rFonts w:ascii="Times New Roman" w:cs="Times New Roman" w:eastAsia="Times New Roman" w:hAnsi="Times New Roman"/>
          <w:sz w:val="18"/>
          <w:szCs w:val="18"/>
          <w:color w:val="auto"/>
        </w:rPr>
        <w:t>Noninterest expense increased $465,000 to $25.5 million for the three months ended March 31, 2026, compared to $25.1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2025. The $465,000 increase was primarily due to the following increases: $334,000 in loan costs, due to higher origination activity, $321,000 in salaries and benefits, primarily due to competitive wage adjustments; $295,000 in acquisition cost related to the previously announced merger with Pacific West Bancorp; and $159,000 in occupancy expense related to branch renovations. These increases were partially offset by a $451,000 decrease in data processing expenses attributable to executed contract negotiations with the Company's data processing vendors, and a $172,000 decrease in professional and board fees.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efficiency ratio, which is calculated by dividing noninterest expense by total net interest income and noninterest income, improved to 67.25% for the three months ended March 31, 2026, compared to 69.39% for the three months ended March 31, 2025, due to revenue growth outpacing noninterest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For the three months ended March 31, 2026, the Company recorded a provision for income taxes of $2.1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 million for the three months ended March 31, 2025. The effective corporate income tax rates for the three months ended March 31, 2026 and 2025, were 20.9% and 15.2%, respectively. The increase in both the provision and effective tax rate was primarily attributable the absence of alternative energy tax credits under the Inflation Reduction Act of 2022, which benefited the comparable quarter in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maintains a liquidity position that it believes will adequately provide funding for loan demand and deposit runoff that may occur in the normal course of business. The Company relies on several different sources to meet potential liquidity demands. The primary sources are increases in deposit accounts, FHLB borrowings,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must maintain an adequate level of liquidity to ensure the availability of sufficient funds to fund its operations. The Bank generally maintains sufficient cash and short-term investments to meet short-term liquidity needs. At March 31, 2026, the Bank’s total borrowing capacity was $737.7 million with the FHLB of Des Moines, with unused borrowing capacity of $588.1 million. The FHLB borrowing limit is based on certain categories of loans, primarily real estate loans that qualify as collateral for FHLB borrowings. At March 31, 2026, the Bank held approximately $1.12 billion in loans that qualify as collateral for FHLB borrowings.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availability of liquidity from the FHLB of Des Moines, the Bank maintains a short-term borrowing line with the FRB with a limit of $273.3 million and a combined credit limit of $101.0 million in written federal funds lines of credit through correspondent banking relationships at March 31, 2026. The FRB borrowing limit is based on certain categories of loans, primarily consumer loans that qualify as collateral for FRB line of credit. At March 31, 2026, the Bank held approximately $567.1 million in loans that qualify as collateral for the FRB line of credit. There were no outstanding borrowings with the FRB or correspondent banks as of both March 31, 2026, and December 31, 2025.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Asset and Liability Management Policy permits management to utilize brokered deposits up to 20% of deposits or $529.4 million at March 31, 2026. Total brokered deposits at March 31, 2026 were $327.4 million. Management utilizes brokered deposits to mitigate interest rate risk and to enhance liquidity when appropriate.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March 31, 2026, outstanding loan commitments, including unused lines of credit totaled $621.6 million. The Company purchased $6.2 million in securities during the three months ended March 31, 2026. The Company purchased $15.0 million in securities during the three months ended March 31, 2025. Proceeds from securities repayments, maturities and sales were $22.0 million and $6.3 million during the three months ended March 31, 2026 and 2025,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Bank’s liquidity is also affected by the volume of loans sold and loan principal payments. During the three months ended March 31, 2026 and 2025, the Bank sold $154.7 million and $91.9 million in loans,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decreased $36.1 million during the three months ended March 31, 2026, partially driven by a net decrease in brokered deposits of $35.1 million. CDs scheduled to mature in three months or less at March 31, 2026, totaled $487.1 million. It is management’s policy to offer deposit rates that are competitive with other local financial institutions. Based on this strategy, management believes that a majority of maturing relationship deposits will remain with the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remainder of 2026, we project that fixed commitments will include $2.0 million of operating lease payments. For information regarding our operating leases, see “Note 6 – Leases” of the Notes to Consolidated Financial Statements included in this report. FHLB borrowings of $90.8 million are scheduled to mature within the next twelve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separate legal entity from the Bank, FS Bancorp, Inc. must provide for its own liquidity. In addition to its own operating expenses,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that limit the Bank’s ability to make such distributions.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and other capital distributions from the Bank are subject to regulatory notice and certain restrictions. Unrestricted cash held by FS Bancorp at the Bank on an unconsolidated basis totaled $9.2 million at March 31, 2026. The Company currently expects to continue paying quarterly cash dividends on common stock subject to the Board of Directors’ discretion to modify or terminate this practice at any time and for any reason without prior notice. The current quarterly common stock dividend rate is $0.29 per share, which we believe balances our objectives of managing and investing in the Bank and returning a substantial portion of cash to shareholders. Assuming continued payment during 2026 at this rate of $0.29 per share, our total dividends paid each quarter would be approximately $2.2 million based on the number of the current outstanding shares as of March 31,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FS Bancorp’s existing stock repurchase program, approximately $3.3 million remained available for future repurchases as of March 31, 2026. See “Unregistered Sales of Equity Securities and Use of Proceeds” in Item 2, Part II of this Form 10-Q for additional information relating to stock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is subject to minimum capital requirements imposed by the FDIC. Based on its capital levels at March 31, 2026, the Bank exceeded these requirements as of that date. Consistent with our goals to operate a sound and profitable organization, our policy is for the Bank to maintain a well-capitalized status under the capital categories of the FDIC. Based on capital levels at March 31, 2026, the Bank was considered to be “well capitalized”. At March 31, 2026, the Bank exceeded all regulatory capital requirements with Tier 1 leverage-based capital, Tier 1 risk-based capital, total risk-based capital, and common equity Tier 1 capital ratios of 11.2%, 12.6%, 13.8%, and 12.6%, respectively.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FS Bancorp is subject to the capital adequacy requirements of the Federal Reserve. Bank holding companies with $3.0 billion or more in total assets are required to comply with the Federal Reserve’s capital regulations, which are generally consistent with the capital regulations applicable to the Bank. Under these regulations, the Federal Reserve expects the holding company to serve as a source of financial and managerial strength to its subsidiary bank and expects the subsidiary bank to be well capitalized under prompt corrective action regulations.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FS Bancorp is subject to these regulatory capital guidelines as of March 31, 2026, and has exceeded all applicable minimum capital requirements. The regulatory capital ratios calculated for FS Bancorp at March 31, 2026 were as follows: Tier 1 leverage-based capital ratio, 9.9%; Tier 1 risk-based capital ratio, 11.2%; total risk-based capital ratio, 13.8%; and CET 1 capital ratio, 11.2%. For additional information regarding regulatory capital compliance and regulatory minimums, see “Note 12 – Regulatory Capital” of the Notes to Consolidated Financial Statements included in Part I. Item 1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market risk disclosures contained in FS Bancorp’s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20" w:hanging="612"/>
        <w:spacing w:after="0"/>
        <w:tabs>
          <w:tab w:leader="none" w:pos="6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An evaluation of the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was carried out as of March 31, 2026,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 foregoing evaluation, the Company’s CEO and CFO concluded that as of March 31, 2026,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31, 2026,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FS Bancorp’s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common stock repurchases during the three months ended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Maximum Dollar</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Repurchased as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Shares that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May Yet Be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Average Price Paid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Announced Plan or</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Repurchased Under</w:t>
            </w:r>
          </w:p>
        </w:tc>
        <w:tc>
          <w:tcPr>
            <w:tcW w:w="0" w:type="dxa"/>
            <w:vAlign w:val="bottom"/>
          </w:tcPr>
          <w:p>
            <w:pPr>
              <w:spacing w:after="0"/>
              <w:rPr>
                <w:sz w:val="1"/>
                <w:szCs w:val="1"/>
                <w:color w:val="auto"/>
              </w:rPr>
            </w:pPr>
          </w:p>
        </w:tc>
      </w:tr>
      <w:tr>
        <w:trPr>
          <w:trHeight w:val="234"/>
        </w:trPr>
        <w:tc>
          <w:tcPr>
            <w:tcW w:w="45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Shares Purchased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Plan or Program</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4,167,431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41.48</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3,670,283</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for the quarter</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15,025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41.24</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15,025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3,670,283</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27, 2025, the Company publicly announced a stock repurchase program, authorizing the repurchase of up to $5.0 million of Company common stock, in addition to any amounts remaining under the prior program. Repurchases under this program may occur from time to time in the open market, through privately negotiated transactions, or by withholding shares upon the exercise of equity awards, over a 12-month period ending October 27,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three months ended March 31, 2026, no director or officer (as defined in Rule 16a-1(f) under the Exchange Act)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8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82">
        <w:r>
          <w:rPr>
            <w:rFonts w:ascii="Times New Roman" w:cs="Times New Roman" w:eastAsia="Times New Roman" w:hAnsi="Times New Roman"/>
            <w:sz w:val="17"/>
            <w:szCs w:val="17"/>
            <w:u w:val="single" w:color="auto"/>
            <w:color w:val="0000EE"/>
          </w:rPr>
          <w:t>Definitive Agreement, dated February 25, 2026, by and between FS Bancorp, Inc and Pacific West Bancorp (1)</w:t>
        </w:r>
      </w:hyperlink>
    </w:p>
    <w:p>
      <w:pPr>
        <w:spacing w:after="0" w:line="27" w:lineRule="exact"/>
        <w:rPr>
          <w:sz w:val="20"/>
          <w:szCs w:val="20"/>
          <w:color w:val="auto"/>
        </w:rPr>
      </w:pPr>
    </w:p>
    <w:p>
      <w:pPr>
        <w:ind w:left="68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3">
        <w:r>
          <w:rPr>
            <w:rFonts w:ascii="Times New Roman" w:cs="Times New Roman" w:eastAsia="Times New Roman" w:hAnsi="Times New Roman"/>
            <w:sz w:val="17"/>
            <w:szCs w:val="17"/>
            <w:u w:val="single" w:color="auto"/>
            <w:color w:val="0000EE"/>
          </w:rPr>
          <w:t>Articles of Incorporation of FS Bancorp, Inc. (2)</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4">
        <w:r>
          <w:rPr>
            <w:rFonts w:ascii="Times New Roman" w:cs="Times New Roman" w:eastAsia="Times New Roman" w:hAnsi="Times New Roman"/>
            <w:sz w:val="18"/>
            <w:szCs w:val="18"/>
            <w:u w:val="single" w:color="auto"/>
            <w:color w:val="0000EE"/>
          </w:rPr>
          <w:t>Bylaws of FS Bancorp, Inc. (3)</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85">
        <w:r>
          <w:rPr>
            <w:rFonts w:ascii="Times New Roman" w:cs="Times New Roman" w:eastAsia="Times New Roman" w:hAnsi="Times New Roman"/>
            <w:sz w:val="18"/>
            <w:szCs w:val="18"/>
            <w:u w:val="single" w:color="auto"/>
            <w:color w:val="0000EE"/>
          </w:rPr>
          <w:t>Form of Common Stock Certificate of FS Bancorp, Inc. (2)</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86">
        <w:r>
          <w:rPr>
            <w:rFonts w:ascii="Times New Roman" w:cs="Times New Roman" w:eastAsia="Times New Roman" w:hAnsi="Times New Roman"/>
            <w:sz w:val="18"/>
            <w:szCs w:val="18"/>
            <w:u w:val="single" w:color="auto"/>
            <w:color w:val="0000EE"/>
          </w:rPr>
          <w:t>Indenture dated February 10, 2021, by and between FS Bancorp, Inc. and U.S. Bank National Association, as trustee (4)</w:t>
        </w:r>
      </w:hyperlink>
    </w:p>
    <w:p>
      <w:pPr>
        <w:spacing w:after="0" w:line="9" w:lineRule="exact"/>
        <w:rPr>
          <w:sz w:val="20"/>
          <w:szCs w:val="20"/>
          <w:color w:val="auto"/>
        </w:rPr>
      </w:pPr>
    </w:p>
    <w:p>
      <w:pPr>
        <w:ind w:left="1140" w:hanging="45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86">
        <w:r>
          <w:rPr>
            <w:rFonts w:ascii="Times New Roman" w:cs="Times New Roman" w:eastAsia="Times New Roman" w:hAnsi="Times New Roman"/>
            <w:sz w:val="18"/>
            <w:szCs w:val="18"/>
            <w:u w:val="single" w:color="auto"/>
            <w:color w:val="0000EE"/>
          </w:rPr>
          <w:t>Forms of 3.75 Fixed-to-Floating Rate Subordinated Notes due 2031 (included as Exhibit A-1 and Exhibit A-2 to the Indenture filed as</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Exhibit 4.2 hereto (4)</w:t>
        </w:r>
      </w:hyperlink>
    </w:p>
    <w:p>
      <w:pPr>
        <w:spacing w:after="0" w:line="1"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87">
        <w:r>
          <w:rPr>
            <w:rFonts w:ascii="Times New Roman" w:cs="Times New Roman" w:eastAsia="Times New Roman" w:hAnsi="Times New Roman"/>
            <w:sz w:val="17"/>
            <w:szCs w:val="17"/>
            <w:u w:val="single" w:color="auto"/>
            <w:color w:val="0000EE"/>
          </w:rPr>
          <w:t>Severance Agreement between 1st Security Bank of Washington and Joseph C. Adams (2)</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88">
        <w:r>
          <w:rPr>
            <w:rFonts w:ascii="Times New Roman" w:cs="Times New Roman" w:eastAsia="Times New Roman" w:hAnsi="Times New Roman"/>
            <w:sz w:val="17"/>
            <w:szCs w:val="17"/>
            <w:u w:val="single" w:color="auto"/>
            <w:color w:val="0000EE"/>
          </w:rPr>
          <w:t>Form of Change of Control Agreement between 1st Security Bank of Washington and Matthew D. Mullet (2)</w:t>
        </w:r>
      </w:hyperlink>
    </w:p>
    <w:p>
      <w:pPr>
        <w:spacing w:after="0" w:line="9" w:lineRule="exact"/>
        <w:rPr>
          <w:sz w:val="20"/>
          <w:szCs w:val="20"/>
          <w:color w:val="auto"/>
        </w:rPr>
      </w:pPr>
    </w:p>
    <w:p>
      <w:pPr>
        <w:ind w:left="1140" w:hanging="54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89">
        <w:r>
          <w:rPr>
            <w:rFonts w:ascii="Times New Roman" w:cs="Times New Roman" w:eastAsia="Times New Roman" w:hAnsi="Times New Roman"/>
            <w:sz w:val="18"/>
            <w:szCs w:val="18"/>
            <w:u w:val="single" w:color="auto"/>
            <w:color w:val="0000EE"/>
          </w:rPr>
          <w:t>Form of change of control agreement with Donn C. Costa, Dennis O’Leary, Erin Burr, Victoria Jarman, Kelli Nielsen, and May-Ling</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Sowell (5)</w:t>
        </w:r>
      </w:hyperlink>
    </w:p>
    <w:p>
      <w:pPr>
        <w:spacing w:after="0" w:line="1"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90">
        <w:r>
          <w:rPr>
            <w:rFonts w:ascii="Times New Roman" w:cs="Times New Roman" w:eastAsia="Times New Roman" w:hAnsi="Times New Roman"/>
            <w:sz w:val="17"/>
            <w:szCs w:val="17"/>
            <w:u w:val="single" w:color="auto"/>
            <w:color w:val="0000EE"/>
          </w:rPr>
          <w:t>FS Bancorp, Inc. 2018 Equity Incentive Plan (6)</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1">
        <w:r>
          <w:rPr>
            <w:rFonts w:ascii="Times New Roman" w:cs="Times New Roman" w:eastAsia="Times New Roman" w:hAnsi="Times New Roman"/>
            <w:sz w:val="17"/>
            <w:szCs w:val="17"/>
            <w:u w:val="single" w:color="auto"/>
            <w:color w:val="0000EE"/>
          </w:rPr>
          <w:t>Form of Incentive Stock Option Award Agreement under the 2018 Equity Incentive Plan (6)</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2">
        <w:r>
          <w:rPr>
            <w:rFonts w:ascii="Times New Roman" w:cs="Times New Roman" w:eastAsia="Times New Roman" w:hAnsi="Times New Roman"/>
            <w:sz w:val="17"/>
            <w:szCs w:val="17"/>
            <w:u w:val="single" w:color="auto"/>
            <w:color w:val="0000EE"/>
          </w:rPr>
          <w:t>Form of Non-Qualified Stock Option Award Agreement under the 2018 Equity Incentive Plan (6)</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93">
        <w:r>
          <w:rPr>
            <w:rFonts w:ascii="Times New Roman" w:cs="Times New Roman" w:eastAsia="Times New Roman" w:hAnsi="Times New Roman"/>
            <w:sz w:val="17"/>
            <w:szCs w:val="17"/>
            <w:u w:val="single" w:color="auto"/>
            <w:color w:val="0000EE"/>
          </w:rPr>
          <w:t>Form of Restricted Stock Award Agreement under the 2018 Equity Incentive Plan (6)</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94">
        <w:r>
          <w:rPr>
            <w:rFonts w:ascii="Times New Roman" w:cs="Times New Roman" w:eastAsia="Times New Roman" w:hAnsi="Times New Roman"/>
            <w:sz w:val="17"/>
            <w:szCs w:val="17"/>
            <w:u w:val="single" w:color="auto"/>
            <w:color w:val="0000EE"/>
          </w:rPr>
          <w:t>FS Bancorp, Inc. Nonqualified 2022 Stock Purchase Plan (7)</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5">
        <w:r>
          <w:rPr>
            <w:rFonts w:ascii="Times New Roman" w:cs="Times New Roman" w:eastAsia="Times New Roman" w:hAnsi="Times New Roman"/>
            <w:sz w:val="17"/>
            <w:szCs w:val="17"/>
            <w:u w:val="single" w:color="auto"/>
            <w:color w:val="0000EE"/>
          </w:rPr>
          <w:t>Form of Enrollment/Change Form under the FS Bancorp, Inc. Nonqualified 2022 Stock Purchase Plan (7)</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6">
        <w:r>
          <w:rPr>
            <w:rFonts w:ascii="Times New Roman" w:cs="Times New Roman" w:eastAsia="Times New Roman" w:hAnsi="Times New Roman"/>
            <w:sz w:val="18"/>
            <w:szCs w:val="18"/>
            <w:u w:val="single" w:color="auto"/>
            <w:color w:val="0000EE"/>
          </w:rPr>
          <w:t>Form of Change of Control Agreement with Shana Allen, and Benjamin Crowl (8)</w:t>
        </w:r>
      </w:hyperlink>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906 of the Sarbanes-Oxley Act of 2002</w:t>
      </w:r>
    </w:p>
    <w:p>
      <w:pPr>
        <w:spacing w:after="0" w:line="4" w:lineRule="exact"/>
        <w:rPr>
          <w:sz w:val="20"/>
          <w:szCs w:val="20"/>
          <w:color w:val="auto"/>
        </w:rPr>
      </w:pPr>
    </w:p>
    <w:p>
      <w:pPr>
        <w:jc w:val="both"/>
        <w:ind w:left="1140" w:hanging="499"/>
        <w:spacing w:after="0" w:line="219" w:lineRule="exact"/>
        <w:tabs>
          <w:tab w:leader="none" w:pos="1120" w:val="left"/>
        </w:tabs>
        <w:rPr>
          <w:sz w:val="20"/>
          <w:szCs w:val="20"/>
          <w:color w:val="auto"/>
        </w:rPr>
      </w:pPr>
      <w:r>
        <w:rPr>
          <w:rFonts w:ascii="Times New Roman" w:cs="Times New Roman" w:eastAsia="Times New Roman" w:hAnsi="Times New Roman"/>
          <w:sz w:val="18"/>
          <w:szCs w:val="18"/>
          <w:color w:val="auto"/>
        </w:rPr>
        <w:t>101</w:t>
        <w:tab/>
        <w:t>The following materials from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March 31, 2026 formatted in Inline Extensible  Business  Reporting  Language  (IXBRL):  (1)  Consolidated  Balance  Sheets;  (2)  Consolidated  Statements  of  Income;</w:t>
      </w:r>
    </w:p>
    <w:p>
      <w:pPr>
        <w:spacing w:after="0" w:line="1" w:lineRule="exact"/>
        <w:rPr>
          <w:sz w:val="20"/>
          <w:szCs w:val="20"/>
          <w:color w:val="auto"/>
        </w:rPr>
      </w:pPr>
    </w:p>
    <w:p>
      <w:pPr>
        <w:ind w:left="1460" w:hanging="318"/>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(4) Consolidated Statements of Changes in Stockholders’ Equity;</w:t>
      </w:r>
    </w:p>
    <w:p>
      <w:pPr>
        <w:spacing w:after="0" w:line="9"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 (6) Notes to Consolidated Financial Statements.</w:t>
      </w:r>
    </w:p>
    <w:p>
      <w:pPr>
        <w:spacing w:after="0" w:line="9"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tab/>
        <w:t>Cover Page Interactive Data File (formatted as inline XBRL and contained in Exhibit 101)</w:t>
      </w:r>
    </w:p>
    <w:p>
      <w:pPr>
        <w:spacing w:after="0" w:line="9" w:lineRule="exact"/>
        <w:rPr>
          <w:sz w:val="20"/>
          <w:szCs w:val="20"/>
          <w:color w:val="auto"/>
        </w:rPr>
      </w:pPr>
    </w:p>
    <w:p>
      <w:pPr>
        <w:ind w:left="1140" w:hanging="43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25, 2026 (File No. 001-355589).</w:t>
      </w:r>
    </w:p>
    <w:p>
      <w:pPr>
        <w:spacing w:after="0" w:line="9" w:lineRule="exact"/>
        <w:rPr>
          <w:rFonts w:ascii="Times New Roman" w:cs="Times New Roman" w:eastAsia="Times New Roman" w:hAnsi="Times New Roman"/>
          <w:sz w:val="18"/>
          <w:szCs w:val="18"/>
          <w:color w:val="auto"/>
        </w:rPr>
      </w:pPr>
    </w:p>
    <w:p>
      <w:pPr>
        <w:ind w:left="1140" w:hanging="437"/>
        <w:spacing w:after="0" w:line="216" w:lineRule="exact"/>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177125) filed on October 3, 2011, and incorporated by reference.</w:t>
      </w:r>
    </w:p>
    <w:p>
      <w:pPr>
        <w:ind w:left="1140" w:hanging="437"/>
        <w:spacing w:after="0" w:line="207" w:lineRule="exact"/>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on July 10,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355589).</w:t>
      </w:r>
    </w:p>
    <w:p>
      <w:pPr>
        <w:spacing w:after="0" w:line="10"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11, 2021 (File No. 001-35589).</w:t>
      </w:r>
    </w:p>
    <w:p>
      <w:pPr>
        <w:spacing w:after="0" w:line="7" w:lineRule="exact"/>
        <w:rPr>
          <w:rFonts w:ascii="Times New Roman" w:cs="Times New Roman" w:eastAsia="Times New Roman" w:hAnsi="Times New Roman"/>
          <w:sz w:val="18"/>
          <w:szCs w:val="18"/>
          <w:color w:val="auto"/>
        </w:rPr>
      </w:pPr>
    </w:p>
    <w:p>
      <w:pPr>
        <w:ind w:left="1140" w:hanging="437"/>
        <w:spacing w:after="0" w:line="207" w:lineRule="exact"/>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 2016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35589).</w:t>
      </w:r>
    </w:p>
    <w:p>
      <w:pPr>
        <w:spacing w:after="0" w:line="10"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(333-22513) filed on May 23, 2018.</w:t>
      </w:r>
    </w:p>
    <w:p>
      <w:pPr>
        <w:spacing w:after="0" w:line="7"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(333-265729) filed on June 21, 2022.</w:t>
      </w:r>
    </w:p>
    <w:p>
      <w:pPr>
        <w:spacing w:after="0" w:line="9"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2, 2024 (File No. 001-35589).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FS BANCORP,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8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r>
      <w:tr>
        <w:trPr>
          <w:trHeight w:val="191"/>
        </w:trPr>
        <w:tc>
          <w:tcPr>
            <w:tcW w:w="3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 Adams</w:t>
            </w:r>
          </w:p>
        </w:tc>
      </w:tr>
      <w:tr>
        <w:trPr>
          <w:trHeight w:val="214"/>
        </w:trPr>
        <w:tc>
          <w:tcPr>
            <w:tcW w:w="3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(Duly Authorized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8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/s/Phillip D. Whittington</w:t>
            </w:r>
          </w:p>
        </w:tc>
      </w:tr>
      <w:tr>
        <w:trPr>
          <w:trHeight w:val="191"/>
        </w:trPr>
        <w:tc>
          <w:tcPr>
            <w:tcW w:w="3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D. Whittington</w:t>
            </w:r>
          </w:p>
        </w:tc>
      </w:tr>
      <w:tr>
        <w:trPr>
          <w:trHeight w:val="214"/>
        </w:trPr>
        <w:tc>
          <w:tcPr>
            <w:tcW w:w="3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3440" w:type="dxa"/>
            <w:vAlign w:val="bottom"/>
          </w:tcPr>
          <w:p>
            <w:pPr>
              <w:spacing w:after="0"/>
              <w:rPr>
                <w:sz w:val="24"/>
                <w:szCs w:val="24"/>
                <w:color w:val="auto"/>
              </w:rPr>
            </w:pPr>
          </w:p>
        </w:tc>
        <w:tc>
          <w:tcPr>
            <w:tcW w:w="2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60</w:t>
            </w:r>
          </w:p>
        </w:tc>
        <w:tc>
          <w:tcPr>
            <w:tcW w:w="4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 Adams,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FS Bancorp,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52"/>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right="20" w:hanging="656"/>
        <w:spacing w:after="0" w:line="250" w:lineRule="auto"/>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652"/>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6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D. Whittington,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FS Bancorp,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right="20" w:hanging="656"/>
        <w:spacing w:after="0" w:line="250"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652"/>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8, 2026</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85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2">
            <w:col w:w="4240" w:space="720"/>
            <w:col w:w="6280"/>
          </w:cols>
          <w:pgMar w:left="320" w:top="117"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FS Bancorp, Inc. (the “Company”) for the quarter ended March 31,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Joseph C. Adams, in my capacity as Chief Executive Officer of the Company, hereby certify pursuant to 18 U.S.C. Section 1350, as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8, 2026</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985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 Adams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2">
            <w:col w:w="4240" w:space="720"/>
            <w:col w:w="6280"/>
          </w:cols>
          <w:pgMar w:left="320" w:top="117" w:right="33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FS Bancorp, Inc. (the “Company”) for the quarter ended March 31,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Phillip D. Whittington, in my capacity as Chief Financial Officer of the Company, hereby certify pursuant to 18 U.S.C. Section 1350,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8, 2026</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85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2">
        <w:col w:w="4240" w:space="720"/>
        <w:col w:w="628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lvl w:ilvl="1">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2"/>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decimal"/>
      <w:start w:val="3"/>
    </w:lvl>
  </w:abstractNum>
  <w:abstractNum w:abstractNumId="26">
    <w:nsid w:val="2463B9EA"/>
    <w:multiLevelType w:val="hybridMultilevel"/>
    <w:lvl w:ilvl="0">
      <w:lvlJc w:val="left"/>
      <w:lvlText w:val="(%1)"/>
      <w:numFmt w:val="decimal"/>
      <w:start w:val="5"/>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3"/>
    </w:lvl>
  </w:abstractNum>
  <w:abstractNum w:abstractNumId="30">
    <w:nsid w:val="580BD78F"/>
    <w:multiLevelType w:val="hybridMultilevel"/>
    <w:lvl w:ilvl="0">
      <w:lvlJc w:val="left"/>
      <w:lvlText w:val="%1."/>
      <w:numFmt w:val="decimal"/>
      <w:start w:val="4"/>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lowerLetter"/>
      <w:start w:val="4"/>
    </w:lvl>
  </w:abstractNum>
  <w:abstractNum w:abstractNumId="35">
    <w:nsid w:val="2A487CB0"/>
    <w:multiLevelType w:val="hybridMultilevel"/>
    <w:lvl w:ilvl="0">
      <w:lvlJc w:val="left"/>
      <w:lvlText w:val="%1."/>
      <w:numFmt w:val="decimal"/>
      <w:start w:val="5"/>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3"/>
    </w:lvl>
  </w:abstractNum>
  <w:abstractNum w:abstractNumId="40">
    <w:nsid w:val="7A6D8D3C"/>
    <w:multiLevelType w:val="hybridMultilevel"/>
    <w:lvl w:ilvl="0">
      <w:lvlJc w:val="left"/>
      <w:lvlText w:val="%1."/>
      <w:numFmt w:val="decimal"/>
      <w:start w:val="4"/>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2"/>
    </w:lvl>
  </w:abstractNum>
  <w:abstractNum w:abstractNumId="43">
    <w:nsid w:val="6DE91B18"/>
    <w:multiLevelType w:val="hybridMultilevel"/>
    <w:lvl w:ilvl="0">
      <w:lvlJc w:val="left"/>
      <w:lvlText w:val="(%1)"/>
      <w:numFmt w:val="lowerLetter"/>
      <w:start w:val="3"/>
    </w:lvl>
  </w:abstractNum>
  <w:abstractNum w:abstractNumId="44">
    <w:nsid w:val="38437FDB"/>
    <w:multiLevelType w:val="hybridMultilevel"/>
    <w:lvl w:ilvl="0">
      <w:lvlJc w:val="left"/>
      <w:lvlText w:val="(%1)"/>
      <w:numFmt w:val="lowerLetter"/>
      <w:start w:val="4"/>
    </w:lvl>
  </w:abstractNum>
  <w:abstractNum w:abstractNumId="45">
    <w:nsid w:val="7644A45C"/>
    <w:multiLevelType w:val="hybridMultilevel"/>
    <w:lvl w:ilvl="0">
      <w:lvlJc w:val="left"/>
      <w:lvlText w:val="%1."/>
      <w:numFmt w:val="decimal"/>
      <w:start w:val="5"/>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82" Type="http://schemas.openxmlformats.org/officeDocument/2006/relationships/hyperlink" Target="http://www.sec.gov/Archives/edgar/data/1530249/000093905726000060/fsbanc8k22526.htm" TargetMode="External"/><Relationship Id="rId83" Type="http://schemas.openxmlformats.org/officeDocument/2006/relationships/hyperlink" Target="http://www.sec.gov/Archives/edgar/data/1530249/000118811211002766/ex3-1.htm" TargetMode="External"/><Relationship Id="rId84" Type="http://schemas.openxmlformats.org/officeDocument/2006/relationships/hyperlink" Target="http://www.sec.gov/Archives/edgar/data/1530249/000093905713000269/ex328k7913.htm" TargetMode="External"/><Relationship Id="rId85" Type="http://schemas.openxmlformats.org/officeDocument/2006/relationships/hyperlink" Target="http://www.sec.gov/Archives/edgar/data/1530249/000118811211002766/ex4-0.htm" TargetMode="External"/><Relationship Id="rId86" Type="http://schemas.openxmlformats.org/officeDocument/2006/relationships/hyperlink" Target="http://www.sec.gov/Archives/edgar/data/1530249/000093905721000056/fsbanc8k21021exh41.htm" TargetMode="External"/><Relationship Id="rId87" Type="http://schemas.openxmlformats.org/officeDocument/2006/relationships/hyperlink" Target="http://www.sec.gov/Archives/edgar/data/1530249/000118811211002766/ex10-1.htm" TargetMode="External"/><Relationship Id="rId88" Type="http://schemas.openxmlformats.org/officeDocument/2006/relationships/hyperlink" Target="http://www.sec.gov/Archives/edgar/data/1530249/000118811211002766/ex10-2.htm" TargetMode="External"/><Relationship Id="rId89" Type="http://schemas.openxmlformats.org/officeDocument/2006/relationships/hyperlink" Target="http://www.sec.gov/Archives/edgar/data/1530249/000093905716000633/exhibit1012116.htm" TargetMode="External"/><Relationship Id="rId90" Type="http://schemas.openxmlformats.org/officeDocument/2006/relationships/hyperlink" Target="http://www.sec.gov/Archives/edgar/data/1530249/000155837018009146/fsbw-20180930ex10108016b.htm" TargetMode="External"/><Relationship Id="rId91" Type="http://schemas.openxmlformats.org/officeDocument/2006/relationships/hyperlink" Target="http://www.sec.gov/Archives/edgar/data/1530249/000093905718000306/fsbancs8518exh102.htm" TargetMode="External"/><Relationship Id="rId92" Type="http://schemas.openxmlformats.org/officeDocument/2006/relationships/hyperlink" Target="http://www.sec.gov/Archives/edgar/data/1530249/000093905718000306/fsbancs8518exh103.htm" TargetMode="External"/><Relationship Id="rId93" Type="http://schemas.openxmlformats.org/officeDocument/2006/relationships/hyperlink" Target="http://www.sec.gov/Archives/edgar/data/1530249/000093905718000306/fsbancs8518exh104.htm" TargetMode="External"/><Relationship Id="rId94" Type="http://schemas.openxmlformats.org/officeDocument/2006/relationships/hyperlink" Target="http://www.sec.gov/Archives/edgar/data/0001530249/000093905722000175/0000939057-22-000175-index.html" TargetMode="External"/><Relationship Id="rId95" Type="http://schemas.openxmlformats.org/officeDocument/2006/relationships/hyperlink" Target="http://www.sec.gov/Archives/edgar/data/0001530249/000093905722000175/ex102s8622.htm" TargetMode="External"/><Relationship Id="rId96" Type="http://schemas.openxmlformats.org/officeDocument/2006/relationships/hyperlink" Target="http://www.sec.gov/Archives/edgar/data/1530249/000093905724000032/fsbanc8k12924exh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2026-05-08T16:04:29Z</dcterms:created>
  <dcterms:modified xsi:type="dcterms:W3CDTF">2026-05-08T16:04:29Z</dcterms:modified>
</cp:coreProperties>
</file>