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fsbw-20230630x10q.htm"/>
        <w:bookmarkStart w:id="1" w:name="ksfsbw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pPr>
      <w:bookmarkStart w:id="2" w:name="_Hlk141241003"/>
      <w:bookmarkEnd w:id="2"/>
      <w:r>
        <w:rPr/>
        <w:t>​</w:t>
      </w:r>
    </w:p>
    <w:p>
      <w:pPr>
        <w:pStyle w:val="TextBody"/>
        <w:bidi w:val="0"/>
        <w:spacing w:before="0" w:after="0"/>
        <w:ind w:left="0" w:right="0" w:hanging="0"/>
        <w:jc w:val="center"/>
        <w:rPr>
          <w:rFonts w:ascii="Times New Roman;Times;serif" w:hAnsi="Times New Roman;Times;serif"/>
          <w:b/>
          <w:sz w:val="28"/>
        </w:rPr>
      </w:pPr>
      <w:bookmarkStart w:id="3" w:name="_91a09712_d724_4b0d_a4e2_06c658962aea"/>
      <w:bookmarkEnd w:id="3"/>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 One)</w:t>
      </w:r>
    </w:p>
    <w:p>
      <w:pPr>
        <w:pStyle w:val="TextBody"/>
        <w:bidi w:val="0"/>
        <w:spacing w:before="120" w:after="0"/>
        <w:ind w:left="0" w:right="0" w:hanging="0"/>
        <w:jc w:val="left"/>
        <w:rPr/>
      </w:pPr>
      <w:r>
        <w:rPr>
          <w:caps w:val="false"/>
          <w:smallCaps w:val="false"/>
        </w:rPr>
        <w:t>☒</w:t>
      </w:r>
      <w:r>
        <w:rPr>
          <w:rFonts w:ascii="Times New Roman;Times;serif" w:hAnsi="Times New Roman;Times;serif"/>
          <w:sz w:val="20"/>
        </w:rPr>
        <w:t>QUARTERLY REPORT PURSUANT TO SECTION 13 OR 15(d) OF THE SECURITIES EXCHANGE ACT OF 1934</w:t>
      </w:r>
    </w:p>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 xml:space="preserve">For the quarterly period ended </w:t>
      </w:r>
      <w:r>
        <w:rPr>
          <w:rFonts w:ascii="Times New Roman;Times;serif" w:hAnsi="Times New Roman;Times;serif"/>
          <w:b/>
          <w:sz w:val="20"/>
        </w:rPr>
        <w:t>June 30, 2023</w:t>
      </w:r>
      <w:r>
        <w:rPr>
          <w:rFonts w:ascii="Times New Roman;Times;serif" w:hAnsi="Times New Roman;Times;serif"/>
          <w:sz w:val="20"/>
        </w:rPr>
        <w:t>         </w:t>
      </w:r>
    </w:p>
    <w:p>
      <w:pPr>
        <w:pStyle w:val="TextBody"/>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or</w:t>
      </w:r>
    </w:p>
    <w:p>
      <w:pPr>
        <w:pStyle w:val="TextBody"/>
        <w:bidi w:val="0"/>
        <w:spacing w:before="0" w:after="0"/>
        <w:ind w:left="0" w:right="0" w:hanging="0"/>
        <w:jc w:val="left"/>
        <w:rPr/>
      </w:pPr>
      <w:r>
        <w:rPr>
          <w:caps w:val="false"/>
          <w:smallCaps w:val="false"/>
        </w:rPr>
        <w:t>☐</w:t>
      </w:r>
      <w:r>
        <w:rPr>
          <w:rFonts w:ascii="Times New Roman;Times;serif" w:hAnsi="Times New Roman;Times;serif"/>
          <w:sz w:val="20"/>
        </w:rPr>
        <w:t>TRANSITION REPORT PURSUANT TO SECTION 13 OR 15(d) OF THE SECURITIES EXCHANGE ACT OF 1934</w:t>
      </w:r>
    </w:p>
    <w:p>
      <w:pPr>
        <w:pStyle w:val="TextBody"/>
        <w:bidi w:val="0"/>
        <w:spacing w:before="120" w:after="200"/>
        <w:ind w:left="0" w:right="0" w:hanging="0"/>
        <w:jc w:val="center"/>
        <w:rPr>
          <w:rFonts w:ascii="Times New Roman;Times;serif" w:hAnsi="Times New Roman;Times;serif"/>
          <w:sz w:val="20"/>
        </w:rPr>
      </w:pPr>
      <w:r>
        <w:rPr>
          <w:rFonts w:ascii="Times New Roman;Times;serif" w:hAnsi="Times New Roman;Times;serif"/>
          <w:sz w:val="20"/>
        </w:rPr>
        <w:t>For the transition period from                     to                    </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Commission File Number: 001-35589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FS BANCORP,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4" w:name="Tc_Rq46cCCXOUmT7mSaV0kvfg_2_2"/>
      <w:bookmarkStart w:id="5" w:name="Tc_6VUwTFL1sEqoH_kftyggGA_2_0"/>
      <w:bookmarkStart w:id="6" w:name="_1fb88323_0289_4790_8318_ed664322fa61"/>
      <w:bookmarkStart w:id="7" w:name="Tc_Rq46cCCXOUmT7mSaV0kvfg_2_2"/>
      <w:bookmarkStart w:id="8" w:name="Tc_6VUwTFL1sEqoH_kftyggGA_2_0"/>
      <w:bookmarkStart w:id="9" w:name="_1fb88323_0289_4790_8318_ed664322fa61"/>
      <w:bookmarkEnd w:id="7"/>
      <w:bookmarkEnd w:id="8"/>
      <w:bookmarkEnd w:id="9"/>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175260"/>
                      <wp:effectExtent l="0" t="0" r="0" b="0"/>
                      <wp:wrapNone/>
                      <wp:docPr id="1" name="Frame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7790" cy="175260"/>
                      <wp:effectExtent l="0" t="0" r="0" b="0"/>
                      <wp:wrapNone/>
                      <wp:docPr id="3" name="Frame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1466850"/>
                      <wp:effectExtent l="0" t="0" r="0" b="0"/>
                      <wp:wrapNone/>
                      <wp:docPr id="4" name="Frame4"/>
                      <a:graphic xmlns:a="http://schemas.openxmlformats.org/drawingml/2006/main">
                        <a:graphicData uri="http://schemas.microsoft.com/office/word/2010/wordprocessingShape">
                          <wps:wsp>
                            <wps:cNvSpPr txBox="1"/>
                            <wps:spPr>
                              <a:xfrm>
                                <a:off x="0" y="0"/>
                                <a:ext cx="78740" cy="146685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w:t>
                            </w:r>
                          </w:p>
                        </w:txbxContent>
                      </v:textbox>
                      <w10:wrap type="none"/>
                    </v:rect>
                  </w:pict>
                </mc:Fallback>
              </mc:AlternateContent>
            </w:r>
          </w:p>
        </w:tc>
        <w:tc>
          <w:tcPr>
            <w:tcW w:w="109"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00"/>
                              <w:ind w:left="0" w:right="0" w:hanging="0"/>
                              <w:jc w:val="both"/>
                              <w:rPr/>
                            </w:pPr>
                            <w:r>
                              <w:rPr/>
                              <w:t>​</w:t>
                            </w:r>
                          </w:p>
                        </w:txbxContent>
                      </v:textbox>
                      <w10:wrap type="none"/>
                    </v:rect>
                  </w:pict>
                </mc:Fallback>
              </mc:AlternateContent>
            </w:r>
          </w:p>
        </w:tc>
        <w:tc>
          <w:tcPr>
            <w:tcW w:w="154" w:type="dxa"/>
            <w:tcBorders>
              <w:bottom w:val="single" w:sz="8"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1466850"/>
                      <wp:effectExtent l="0" t="0" r="0" b="0"/>
                      <wp:wrapNone/>
                      <wp:docPr id="6" name="Frame6"/>
                      <a:graphic xmlns:a="http://schemas.openxmlformats.org/drawingml/2006/main">
                        <a:graphicData uri="http://schemas.microsoft.com/office/word/2010/wordprocessingShape">
                          <wps:wsp>
                            <wps:cNvSpPr txBox="1"/>
                            <wps:spPr>
                              <a:xfrm>
                                <a:off x="0" y="0"/>
                                <a:ext cx="97790" cy="146685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45-4585178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45-4585178</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740" cy="5842000"/>
                      <wp:effectExtent l="0" t="0" r="0" b="0"/>
                      <wp:wrapNone/>
                      <wp:docPr id="7" name="Frame7"/>
                      <a:graphic xmlns:a="http://schemas.openxmlformats.org/drawingml/2006/main">
                        <a:graphicData uri="http://schemas.microsoft.com/office/word/2010/wordprocessingShape">
                          <wps:wsp>
                            <wps:cNvSpPr txBox="1"/>
                            <wps:spPr>
                              <a:xfrm>
                                <a:off x="0" y="0"/>
                                <a:ext cx="78740" cy="584200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60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175260"/>
                      <wp:effectExtent l="0" t="0" r="0" b="0"/>
                      <wp:wrapNone/>
                      <wp:docPr id="8" name="Frame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00"/>
                              <w:ind w:left="0" w:right="0" w:hanging="0"/>
                              <w:jc w:val="both"/>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7790" cy="3667125"/>
                      <wp:effectExtent l="0" t="0" r="0" b="0"/>
                      <wp:wrapNone/>
                      <wp:docPr id="9" name="Frame9"/>
                      <a:graphic xmlns:a="http://schemas.openxmlformats.org/drawingml/2006/main">
                        <a:graphicData uri="http://schemas.microsoft.com/office/word/2010/wordprocessingShape">
                          <wps:wsp>
                            <wps:cNvSpPr txBox="1"/>
                            <wps:spPr>
                              <a:xfrm>
                                <a:off x="0" y="0"/>
                                <a:ext cx="97790" cy="366712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88.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6920 220th Street SW, Mountlake Terrace, Washington</w:t>
      </w:r>
      <w:r>
        <w:rPr>
          <w:rFonts w:ascii="Times New Roman;Times;serif" w:hAnsi="Times New Roman;Times;serif"/>
          <w:sz w:val="20"/>
        </w:rPr>
        <w:t>  </w:t>
      </w:r>
      <w:r>
        <w:rPr>
          <w:rFonts w:ascii="Times New Roman;Times;serif" w:hAnsi="Times New Roman;Times;serif"/>
          <w:b/>
          <w:sz w:val="20"/>
        </w:rPr>
        <w:t>98043</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(425) 771-5299</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240" w:after="0"/>
        <w:ind w:left="0" w:right="4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0" w:name="Tc_uzaogFUdXU-DhYm6KXsGRQ_1_2"/>
      <w:bookmarkStart w:id="11" w:name="Tc_ulGuAsGum0OJ1BfARzFEMQ_1_1"/>
      <w:bookmarkStart w:id="12" w:name="Tc_Wsb7pi9v6067I0T5dZ6yug_1_0"/>
      <w:bookmarkStart w:id="13" w:name="_0529d8d9_af3c_4382_bb77_7db19523f77a"/>
      <w:bookmarkStart w:id="14" w:name="Tc_uzaogFUdXU-DhYm6KXsGRQ_1_2"/>
      <w:bookmarkStart w:id="15" w:name="Tc_ulGuAsGum0OJ1BfARzFEMQ_1_1"/>
      <w:bookmarkStart w:id="16" w:name="Tc_Wsb7pi9v6067I0T5dZ6yug_1_0"/>
      <w:bookmarkStart w:id="17" w:name="_0529d8d9_af3c_4382_bb77_7db19523f77a"/>
      <w:bookmarkEnd w:id="14"/>
      <w:bookmarkEnd w:id="15"/>
      <w:bookmarkEnd w:id="16"/>
      <w:bookmarkEnd w:id="17"/>
    </w:p>
    <w:tbl>
      <w:tblPr>
        <w:tblW w:w="8583" w:type="dxa"/>
        <w:jc w:val="left"/>
        <w:tblInd w:w="0" w:type="dxa"/>
        <w:tblLayout w:type="fixed"/>
        <w:tblCellMar>
          <w:top w:w="0" w:type="dxa"/>
          <w:left w:w="0" w:type="dxa"/>
          <w:bottom w:w="0" w:type="dxa"/>
          <w:right w:w="0" w:type="dxa"/>
        </w:tblCellMar>
      </w:tblPr>
      <w:tblGrid>
        <w:gridCol w:w="3856"/>
        <w:gridCol w:w="1456"/>
        <w:gridCol w:w="327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p>
        </w:tc>
        <w:tc>
          <w:tcPr>
            <w:tcW w:w="1456" w:type="dxa"/>
            <w:tcBorders/>
            <w:vAlign w:val="center"/>
          </w:tcPr>
          <w:p>
            <w:pPr>
              <w:pStyle w:val="TableContents"/>
              <w:bidi w:val="0"/>
              <w:spacing w:before="0" w:after="283"/>
              <w:ind w:left="0" w:right="0" w:hanging="0"/>
              <w:jc w:val="left"/>
              <w:rPr>
                <w:sz w:val="4"/>
                <w:szCs w:val="4"/>
              </w:rPr>
            </w:pPr>
            <w:r>
              <w:rPr>
                <w:sz w:val="4"/>
                <w:szCs w:val="4"/>
              </w:rPr>
            </w:r>
          </w:p>
        </w:tc>
        <w:tc>
          <w:tcPr>
            <w:tcW w:w="3271" w:type="dxa"/>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pBdr/>
              <w:bidi w:val="0"/>
              <w:spacing w:before="120" w:after="0"/>
              <w:ind w:left="0" w:right="0" w:hanging="0"/>
              <w:jc w:val="left"/>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pBdr/>
              <w:bidi w:val="0"/>
              <w:spacing w:before="120" w:after="0"/>
              <w:ind w:left="0" w:right="0" w:hanging="0"/>
              <w:jc w:val="left"/>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pBdr/>
              <w:bidi w:val="0"/>
              <w:spacing w:before="120" w:after="0"/>
              <w:ind w:left="0" w:right="0" w:hanging="0"/>
              <w:jc w:val="left"/>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85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pBdr/>
              <w:bidi w:val="0"/>
              <w:spacing w:before="120" w:after="0"/>
              <w:ind w:left="0" w:right="0" w:hanging="0"/>
              <w:jc w:val="left"/>
              <w:rPr>
                <w:rFonts w:ascii="inherit" w:hAnsi="inherit"/>
                <w:sz w:val="18"/>
              </w:rPr>
            </w:pPr>
            <w:r>
              <w:rPr>
                <w:rFonts w:ascii="inherit" w:hAnsi="inherit"/>
                <w:sz w:val="18"/>
              </w:rPr>
              <w:t>Common Stock, par value $.01 per share</w:t>
            </w:r>
          </w:p>
        </w:tc>
        <w:tc>
          <w:tcPr>
            <w:tcW w:w="145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pBdr/>
              <w:bidi w:val="0"/>
              <w:spacing w:before="120" w:after="0"/>
              <w:ind w:left="0" w:right="0" w:hanging="0"/>
              <w:jc w:val="left"/>
              <w:rPr>
                <w:rFonts w:ascii="Times New Roman;Times;serif" w:hAnsi="Times New Roman;Times;serif"/>
                <w:sz w:val="18"/>
              </w:rPr>
            </w:pPr>
            <w:r>
              <w:rPr>
                <w:rFonts w:ascii="Times New Roman;Times;serif" w:hAnsi="Times New Roman;Times;serif"/>
                <w:sz w:val="18"/>
              </w:rPr>
              <w:t>FSBW</w:t>
            </w:r>
          </w:p>
        </w:tc>
        <w:tc>
          <w:tcPr>
            <w:tcW w:w="32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pBdr/>
              <w:bidi w:val="0"/>
              <w:spacing w:before="120" w:after="0"/>
              <w:ind w:left="0" w:right="0" w:hanging="180"/>
              <w:jc w:val="left"/>
              <w:rPr>
                <w:rFonts w:ascii="inherit" w:hAnsi="inherit"/>
                <w:sz w:val="18"/>
              </w:rPr>
            </w:pPr>
            <w:r>
              <w:rPr>
                <w:rFonts w:ascii="inherit" w:hAnsi="inherit"/>
                <w:sz w:val="18"/>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4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0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8740" cy="903605"/>
                      <wp:effectExtent l="0" t="0" r="0" b="0"/>
                      <wp:wrapNone/>
                      <wp:docPr id="10" name="Frame10"/>
                      <a:graphic xmlns:a="http://schemas.openxmlformats.org/drawingml/2006/main">
                        <a:graphicData uri="http://schemas.microsoft.com/office/word/2010/wordprocessingShape">
                          <wps:wsp>
                            <wps:cNvSpPr txBox="1"/>
                            <wps:spPr>
                              <a:xfrm>
                                <a:off x="0" y="0"/>
                                <a:ext cx="78740" cy="903605"/>
                              </a:xfrm>
                              <a:prstGeom prst="rect"/>
                              <a:solidFill>
                                <a:srgbClr val="FFFFFF"/>
                              </a:solidFill>
                            </wps:spPr>
                            <wps:txb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Large accelerated filer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7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Large accelerated filer ☐</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9215" cy="175260"/>
                      <wp:effectExtent l="0" t="0" r="0" b="0"/>
                      <wp:wrapNone/>
                      <wp:docPr id="11" name="Frame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00"/>
                              <w:ind w:left="0" w:right="0" w:hanging="0"/>
                              <w:jc w:val="both"/>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7790" cy="903605"/>
                      <wp:effectExtent l="0" t="0" r="0" b="0"/>
                      <wp:wrapNone/>
                      <wp:docPr id="12" name="Frame12"/>
                      <a:graphic xmlns:a="http://schemas.openxmlformats.org/drawingml/2006/main">
                        <a:graphicData uri="http://schemas.microsoft.com/office/word/2010/wordprocessingShape">
                          <wps:wsp>
                            <wps:cNvSpPr txBox="1"/>
                            <wps:spPr>
                              <a:xfrm>
                                <a:off x="0" y="0"/>
                                <a:ext cx="97790" cy="903605"/>
                              </a:xfrm>
                              <a:prstGeom prst="rect"/>
                              <a:solidFill>
                                <a:srgbClr val="FFFFFF"/>
                              </a:solidFill>
                            </wps:spPr>
                            <wps:txb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Accelerated filer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7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Accelerated filer ☒</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78740" cy="664210"/>
                      <wp:effectExtent l="0" t="0" r="0" b="0"/>
                      <wp:wrapNone/>
                      <wp:docPr id="13" name="Frame13"/>
                      <a:graphic xmlns:a="http://schemas.openxmlformats.org/drawingml/2006/main">
                        <a:graphicData uri="http://schemas.microsoft.com/office/word/2010/wordprocessingShape">
                          <wps:wsp>
                            <wps:cNvSpPr txBox="1"/>
                            <wps:spPr>
                              <a:xfrm>
                                <a:off x="0" y="0"/>
                                <a:ext cx="78740" cy="664210"/>
                              </a:xfrm>
                              <a:prstGeom prst="rect"/>
                              <a:solidFill>
                                <a:srgbClr val="FFFFFF"/>
                              </a:solidFill>
                            </wps:spPr>
                            <wps:txb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Non-accelerated filer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Non-accelerated filer ☐</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9215" cy="175260"/>
                      <wp:effectExtent l="0" t="0" r="0" b="0"/>
                      <wp:wrapNone/>
                      <wp:docPr id="14" name="Frame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00"/>
                              <w:ind w:left="0" w:right="0" w:hanging="0"/>
                              <w:jc w:val="both"/>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97790" cy="664210"/>
                      <wp:effectExtent l="0" t="0" r="0" b="0"/>
                      <wp:wrapNone/>
                      <wp:docPr id="15" name="Frame15"/>
                      <a:graphic xmlns:a="http://schemas.openxmlformats.org/drawingml/2006/main">
                        <a:graphicData uri="http://schemas.microsoft.com/office/word/2010/wordprocessingShape">
                          <wps:wsp>
                            <wps:cNvSpPr txBox="1"/>
                            <wps:spPr>
                              <a:xfrm>
                                <a:off x="0" y="0"/>
                                <a:ext cx="97790" cy="664210"/>
                              </a:xfrm>
                              <a:prstGeom prst="rect"/>
                              <a:solidFill>
                                <a:srgbClr val="FFFFFF"/>
                              </a:solidFill>
                            </wps:spPr>
                            <wps:txb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Smaller reporting company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52.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40"/>
                              <w:ind w:left="0" w:right="0" w:hanging="0"/>
                              <w:jc w:val="left"/>
                              <w:rPr>
                                <w:rFonts w:ascii="Times New Roman;Times;serif" w:hAnsi="Times New Roman;Times;serif"/>
                                <w:sz w:val="20"/>
                              </w:rPr>
                            </w:pPr>
                            <w:r>
                              <w:rPr>
                                <w:rFonts w:ascii="Times New Roman;Times;serif" w:hAnsi="Times New Roman;Times;serif"/>
                                <w:sz w:val="20"/>
                              </w:rPr>
                              <w:t>Smaller reporting company ☐</w:t>
                            </w:r>
                          </w:p>
                        </w:txbxContent>
                      </v:textbox>
                      <w10:wrap type="none"/>
                    </v:rect>
                  </w:pict>
                </mc:Fallback>
              </mc:AlternateContent>
            </w:r>
          </w:p>
        </w:tc>
      </w:tr>
      <w:tr>
        <w:trPr/>
        <w:tc>
          <w:tcPr>
            <w:tcW w:w="124" w:type="dxa"/>
            <w:tcBorders>
              <w:top w:val="single" w:sz="8"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8740" cy="424815"/>
                      <wp:effectExtent l="0" t="0" r="0" b="0"/>
                      <wp:wrapNone/>
                      <wp:docPr id="16" name="Frame16"/>
                      <a:graphic xmlns:a="http://schemas.openxmlformats.org/drawingml/2006/main">
                        <a:graphicData uri="http://schemas.microsoft.com/office/word/2010/wordprocessingShape">
                          <wps:wsp>
                            <wps:cNvSpPr txBox="1"/>
                            <wps:spPr>
                              <a:xfrm>
                                <a:off x="0" y="0"/>
                                <a:ext cx="78740" cy="42481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33.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9215" cy="175260"/>
                      <wp:effectExtent l="0" t="0" r="0" b="0"/>
                      <wp:wrapNone/>
                      <wp:docPr id="17" name="Frame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00"/>
                              <w:ind w:left="0" w:right="0" w:hanging="0"/>
                              <w:jc w:val="both"/>
                              <w:rPr/>
                            </w:pPr>
                            <w:r>
                              <w:rPr/>
                              <w:t>​</w:t>
                            </w:r>
                          </w:p>
                        </w:txbxContent>
                      </v:textbox>
                      <w10:wrap type="none"/>
                    </v:rect>
                  </w:pict>
                </mc:Fallback>
              </mc:AlternateContent>
            </w:r>
          </w:p>
        </w:tc>
        <w:tc>
          <w:tcPr>
            <w:tcW w:w="15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97790" cy="175260"/>
                      <wp:effectExtent l="0" t="0" r="0" b="0"/>
                      <wp:wrapNone/>
                      <wp:docPr id="18" name="Frame1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200"/>
                                    <w:ind w:left="0" w:right="0" w:hanging="0"/>
                                    <w:jc w:val="both"/>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00"/>
                              <w:ind w:left="0" w:right="0" w:hanging="0"/>
                              <w:jc w:val="both"/>
                              <w:rPr/>
                            </w:pPr>
                            <w:r>
                              <w:rPr/>
                              <w:t>​</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ind w:left="0" w:right="43"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the number of shares outstanding of each of the issuer’s classes of common stock, as of the latest practicable date:  As of August 4, 2023, there were 7,753,607 outstanding shares of the registrant’s common stock.</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 w:name="_81c1b40f_4332_43d6_a68b_9d19c9c6862f"/>
      <w:bookmarkEnd w:id="18"/>
      <w:r>
        <w:rPr>
          <w:rFonts w:ascii="Times New Roman;Times;serif" w:hAnsi="Times New Roman;Times;serif"/>
          <w:b/>
          <w:sz w:val="20"/>
        </w:rPr>
        <w:t>FS Bancorp,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sz w:val="20"/>
        </w:rPr>
      </w:pPr>
      <w:bookmarkStart w:id="19" w:name="TOC"/>
      <w:bookmarkEnd w:id="19"/>
      <w:r>
        <w:rPr>
          <w:rFonts w:ascii="Times New Roman;Times;serif" w:hAnsi="Times New Roman;Times;serif"/>
          <w:sz w:val="20"/>
        </w:rPr>
        <w:t>Table of Contents</w:t>
      </w:r>
    </w:p>
    <w:tbl>
      <w:tblPr>
        <w:tblW w:w="10205" w:type="dxa"/>
        <w:jc w:val="left"/>
        <w:tblInd w:w="0" w:type="dxa"/>
        <w:tblLayout w:type="fixed"/>
        <w:tblCellMar>
          <w:top w:w="0" w:type="dxa"/>
          <w:left w:w="0" w:type="dxa"/>
          <w:bottom w:w="0" w:type="dxa"/>
          <w:right w:w="0" w:type="dxa"/>
        </w:tblCellMar>
      </w:tblPr>
      <w:tblGrid>
        <w:gridCol w:w="1366"/>
        <w:gridCol w:w="326"/>
        <w:gridCol w:w="6881"/>
        <w:gridCol w:w="326"/>
        <w:gridCol w:w="1306"/>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867410" cy="175260"/>
                      <wp:effectExtent l="0" t="0" r="0" b="0"/>
                      <wp:wrapNone/>
                      <wp:docPr id="19" name="Frame19"/>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69435" cy="175260"/>
                      <wp:effectExtent l="0" t="0" r="0" b="0"/>
                      <wp:wrapNone/>
                      <wp:docPr id="21" name="Frame21"/>
                      <a:graphic xmlns:a="http://schemas.openxmlformats.org/drawingml/2006/main">
                        <a:graphicData uri="http://schemas.microsoft.com/office/word/2010/wordprocessingShape">
                          <wps:wsp>
                            <wps:cNvSpPr txBox="1"/>
                            <wps:spPr>
                              <a:xfrm>
                                <a:off x="0" y="0"/>
                                <a:ext cx="436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Number</w:t>
            </w:r>
          </w:p>
        </w:tc>
      </w:tr>
      <w:tr>
        <w:trPr/>
        <w:tc>
          <w:tcPr>
            <w:tcW w:w="136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1FinancialStatements_865169">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1FinancialStatements_865169">
              <w:r>
                <w:rPr>
                  <w:rStyle w:val="InternetLink"/>
                  <w:rFonts w:ascii="Times New Roman;Times;serif" w:hAnsi="Times New Roman;Times;serif"/>
                  <w:b w:val="false"/>
                  <w:i w:val="false"/>
                  <w:caps w:val="false"/>
                  <w:smallCaps w:val="false"/>
                  <w:sz w:val="20"/>
                </w:rPr>
                <w:t>Financial Statements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BALANCESHEETS_557197">
              <w:r>
                <w:rPr>
                  <w:rStyle w:val="InternetLink"/>
                  <w:rFonts w:ascii="Times New Roman;Times;serif" w:hAnsi="Times New Roman;Times;serif"/>
                  <w:b w:val="false"/>
                  <w:i w:val="false"/>
                  <w:caps w:val="false"/>
                  <w:smallCaps w:val="false"/>
                  <w:sz w:val="20"/>
                </w:rPr>
                <w:t xml:space="preserve">Consolidated Balance Sheets at June 30, 2023 (Unaudited) and December 31, 2022 </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STATEMENTSOFINCOME_771962">
              <w:r>
                <w:rPr>
                  <w:rStyle w:val="InternetLink"/>
                  <w:rFonts w:ascii="Times New Roman;Times;serif" w:hAnsi="Times New Roman;Times;serif"/>
                  <w:b w:val="false"/>
                  <w:i w:val="false"/>
                  <w:caps w:val="false"/>
                  <w:smallCaps w:val="false"/>
                  <w:sz w:val="20"/>
                </w:rPr>
                <w:t>Consolidated Statements of Income for the Three and Six Months Ended June 30, 2023 and 2022 (Unaudited)</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COMPREHENSIVEINCOME_986400">
              <w:r>
                <w:rPr>
                  <w:rStyle w:val="InternetLink"/>
                  <w:rFonts w:ascii="Times New Roman;Times;serif" w:hAnsi="Times New Roman;Times;serif"/>
                  <w:b w:val="false"/>
                  <w:i w:val="false"/>
                  <w:caps w:val="false"/>
                  <w:smallCaps w:val="false"/>
                  <w:sz w:val="20"/>
                </w:rPr>
                <w:t>Consolidated Statements of Comprehensive Income (Loss) for the Three and Six Months Ended June 30, 2023 and 2022 (Unaudited)</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EQUITY_177924">
              <w:r>
                <w:rPr>
                  <w:rStyle w:val="InternetLink"/>
                  <w:rFonts w:ascii="Times New Roman;Times;serif" w:hAnsi="Times New Roman;Times;serif"/>
                  <w:b w:val="false"/>
                  <w:i w:val="false"/>
                  <w:caps w:val="false"/>
                  <w:smallCaps w:val="false"/>
                  <w:sz w:val="20"/>
                </w:rPr>
                <w:t>Consolidated Statements of Changes in Stockholders’ Equity for the Three and Six Months Ended June 30, 2023 and 2022 (Unaudited)</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 </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CashFlows">
              <w:r>
                <w:rPr>
                  <w:rStyle w:val="InternetLink"/>
                  <w:rFonts w:ascii="Times New Roman;Times;serif" w:hAnsi="Times New Roman;Times;serif"/>
                  <w:b w:val="false"/>
                  <w:i w:val="false"/>
                  <w:caps w:val="false"/>
                  <w:smallCaps w:val="false"/>
                  <w:sz w:val="20"/>
                </w:rPr>
                <w:t>Consolidated Statements of Cash Flows for the Six Months Ended June 30, 2023 and 2022 (Unaudited)</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8 - 9</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NOTE1BASISOFPRESENTATION_751825">
              <w:r>
                <w:rPr>
                  <w:rStyle w:val="InternetLink"/>
                  <w:rFonts w:ascii="Times New Roman;Times;serif" w:hAnsi="Times New Roman;Times;serif"/>
                  <w:b w:val="false"/>
                  <w:i w:val="false"/>
                  <w:caps w:val="false"/>
                  <w:smallCaps w:val="false"/>
                  <w:sz w:val="20"/>
                </w:rPr>
                <w:t>Notes to Consolidated Financial Statements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10 - 47</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2ManagementsDiscussion_793392">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2ManagementsDiscussion_793392">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49 - 67</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4ControlsandProcedures_376533">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4ControlsandProcedures_376533">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PARTII_Otherinformation">
              <w:r>
                <w:rPr>
                  <w:rStyle w:val="InternetLink"/>
                  <w:rFonts w:ascii="Times New Roman;Times;serif" w:hAnsi="Times New Roman;Times;serif"/>
                  <w:b/>
                  <w:i w:val="false"/>
                  <w:caps w:val="false"/>
                  <w:smallCaps w:val="false"/>
                  <w:sz w:val="20"/>
                </w:rPr>
                <w:t>PART II</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PARTII_Otherinformation">
              <w:r>
                <w:rPr>
                  <w:rStyle w:val="InternetLink"/>
                  <w:rFonts w:ascii="Times New Roman;Times;serif" w:hAnsi="Times New Roman;Times;serif"/>
                  <w:b/>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1LegalProceedings_188172">
              <w:r>
                <w:rPr>
                  <w:rStyle w:val="InternetLink"/>
                  <w:rFonts w:ascii="Times New Roman;Times;serif" w:hAnsi="Times New Roman;Times;serif"/>
                  <w:b w:val="false"/>
                  <w:i w:val="false"/>
                  <w:caps w:val="false"/>
                  <w:smallCaps w:val="false"/>
                  <w:sz w:val="20"/>
                </w:rPr>
                <w:t>Item 1.</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1LegalProceedings_188172">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1ARiskFactors_874277">
              <w:r>
                <w:rPr>
                  <w:rStyle w:val="InternetLink"/>
                  <w:rFonts w:ascii="Times New Roman;Times;serif" w:hAnsi="Times New Roman;Times;serif"/>
                  <w:b w:val="false"/>
                  <w:i w:val="false"/>
                  <w:caps w:val="false"/>
                  <w:smallCaps w:val="false"/>
                  <w:sz w:val="20"/>
                </w:rPr>
                <w:t>Item 1A.</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1ARiskFactors_874277">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3DefaultsUponSeniorSecurities_628892">
              <w:r>
                <w:rPr>
                  <w:rStyle w:val="InternetLink"/>
                  <w:rFonts w:ascii="Times New Roman;Times;serif" w:hAnsi="Times New Roman;Times;serif"/>
                  <w:b w:val="false"/>
                  <w:i w:val="false"/>
                  <w:caps w:val="false"/>
                  <w:smallCaps w:val="false"/>
                  <w:sz w:val="20"/>
                </w:rPr>
                <w:t>Item 3.</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3DefaultsUponSeniorSecurities_628892">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4MineSafetyDisclosures_965935">
              <w:r>
                <w:rPr>
                  <w:rStyle w:val="InternetLink"/>
                  <w:rFonts w:ascii="Times New Roman;Times;serif" w:hAnsi="Times New Roman;Times;serif"/>
                  <w:b w:val="false"/>
                  <w:i w:val="false"/>
                  <w:caps w:val="false"/>
                  <w:smallCaps w:val="false"/>
                  <w:sz w:val="20"/>
                </w:rPr>
                <w:t>Item 4.</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4MineSafetyDisclosures_965935">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Item5OtherInformation_988770">
              <w:r>
                <w:rPr>
                  <w:rStyle w:val="InternetLink"/>
                  <w:rFonts w:ascii="Times New Roman;Times;serif" w:hAnsi="Times New Roman;Times;serif"/>
                  <w:b w:val="false"/>
                  <w:i w:val="false"/>
                  <w:caps w:val="false"/>
                  <w:smallCaps w:val="false"/>
                  <w:sz w:val="20"/>
                </w:rPr>
                <w:t>Item 5.</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Item5OtherInformation_988770">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Item 6.</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1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pBdr/>
              <w:bidi w:val="0"/>
              <w:spacing w:before="0" w:after="0"/>
              <w:ind w:left="0" w:right="0" w:hanging="0"/>
              <w:jc w:val="left"/>
              <w:rPr/>
            </w:pPr>
            <w:hyperlink w:anchor="SIGNATURES_161104">
              <w:r>
                <w:rPr>
                  <w:rStyle w:val="InternetLink"/>
                  <w:rFonts w:ascii="Times New Roman;Times;serif" w:hAnsi="Times New Roman;Times;serif"/>
                  <w:b/>
                  <w:i w:val="false"/>
                  <w:caps w:val="false"/>
                  <w:smallCaps w:val="false"/>
                  <w:sz w:val="20"/>
                </w:rPr>
                <w:t>SIGNATURES</w:t>
              </w:r>
            </w:hyperlink>
          </w:p>
        </w:tc>
        <w:tc>
          <w:tcPr>
            <w:tcW w:w="326" w:type="dxa"/>
            <w:tcBorders/>
            <w:vAlign w:val="center"/>
          </w:tcPr>
          <w:p>
            <w:pPr>
              <w:pStyle w:val="TableContents"/>
              <w:bidi w:val="0"/>
              <w:spacing w:before="0" w:after="0"/>
              <w:ind w:left="0" w:right="0" w:hanging="0"/>
              <w:jc w:val="left"/>
              <w:rPr/>
            </w:pPr>
            <w:r>
              <w:rPr/>
              <w:t>​</w:t>
            </w:r>
          </w:p>
        </w:tc>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20" w:name="Item1FinancialStatements_865169"/>
      <w:bookmarkStart w:id="21" w:name="_b8bfbc42_58b7_4eeb_b249_b643134d3652"/>
      <w:bookmarkEnd w:id="20"/>
      <w:bookmarkEnd w:id="21"/>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FS BANCORP, INC. AND SUBSIDIARY</w:t>
      </w:r>
    </w:p>
    <w:p>
      <w:pPr>
        <w:pStyle w:val="TextBody"/>
        <w:bidi w:val="0"/>
        <w:spacing w:before="0" w:after="0"/>
        <w:ind w:left="0" w:right="0" w:hanging="0"/>
        <w:jc w:val="center"/>
        <w:rPr>
          <w:rFonts w:ascii="Times New Roman;Times;serif" w:hAnsi="Times New Roman;Times;serif"/>
          <w:b/>
          <w:sz w:val="20"/>
        </w:rPr>
      </w:pPr>
      <w:bookmarkStart w:id="22" w:name="BALANCESHEETS_557197"/>
      <w:bookmarkEnd w:id="22"/>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(Dollars in thousands, except share amounts) (Unaudited)</w:t>
      </w:r>
    </w:p>
    <w:p>
      <w:pPr>
        <w:pStyle w:val="Normal"/>
        <w:bidi w:val="0"/>
        <w:spacing w:before="0" w:after="0"/>
        <w:jc w:val="left"/>
        <w:rPr>
          <w:sz w:val="4"/>
          <w:szCs w:val="4"/>
        </w:rPr>
      </w:pPr>
      <w:r>
        <w:rPr>
          <w:sz w:val="4"/>
          <w:szCs w:val="4"/>
        </w:rPr>
      </w:r>
      <w:bookmarkStart w:id="23" w:name="Tc_8Lpkz2oDSkaB7npwyccW2Q_44_5"/>
      <w:bookmarkStart w:id="24" w:name="Tc_zPA8KPpx1kq0eGcUbpTrGQ_44_2"/>
      <w:bookmarkStart w:id="25" w:name="Tc_hy-QhI1UMEmddOSMuTGuvg_44_0"/>
      <w:bookmarkStart w:id="26" w:name="Tc_PDra0Pok6kOoUUVgxUtVuA_43_0"/>
      <w:bookmarkStart w:id="27" w:name="Tc_UeO8s9m9_EOhJvGKuIKuZw_42_0"/>
      <w:bookmarkStart w:id="28" w:name="Tc_mKk3E1szxUe5zA6Y-79SAQ_41_0"/>
      <w:bookmarkStart w:id="29" w:name="Tc_QXF6OC7fkUal2RQPWNV-4A_40_0"/>
      <w:bookmarkStart w:id="30" w:name="Tc_pJdUOCK_tEOa1yEwbfD1Ug_39_0"/>
      <w:bookmarkStart w:id="31" w:name="Tc_SeL2hA5GdUy_YLv4GEd2KQ_38_0"/>
      <w:bookmarkStart w:id="32" w:name="Tc_bvkitprA5UiupoVHpITghg_37_0"/>
      <w:bookmarkStart w:id="33" w:name="Tc__BEahQnp7EKKmOR4hugmbw_36_0"/>
      <w:bookmarkStart w:id="34" w:name="Tc_dCJG0TZdSk6kQzT8aMN7lg_35_0"/>
      <w:bookmarkStart w:id="35" w:name="Tc_fpwNBrdTpkeuUibHGZIZSg_34_0"/>
      <w:bookmarkStart w:id="36" w:name="Tc_4rMwDJ5BBU2O9SEUOz6Hpg_33_0"/>
      <w:bookmarkStart w:id="37" w:name="Tc_EmWZm6QztUewnMEKjd6T6g_32_0"/>
      <w:bookmarkStart w:id="38" w:name="Tc_oicKpg7rh021Tw94ixYt-w_31_0"/>
      <w:bookmarkStart w:id="39" w:name="Tc__hOsMM2yxkyOoHmhB06C4A_30_0"/>
      <w:bookmarkStart w:id="40" w:name="Tc_oclE111_sEqFmp_WSUQG8A_29_0"/>
      <w:bookmarkStart w:id="41" w:name="Tc_FLULBvl3sUaXBVosCiHTzw_28_0"/>
      <w:bookmarkStart w:id="42" w:name="Tc_nYEeppw0ekqbxzsm1UZ9rw_27_0"/>
      <w:bookmarkStart w:id="43" w:name="Tc_hsyDNZ8eu0u81PwjG-WgCw_26_0"/>
      <w:bookmarkStart w:id="44" w:name="Tc_ZtLHc3-hykO0mz2JYGK5Jg_25_5"/>
      <w:bookmarkStart w:id="45" w:name="Tc_yPGxv2Uc00amIabUL2jboQ_25_2"/>
      <w:bookmarkStart w:id="46" w:name="Tc_afHViv5TNUi0iWmqFYpHJA_25_0"/>
      <w:bookmarkStart w:id="47" w:name="Tc_PL_8ZKh31kKHozapP_1WFg_24_0"/>
      <w:bookmarkStart w:id="48" w:name="Tc_hOUZSLi1x02a5a81rREH4w_23_0"/>
      <w:bookmarkStart w:id="49" w:name="Tc_Z-MU1h2uX0qAk3WO4Wbujg_22_5"/>
      <w:bookmarkStart w:id="50" w:name="Tc_XieEfFP-xkOtplq8G34p9A_22_2"/>
      <w:bookmarkStart w:id="51" w:name="Tc_Ch84_NXW9EemBRzTJ3yofA_22_0"/>
      <w:bookmarkStart w:id="52" w:name="Tc_8npSa3G8skK4B03nvUxUBA_21_0"/>
      <w:bookmarkStart w:id="53" w:name="Tc_7HrA9yEDQ0-asLSRl-Yflg_20_0"/>
      <w:bookmarkStart w:id="54" w:name="Tc_A5SQksO-v0KV47asW8wAGg_19_0"/>
      <w:bookmarkStart w:id="55" w:name="Tc_6X04p2BECEKWX0_5GrEzXg_18_0"/>
      <w:bookmarkStart w:id="56" w:name="Tc_Od9kHh-iUkytN2l4F_GrcA_17_0"/>
      <w:bookmarkStart w:id="57" w:name="Tc_mLecDgEKjE2Ff9chlgYzwA_16_0"/>
      <w:bookmarkStart w:id="58" w:name="Tc_OWctofR6GEeHNRCDL--KuA_15_0"/>
      <w:bookmarkStart w:id="59" w:name="Tc_kseqt7NM9kmgAh5QHG4Y1A_14_0"/>
      <w:bookmarkStart w:id="60" w:name="Tc_bRqTI5mpU0OM6ZJmT9SjyA_13_0"/>
      <w:bookmarkStart w:id="61" w:name="Tc_oN4LTBurFkqlIYJb3TFTdQ_12_0"/>
      <w:bookmarkStart w:id="62" w:name="Tc_ykDujsJUzUa0MsrUqxcGhQ_11_0"/>
      <w:bookmarkStart w:id="63" w:name="Tc_3JwQZeNiAUCFij6ATd-qrQ_10_0"/>
      <w:bookmarkStart w:id="64" w:name="Tc_GmXMME7sdUiKBZmxIPBuVQ_9_0"/>
      <w:bookmarkStart w:id="65" w:name="Tc_ITbZWNftgE28sJqMDmDf3w_8_0"/>
      <w:bookmarkStart w:id="66" w:name="Tc_RbHTDZcYXEq3k0eDiAs3MA_7_0"/>
      <w:bookmarkStart w:id="67" w:name="Tc_I9N8B9xHskGO4pxnJOFlSw_6_0"/>
      <w:bookmarkStart w:id="68" w:name="Tc_2f97DwEAAUeKICN9BtQy-Q_5_0"/>
      <w:bookmarkStart w:id="69" w:name="Tc_MsGTMZUcAkKvX29tqTfUOQ_4_0"/>
      <w:bookmarkStart w:id="70" w:name="Tc_56oT8aYp9ECs358DGO3v2A_3_5"/>
      <w:bookmarkStart w:id="71" w:name="Tc_JRE9s2qCqEq5waT9ExFwZQ_3_2"/>
      <w:bookmarkStart w:id="72" w:name="Tc_rnvAHGEFRk-lOJfM0rGRvQ_3_0"/>
      <w:bookmarkStart w:id="73" w:name="Tc_zBdDZD32oUKDXUHigG1e5g_2_5"/>
      <w:bookmarkStart w:id="74" w:name="Tc_PTzYJZJsaEaZibKykVBlVg_2_2"/>
      <w:bookmarkStart w:id="75" w:name="Tc_WB_Ifv7atkanU0Nse0OQRQ_2_0"/>
      <w:bookmarkStart w:id="76" w:name="Tc_b4ipnFk3AUajh2ZS09oWvg_1_5"/>
      <w:bookmarkStart w:id="77" w:name="Tc_569S-0lLLUGsxz3pip_m8w_1_2"/>
      <w:bookmarkStart w:id="78" w:name="_ef5889f7_dad9_4be7_b8e8_3b282baa3405"/>
      <w:bookmarkStart w:id="79" w:name="Tc_8Lpkz2oDSkaB7npwyccW2Q_44_5"/>
      <w:bookmarkStart w:id="80" w:name="Tc_zPA8KPpx1kq0eGcUbpTrGQ_44_2"/>
      <w:bookmarkStart w:id="81" w:name="Tc_hy-QhI1UMEmddOSMuTGuvg_44_0"/>
      <w:bookmarkStart w:id="82" w:name="Tc_PDra0Pok6kOoUUVgxUtVuA_43_0"/>
      <w:bookmarkStart w:id="83" w:name="Tc_UeO8s9m9_EOhJvGKuIKuZw_42_0"/>
      <w:bookmarkStart w:id="84" w:name="Tc_mKk3E1szxUe5zA6Y-79SAQ_41_0"/>
      <w:bookmarkStart w:id="85" w:name="Tc_QXF6OC7fkUal2RQPWNV-4A_40_0"/>
      <w:bookmarkStart w:id="86" w:name="Tc_pJdUOCK_tEOa1yEwbfD1Ug_39_0"/>
      <w:bookmarkStart w:id="87" w:name="Tc_SeL2hA5GdUy_YLv4GEd2KQ_38_0"/>
      <w:bookmarkStart w:id="88" w:name="Tc_bvkitprA5UiupoVHpITghg_37_0"/>
      <w:bookmarkStart w:id="89" w:name="Tc__BEahQnp7EKKmOR4hugmbw_36_0"/>
      <w:bookmarkStart w:id="90" w:name="Tc_dCJG0TZdSk6kQzT8aMN7lg_35_0"/>
      <w:bookmarkStart w:id="91" w:name="Tc_fpwNBrdTpkeuUibHGZIZSg_34_0"/>
      <w:bookmarkStart w:id="92" w:name="Tc_4rMwDJ5BBU2O9SEUOz6Hpg_33_0"/>
      <w:bookmarkStart w:id="93" w:name="Tc_EmWZm6QztUewnMEKjd6T6g_32_0"/>
      <w:bookmarkStart w:id="94" w:name="Tc_oicKpg7rh021Tw94ixYt-w_31_0"/>
      <w:bookmarkStart w:id="95" w:name="Tc__hOsMM2yxkyOoHmhB06C4A_30_0"/>
      <w:bookmarkStart w:id="96" w:name="Tc_oclE111_sEqFmp_WSUQG8A_29_0"/>
      <w:bookmarkStart w:id="97" w:name="Tc_FLULBvl3sUaXBVosCiHTzw_28_0"/>
      <w:bookmarkStart w:id="98" w:name="Tc_nYEeppw0ekqbxzsm1UZ9rw_27_0"/>
      <w:bookmarkStart w:id="99" w:name="Tc_hsyDNZ8eu0u81PwjG-WgCw_26_0"/>
      <w:bookmarkStart w:id="100" w:name="Tc_ZtLHc3-hykO0mz2JYGK5Jg_25_5"/>
      <w:bookmarkStart w:id="101" w:name="Tc_yPGxv2Uc00amIabUL2jboQ_25_2"/>
      <w:bookmarkStart w:id="102" w:name="Tc_afHViv5TNUi0iWmqFYpHJA_25_0"/>
      <w:bookmarkStart w:id="103" w:name="Tc_PL_8ZKh31kKHozapP_1WFg_24_0"/>
      <w:bookmarkStart w:id="104" w:name="Tc_hOUZSLi1x02a5a81rREH4w_23_0"/>
      <w:bookmarkStart w:id="105" w:name="Tc_Z-MU1h2uX0qAk3WO4Wbujg_22_5"/>
      <w:bookmarkStart w:id="106" w:name="Tc_XieEfFP-xkOtplq8G34p9A_22_2"/>
      <w:bookmarkStart w:id="107" w:name="Tc_Ch84_NXW9EemBRzTJ3yofA_22_0"/>
      <w:bookmarkStart w:id="108" w:name="Tc_8npSa3G8skK4B03nvUxUBA_21_0"/>
      <w:bookmarkStart w:id="109" w:name="Tc_7HrA9yEDQ0-asLSRl-Yflg_20_0"/>
      <w:bookmarkStart w:id="110" w:name="Tc_A5SQksO-v0KV47asW8wAGg_19_0"/>
      <w:bookmarkStart w:id="111" w:name="Tc_6X04p2BECEKWX0_5GrEzXg_18_0"/>
      <w:bookmarkStart w:id="112" w:name="Tc_Od9kHh-iUkytN2l4F_GrcA_17_0"/>
      <w:bookmarkStart w:id="113" w:name="Tc_mLecDgEKjE2Ff9chlgYzwA_16_0"/>
      <w:bookmarkStart w:id="114" w:name="Tc_OWctofR6GEeHNRCDL--KuA_15_0"/>
      <w:bookmarkStart w:id="115" w:name="Tc_kseqt7NM9kmgAh5QHG4Y1A_14_0"/>
      <w:bookmarkStart w:id="116" w:name="Tc_bRqTI5mpU0OM6ZJmT9SjyA_13_0"/>
      <w:bookmarkStart w:id="117" w:name="Tc_oN4LTBurFkqlIYJb3TFTdQ_12_0"/>
      <w:bookmarkStart w:id="118" w:name="Tc_ykDujsJUzUa0MsrUqxcGhQ_11_0"/>
      <w:bookmarkStart w:id="119" w:name="Tc_3JwQZeNiAUCFij6ATd-qrQ_10_0"/>
      <w:bookmarkStart w:id="120" w:name="Tc_GmXMME7sdUiKBZmxIPBuVQ_9_0"/>
      <w:bookmarkStart w:id="121" w:name="Tc_ITbZWNftgE28sJqMDmDf3w_8_0"/>
      <w:bookmarkStart w:id="122" w:name="Tc_RbHTDZcYXEq3k0eDiAs3MA_7_0"/>
      <w:bookmarkStart w:id="123" w:name="Tc_I9N8B9xHskGO4pxnJOFlSw_6_0"/>
      <w:bookmarkStart w:id="124" w:name="Tc_2f97DwEAAUeKICN9BtQy-Q_5_0"/>
      <w:bookmarkStart w:id="125" w:name="Tc_MsGTMZUcAkKvX29tqTfUOQ_4_0"/>
      <w:bookmarkStart w:id="126" w:name="Tc_56oT8aYp9ECs358DGO3v2A_3_5"/>
      <w:bookmarkStart w:id="127" w:name="Tc_JRE9s2qCqEq5waT9ExFwZQ_3_2"/>
      <w:bookmarkStart w:id="128" w:name="Tc_rnvAHGEFRk-lOJfM0rGRvQ_3_0"/>
      <w:bookmarkStart w:id="129" w:name="Tc_zBdDZD32oUKDXUHigG1e5g_2_5"/>
      <w:bookmarkStart w:id="130" w:name="Tc_PTzYJZJsaEaZibKykVBlVg_2_2"/>
      <w:bookmarkStart w:id="131" w:name="Tc_WB_Ifv7atkanU0Nse0OQRQ_2_0"/>
      <w:bookmarkStart w:id="132" w:name="Tc_b4ipnFk3AUajh2ZS09oWvg_1_5"/>
      <w:bookmarkStart w:id="133" w:name="Tc_569S-0lLLUGsxz3pip_m8w_1_2"/>
      <w:bookmarkStart w:id="134" w:name="_ef5889f7_dad9_4be7_b8e8_3b282baa3405"/>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tbl>
      <w:tblPr>
        <w:tblW w:w="10205" w:type="dxa"/>
        <w:jc w:val="left"/>
        <w:tblInd w:w="0" w:type="dxa"/>
        <w:tblLayout w:type="fixed"/>
        <w:tblCellMar>
          <w:top w:w="0" w:type="dxa"/>
          <w:left w:w="0" w:type="dxa"/>
          <w:bottom w:w="0" w:type="dxa"/>
          <w:right w:w="0" w:type="dxa"/>
        </w:tblCellMar>
      </w:tblPr>
      <w:tblGrid>
        <w:gridCol w:w="7373"/>
        <w:gridCol w:w="326"/>
        <w:gridCol w:w="196"/>
        <w:gridCol w:w="826"/>
        <w:gridCol w:w="326"/>
        <w:gridCol w:w="201"/>
        <w:gridCol w:w="957"/>
      </w:tblGrid>
      <w:tr>
        <w:trPr/>
        <w:tc>
          <w:tcPr>
            <w:tcW w:w="737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1"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left"/>
              <w:rPr/>
            </w:pPr>
            <w:r>
              <w:rPr/>
              <w:t>​</w:t>
            </w:r>
          </w:p>
        </w:tc>
      </w:tr>
      <w:tr>
        <w:trPr/>
        <w:tc>
          <w:tcPr>
            <w:tcW w:w="737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June 30, </w:t>
            </w:r>
          </w:p>
        </w:tc>
        <w:tc>
          <w:tcPr>
            <w:tcW w:w="326" w:type="dxa"/>
            <w:tcBorders/>
            <w:vAlign w:val="center"/>
          </w:tcPr>
          <w:p>
            <w:pPr>
              <w:pStyle w:val="TableContents"/>
              <w:bidi w:val="0"/>
              <w:spacing w:before="0" w:after="1"/>
              <w:ind w:left="0" w:right="0" w:hanging="0"/>
              <w:jc w:val="center"/>
              <w:rPr/>
            </w:pPr>
            <w:r>
              <w:rPr/>
              <w:t>    </w:t>
            </w:r>
          </w:p>
        </w:tc>
        <w:tc>
          <w:tcPr>
            <w:tcW w:w="1158" w:type="dxa"/>
            <w:gridSpan w:val="2"/>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December 31, </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2023</w:t>
            </w:r>
          </w:p>
        </w:tc>
        <w:tc>
          <w:tcPr>
            <w:tcW w:w="326" w:type="dxa"/>
            <w:tcBorders/>
            <w:vAlign w:val="center"/>
          </w:tcPr>
          <w:p>
            <w:pPr>
              <w:pStyle w:val="TableContents"/>
              <w:bidi w:val="0"/>
              <w:spacing w:before="0" w:after="1"/>
              <w:ind w:left="0" w:right="0" w:hanging="0"/>
              <w:jc w:val="center"/>
              <w:rPr/>
            </w:pPr>
            <w:r>
              <w:rPr/>
              <w:t>​</w:t>
            </w:r>
          </w:p>
        </w:tc>
        <w:tc>
          <w:tcPr>
            <w:tcW w:w="11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2022</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due from banks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17,573</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10,525</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deposits at other financial institutions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114,526</w:t>
            </w:r>
          </w:p>
        </w:tc>
        <w:tc>
          <w:tcPr>
            <w:tcW w:w="326" w:type="dxa"/>
            <w:tcBorders/>
            <w:vAlign w:val="center"/>
          </w:tcPr>
          <w:p>
            <w:pPr>
              <w:pStyle w:val="TableContents"/>
              <w:bidi w:val="0"/>
              <w:spacing w:before="0" w:after="1"/>
              <w:ind w:left="0" w:right="0" w:hanging="0"/>
              <w:jc w:val="righ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30,912</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132,099</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41,437</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Certificates of deposit at other financial institutions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14,747</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4,712</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Securities available-for-sale, at fair value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225,869</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229,252</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Securities held-to-maturity, net of allowance for credit losses of $31 and $31, respectively (fair value of $7,475 and $7,929,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8,469</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8,469</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held for sale, at fair value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16,714</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20,093</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Loans receivable, net (includes $14,349 and $14,035, at fair value,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2,342,424</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2,190,860</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interest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12,244</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11,144</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Premises and equipment,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31,293</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25,119</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(“ROU”)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7,458</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6,226</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Federal Home Loan Bank (“FHLB”) stock, at cost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6,555</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10,611</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real estate owned (“OREO”)</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570</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 asset,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5,784</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6,670</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Bank owned life insurance (“BOLI”),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37,247</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36,799</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Servicing rights, held at the lower of cost or fair value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17,627</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18,017</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3,592</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2,312</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Core deposit intangible,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19,325</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3,369</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23,604</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17,238</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2,905,621</w:t>
            </w:r>
          </w:p>
        </w:tc>
        <w:tc>
          <w:tcPr>
            <w:tcW w:w="326" w:type="dxa"/>
            <w:tcBorders/>
            <w:vAlign w:val="center"/>
          </w:tcPr>
          <w:p>
            <w:pPr>
              <w:pStyle w:val="TableContents"/>
              <w:bidi w:val="0"/>
              <w:spacing w:before="0" w:after="1"/>
              <w:ind w:left="0" w:right="0" w:hanging="0"/>
              <w:jc w:val="righ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2,632,898</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pPr>
            <w:r>
              <w:rPr/>
              <w:t>  </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Deposits: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pPr>
            <w:r>
              <w:rPr/>
              <w:t>  </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Noninterest-bearing accounts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675,211</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554,174</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Interest-bearing accounts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1,690,097</w:t>
            </w:r>
          </w:p>
        </w:tc>
        <w:tc>
          <w:tcPr>
            <w:tcW w:w="326" w:type="dxa"/>
            <w:tcBorders/>
            <w:vAlign w:val="center"/>
          </w:tcPr>
          <w:p>
            <w:pPr>
              <w:pStyle w:val="TableContents"/>
              <w:bidi w:val="0"/>
              <w:spacing w:before="0" w:after="1"/>
              <w:ind w:left="0" w:right="0" w:hanging="0"/>
              <w:jc w:val="righ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1,573,567</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2,365,308</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2,127,741</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Borrowings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199,896</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186,528</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Subordinated notes: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pPr>
            <w:r>
              <w:rPr/>
              <w:t>​</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Principal amount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50,000</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Unamortized debt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(506)</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(539)</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subordinated notes less unamortized debt issuance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49,494</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49,461</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7,690</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6,474</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33,300</w:t>
            </w:r>
          </w:p>
        </w:tc>
        <w:tc>
          <w:tcPr>
            <w:tcW w:w="326" w:type="dxa"/>
            <w:tcBorders/>
            <w:vAlign w:val="center"/>
          </w:tcPr>
          <w:p>
            <w:pPr>
              <w:pStyle w:val="TableContents"/>
              <w:bidi w:val="0"/>
              <w:spacing w:before="0" w:after="1"/>
              <w:ind w:left="0" w:right="0" w:hanging="0"/>
              <w:jc w:val="righ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30,997</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2,655,688</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2,401,201</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10)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pPr>
            <w:r>
              <w:rPr/>
              <w:t>  </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pPr>
            <w:r>
              <w:rPr/>
              <w:t>  </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$.01 par value; 5,000,000 shares authorized; none issued or outstanding</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$.01</w:t>
            </w:r>
            <w:r>
              <w:rPr>
                <w:rFonts w:ascii="Times New Roman;Times;serif" w:hAnsi="Times New Roman;Times;serif"/>
                <w:sz w:val="20"/>
              </w:rPr>
              <w:t xml:space="preserve"> </w:t>
            </w:r>
            <w:r>
              <w:rPr>
                <w:rFonts w:ascii="Times New Roman;Times;serif" w:hAnsi="Times New Roman;Times;serif"/>
                <w:sz w:val="18"/>
              </w:rPr>
              <w:t>par value; 45,000,000</w:t>
            </w:r>
            <w:r>
              <w:rPr>
                <w:rFonts w:ascii="Times New Roman;Times;serif" w:hAnsi="Times New Roman;Times;serif"/>
                <w:sz w:val="20"/>
              </w:rPr>
              <w:t xml:space="preserve"> </w:t>
            </w:r>
            <w:r>
              <w:rPr>
                <w:rFonts w:ascii="Times New Roman;Times;serif" w:hAnsi="Times New Roman;Times;serif"/>
                <w:sz w:val="18"/>
              </w:rPr>
              <w:t>shares authorized; 7,753,607</w:t>
            </w:r>
            <w:r>
              <w:rPr>
                <w:rFonts w:ascii="Times New Roman;Times;serif" w:hAnsi="Times New Roman;Times;serif"/>
                <w:sz w:val="20"/>
              </w:rPr>
              <w:t xml:space="preserve"> </w:t>
            </w:r>
            <w:r>
              <w:rPr>
                <w:rFonts w:ascii="Times New Roman;Times;serif" w:hAnsi="Times New Roman;Times;serif"/>
                <w:sz w:val="18"/>
              </w:rPr>
              <w:t>and 7,736,185</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at June 30, 2023 and December 31, 2022,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56,781</w:t>
            </w:r>
          </w:p>
        </w:tc>
        <w:tc>
          <w:tcPr>
            <w:tcW w:w="326" w:type="dxa"/>
            <w:tcBorders/>
            <w:vAlign w:val="center"/>
          </w:tcPr>
          <w:p>
            <w:pPr>
              <w:pStyle w:val="TableContents"/>
              <w:bidi w:val="0"/>
              <w:spacing w:before="0" w:after="1"/>
              <w:ind w:left="0" w:right="0" w:hanging="0"/>
              <w:jc w:val="right"/>
              <w:rPr/>
            </w:pPr>
            <w:r>
              <w:rPr/>
              <w:t>​</w:t>
            </w:r>
          </w:p>
        </w:tc>
        <w:tc>
          <w:tcPr>
            <w:tcW w:w="201" w:type="dxa"/>
            <w:tcBorders/>
            <w:vAlign w:val="center"/>
          </w:tcPr>
          <w:p>
            <w:pPr>
              <w:pStyle w:val="TableContents"/>
              <w:bidi w:val="0"/>
              <w:spacing w:before="0" w:after="1"/>
              <w:ind w:left="0" w:right="0" w:hanging="0"/>
              <w:jc w:val="left"/>
              <w:rPr/>
            </w:pPr>
            <w:r>
              <w:rPr/>
              <w:t> </w:t>
            </w:r>
          </w:p>
        </w:tc>
        <w:tc>
          <w:tcPr>
            <w:tcW w:w="95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55,187</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215,519</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shd w:fill="CCEEFF" w:val="clear"/>
            <w:vAlign w:val="center"/>
          </w:tcPr>
          <w:p>
            <w:pPr>
              <w:pStyle w:val="TableContents"/>
              <w:bidi w:val="0"/>
              <w:spacing w:before="0" w:after="1"/>
              <w:ind w:left="0" w:right="0" w:hanging="0"/>
              <w:jc w:val="left"/>
              <w:rPr/>
            </w:pPr>
            <w:r>
              <w:rPr/>
              <w:t> </w:t>
            </w:r>
          </w:p>
        </w:tc>
        <w:tc>
          <w:tcPr>
            <w:tcW w:w="95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202,065</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 net of tax</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(22,444)</w:t>
            </w:r>
          </w:p>
        </w:tc>
        <w:tc>
          <w:tcPr>
            <w:tcW w:w="326" w:type="dxa"/>
            <w:tcBorders/>
            <w:vAlign w:val="center"/>
          </w:tcPr>
          <w:p>
            <w:pPr>
              <w:pStyle w:val="TableContents"/>
              <w:bidi w:val="0"/>
              <w:spacing w:before="0" w:after="1"/>
              <w:ind w:left="0" w:right="0" w:hanging="0"/>
              <w:jc w:val="right"/>
              <w:rPr/>
            </w:pPr>
            <w:r>
              <w:rPr/>
              <w:t>​</w:t>
            </w:r>
          </w:p>
        </w:tc>
        <w:tc>
          <w:tcPr>
            <w:tcW w:w="2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(25,632)</w:t>
            </w:r>
          </w:p>
        </w:tc>
      </w:tr>
      <w:tr>
        <w:trPr/>
        <w:tc>
          <w:tcPr>
            <w:tcW w:w="737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249,933</w:t>
            </w:r>
          </w:p>
        </w:tc>
        <w:tc>
          <w:tcPr>
            <w:tcW w:w="326" w:type="dxa"/>
            <w:tcBorders/>
            <w:shd w:fill="CCEEFF" w:val="clear"/>
            <w:vAlign w:val="center"/>
          </w:tcPr>
          <w:p>
            <w:pPr>
              <w:pStyle w:val="TableContents"/>
              <w:bidi w:val="0"/>
              <w:spacing w:before="0" w:after="1"/>
              <w:ind w:left="0" w:right="0" w:hanging="0"/>
              <w:jc w:val="righ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231,697</w:t>
            </w:r>
          </w:p>
        </w:tc>
      </w:tr>
      <w:tr>
        <w:trPr/>
        <w:tc>
          <w:tcPr>
            <w:tcW w:w="7373"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2,905,621</w:t>
            </w:r>
          </w:p>
        </w:tc>
        <w:tc>
          <w:tcPr>
            <w:tcW w:w="326" w:type="dxa"/>
            <w:tcBorders/>
            <w:vAlign w:val="center"/>
          </w:tcPr>
          <w:p>
            <w:pPr>
              <w:pStyle w:val="TableContents"/>
              <w:bidi w:val="0"/>
              <w:spacing w:before="0" w:after="1"/>
              <w:ind w:left="0" w:right="0" w:hanging="0"/>
              <w:jc w:val="right"/>
              <w:rPr/>
            </w:pPr>
            <w:r>
              <w:rPr/>
              <w:t>​</w:t>
            </w:r>
          </w:p>
        </w:tc>
        <w:tc>
          <w:tcPr>
            <w:tcW w:w="20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5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2,632,898</w:t>
            </w:r>
          </w:p>
        </w:tc>
      </w:tr>
    </w:tbl>
    <w:p>
      <w:pPr>
        <w:pStyle w:val="TextBody"/>
        <w:bidi w:val="0"/>
        <w:spacing w:before="0" w:after="200"/>
        <w:ind w:left="0" w:right="0" w:hanging="0"/>
        <w:jc w:val="left"/>
        <w:rPr>
          <w:caps w:val="false"/>
          <w:smallCaps w:val="false"/>
        </w:rPr>
      </w:pPr>
      <w:r>
        <w:rPr>
          <w:caps w:val="false"/>
          <w:smallCaps w:val="false"/>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See accompanying notes to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5" w:name="_d6534d46_5658_437b_8d4a_392e1af03758"/>
      <w:bookmarkEnd w:id="135"/>
      <w:r>
        <w:rPr>
          <w:rFonts w:ascii="Times New Roman;Times;serif" w:hAnsi="Times New Roman;Times;serif"/>
          <w:b/>
          <w:sz w:val="20"/>
        </w:rPr>
        <w:t>FS BANCORP, INC. AND SUBSIDIARY</w:t>
      </w:r>
    </w:p>
    <w:p>
      <w:pPr>
        <w:pStyle w:val="TextBody"/>
        <w:bidi w:val="0"/>
        <w:spacing w:before="0" w:after="0"/>
        <w:ind w:left="0" w:right="0" w:hanging="0"/>
        <w:jc w:val="center"/>
        <w:rPr>
          <w:rFonts w:ascii="Times New Roman;Times;serif" w:hAnsi="Times New Roman;Times;serif"/>
          <w:b/>
          <w:sz w:val="20"/>
        </w:rPr>
      </w:pPr>
      <w:bookmarkStart w:id="136" w:name="STATEMENTSOFINCOME_771962"/>
      <w:bookmarkEnd w:id="136"/>
      <w:r>
        <w:rPr>
          <w:rFonts w:ascii="Times New Roman;Times;serif" w:hAnsi="Times New Roman;Times;serif"/>
          <w:b/>
          <w:sz w:val="20"/>
        </w:rPr>
        <w:t>CONSOLIDATED STATEMENTS OF INCOME</w:t>
      </w:r>
    </w:p>
    <w:p>
      <w:pPr>
        <w:pStyle w:val="TextBody"/>
        <w:bidi w:val="0"/>
        <w:spacing w:before="0" w:after="120"/>
        <w:ind w:left="0" w:right="0" w:hanging="0"/>
        <w:jc w:val="center"/>
        <w:rPr>
          <w:rFonts w:ascii="Times New Roman;Times;serif" w:hAnsi="Times New Roman;Times;serif"/>
          <w:i/>
          <w:sz w:val="20"/>
        </w:rPr>
      </w:pPr>
      <w:r>
        <w:rPr>
          <w:rFonts w:ascii="Times New Roman;Times;serif" w:hAnsi="Times New Roman;Times;serif"/>
          <w:i/>
          <w:sz w:val="20"/>
        </w:rPr>
        <w:t>(Dollars in thousands, except per share amounts) (Unaudited)</w:t>
      </w:r>
    </w:p>
    <w:p>
      <w:pPr>
        <w:pStyle w:val="Normal"/>
        <w:bidi w:val="0"/>
        <w:spacing w:before="0" w:after="0"/>
        <w:jc w:val="left"/>
        <w:rPr>
          <w:sz w:val="4"/>
          <w:szCs w:val="4"/>
        </w:rPr>
      </w:pPr>
      <w:r>
        <w:rPr>
          <w:sz w:val="4"/>
          <w:szCs w:val="4"/>
        </w:rPr>
      </w:r>
      <w:bookmarkStart w:id="137" w:name="Tc_-cpAKwL2MkOY-tBaptOFWQ_39_11"/>
      <w:bookmarkStart w:id="138" w:name="Tc_o3mjFZO1S0uxFPyGsGvkbQ_39_8"/>
      <w:bookmarkStart w:id="139" w:name="Tc_Rrp4gGVSW0u0i5FjJduvwQ_39_5"/>
      <w:bookmarkStart w:id="140" w:name="Tc_WUoANaezDUS59AtL8pDtvQ_39_2"/>
      <w:bookmarkStart w:id="141" w:name="Tc_9DucSaZk2kuU7_BJ2yT_Mg_39_0"/>
      <w:bookmarkStart w:id="142" w:name="Tc_L1kjYwWHw0ieHtB2Z_27aA_38_11"/>
      <w:bookmarkStart w:id="143" w:name="Tc_VQnpXLcuTUW7kphx-FuONg_38_8"/>
      <w:bookmarkStart w:id="144" w:name="Tc_iZZlU2waDUqxjWQZ6SE3TQ_38_5"/>
      <w:bookmarkStart w:id="145" w:name="Tc_3itYhqUvtE2qdRLGDxZbEw_38_2"/>
      <w:bookmarkStart w:id="146" w:name="Tc_lIHk3RYmzU63WoWKCu0SyQ_38_0"/>
      <w:bookmarkStart w:id="147" w:name="Tc_0Esj_s9_W0-AkAskkPLSAQ_37_11"/>
      <w:bookmarkStart w:id="148" w:name="Tc_IM2OGYmDcEySuFUcncXhvA_37_8"/>
      <w:bookmarkStart w:id="149" w:name="Tc_CABRQSEhm02pl97OmCzOHQ_37_5"/>
      <w:bookmarkStart w:id="150" w:name="Tc_3t7Zhn1Bl0KFIfl1X_sdvg_37_2"/>
      <w:bookmarkStart w:id="151" w:name="Tc_dxxoewpDQUqp2YnlFLE51A_37_0"/>
      <w:bookmarkStart w:id="152" w:name="Tc_X0hLRvsiMka4Dogc7DVZhA_36_0"/>
      <w:bookmarkStart w:id="153" w:name="Tc_znrFCscofEud4C1GyfnT6Q_35_0"/>
      <w:bookmarkStart w:id="154" w:name="Tc_Wz2o-rJzSEe4xjc8ZphZnA_34_0"/>
      <w:bookmarkStart w:id="155" w:name="Tc_9hh9WIK-U0CSarUpVBlAjw_33_9"/>
      <w:bookmarkStart w:id="156" w:name="Tc_zOgkKwIcw0WRTigXA_8nrg_33_6"/>
      <w:bookmarkStart w:id="157" w:name="Tc_UGZ5l8y6k0STD57uyE2iCQ_33_0"/>
      <w:bookmarkStart w:id="158" w:name="Tc_0t33_F3x00WAG7QBiEurOQ_32_0"/>
      <w:bookmarkStart w:id="159" w:name="Tc_erSjnphhV0qiEFcxhDsmIA_31_12"/>
      <w:bookmarkStart w:id="160" w:name="Tc_tbM-hrMddUyqOAHidnRqog_31_6"/>
      <w:bookmarkStart w:id="161" w:name="Tc_cJIxhmvqmUKwfP8rYStoyg_31_0"/>
      <w:bookmarkStart w:id="162" w:name="Tc_-_stuzXd0kufq8SWTpJc3Q_30_0"/>
      <w:bookmarkStart w:id="163" w:name="Tc__U0hEil48EmqktKqU85IeA_29_0"/>
      <w:bookmarkStart w:id="164" w:name="Tc_FImQ9D_7y0OGzPzd9ytrgg_28_0"/>
      <w:bookmarkStart w:id="165" w:name="Tc_iAmnmeCu4Uarc-YZf56NlQ_27_0"/>
      <w:bookmarkStart w:id="166" w:name="Tc_Lpvb__mbzkWN1BqKT2F7Qw_26_0"/>
      <w:bookmarkStart w:id="167" w:name="Tc_UiI7oC_CX0usI7-ljzRHVg_25_0"/>
      <w:bookmarkStart w:id="168" w:name="Tc_6cgkS02VN0ix-uJ_ThOf3g_24_0"/>
      <w:bookmarkStart w:id="169" w:name="Tc_4ejTE-1wAka-ayTaZ-UNkA_23_0"/>
      <w:bookmarkStart w:id="170" w:name="Tc_2gsEbFXHJ0ym7slEv8XEkA_22_0"/>
      <w:bookmarkStart w:id="171" w:name="Tc_tT1Z3Jk8v0eJI7jVvFTDcQ_21_0"/>
      <w:bookmarkStart w:id="172" w:name="Tc_VDOmvZ42DEKer95ngfC-NA_20_0"/>
      <w:bookmarkStart w:id="173" w:name="Tc_z1mghUHeAkODegiUMLmkdQ_19_0"/>
      <w:bookmarkStart w:id="174" w:name="Tc_Bz8WoyiGp0auZuLfV0g9rg_18_0"/>
      <w:bookmarkStart w:id="175" w:name="Tc_WVhsg9JX1kGZim1nqw3wqw_17_0"/>
      <w:bookmarkStart w:id="176" w:name="Tc_s3LP9l2LmkaXCap2l_U_mw_16_0"/>
      <w:bookmarkStart w:id="177" w:name="Tc_Rv6sbwYTqUunI3EXg4bjuw_15_0"/>
      <w:bookmarkStart w:id="178" w:name="Tc_ejTFFhmB3UG52d0omVx76A_14_0"/>
      <w:bookmarkStart w:id="179" w:name="Tc_TWHgHQy7kEKlfhWBUjDFGw_13_0"/>
      <w:bookmarkStart w:id="180" w:name="Tc_APkmBb6Z9E2eRFeECARlbg_12_0"/>
      <w:bookmarkStart w:id="181" w:name="Tc_1iXhrihHw0WlbRoKah5-LA_11_0"/>
      <w:bookmarkStart w:id="182" w:name="Tc_EDdFisGEkEKgJHOIW42iwA_10_0"/>
      <w:bookmarkStart w:id="183" w:name="Tc_3eRi72g1Yk6DrZmT-8OIrg_9_0"/>
      <w:bookmarkStart w:id="184" w:name="Tc_509HQmRRt0S5g9ek36ppCQ_8_0"/>
      <w:bookmarkStart w:id="185" w:name="Tc_W4IUIFE6yEqxiPsx6syK8A_7_0"/>
      <w:bookmarkStart w:id="186" w:name="Tc_rkS4wrOuxE6SMZUwOBMODA_6_0"/>
      <w:bookmarkStart w:id="187" w:name="Tc_uXDm9TXrU0qDLVQmv0tVAw_5_11"/>
      <w:bookmarkStart w:id="188" w:name="Tc_tDViN3O2_E-CB_jd_kOJng_5_8"/>
      <w:bookmarkStart w:id="189" w:name="Tc_2FaewksGhUWIa2M1Z_SPeA_5_5"/>
      <w:bookmarkStart w:id="190" w:name="Tc_aBunEuSuOEGWAc9anaaWjg_5_2"/>
      <w:bookmarkStart w:id="191" w:name="Tc_CcrzVWLxwkKGhFVFuvcF2Q_5_0"/>
      <w:bookmarkStart w:id="192" w:name="Tc_xKHRidGGaUmi1FeIRWbAOQ_4_0"/>
      <w:bookmarkStart w:id="193" w:name="Tc_XNStFg6tGkS_07P9bLIdMw_3_11"/>
      <w:bookmarkStart w:id="194" w:name="Tc_UYRQljvgGE-q64Sp9WjLUg_3_8"/>
      <w:bookmarkStart w:id="195" w:name="Tc_IaDwh09cqEasAe2B5GCp2w_3_5"/>
      <w:bookmarkStart w:id="196" w:name="Tc_FNguA2Tusk67jrTM6N8I-g_3_2"/>
      <w:bookmarkStart w:id="197" w:name="Tc_puRIJPt830-Q7Tsu7ymTcQ_2_8"/>
      <w:bookmarkStart w:id="198" w:name="Tc_QE7lsweI6kGuqpaKfTnSFw_2_2"/>
      <w:bookmarkStart w:id="199" w:name="Tc_iAQpzxl5_ECYPT3HAP88MA_1_8"/>
      <w:bookmarkStart w:id="200" w:name="Tc_FxNaBPBNaUKrl9YjxV1J6w_1_2"/>
      <w:bookmarkStart w:id="201" w:name="_ce4736f3_785b_46e0_9e27_c211d69c8b9a"/>
      <w:bookmarkStart w:id="202" w:name="_7168dbdb_be23_4219_bbc5_5933b58750d0"/>
      <w:bookmarkStart w:id="203" w:name="Tc_-cpAKwL2MkOY-tBaptOFWQ_39_11"/>
      <w:bookmarkStart w:id="204" w:name="Tc_o3mjFZO1S0uxFPyGsGvkbQ_39_8"/>
      <w:bookmarkStart w:id="205" w:name="Tc_Rrp4gGVSW0u0i5FjJduvwQ_39_5"/>
      <w:bookmarkStart w:id="206" w:name="Tc_WUoANaezDUS59AtL8pDtvQ_39_2"/>
      <w:bookmarkStart w:id="207" w:name="Tc_9DucSaZk2kuU7_BJ2yT_Mg_39_0"/>
      <w:bookmarkStart w:id="208" w:name="Tc_L1kjYwWHw0ieHtB2Z_27aA_38_11"/>
      <w:bookmarkStart w:id="209" w:name="Tc_VQnpXLcuTUW7kphx-FuONg_38_8"/>
      <w:bookmarkStart w:id="210" w:name="Tc_iZZlU2waDUqxjWQZ6SE3TQ_38_5"/>
      <w:bookmarkStart w:id="211" w:name="Tc_3itYhqUvtE2qdRLGDxZbEw_38_2"/>
      <w:bookmarkStart w:id="212" w:name="Tc_lIHk3RYmzU63WoWKCu0SyQ_38_0"/>
      <w:bookmarkStart w:id="213" w:name="Tc_0Esj_s9_W0-AkAskkPLSAQ_37_11"/>
      <w:bookmarkStart w:id="214" w:name="Tc_IM2OGYmDcEySuFUcncXhvA_37_8"/>
      <w:bookmarkStart w:id="215" w:name="Tc_CABRQSEhm02pl97OmCzOHQ_37_5"/>
      <w:bookmarkStart w:id="216" w:name="Tc_3t7Zhn1Bl0KFIfl1X_sdvg_37_2"/>
      <w:bookmarkStart w:id="217" w:name="Tc_dxxoewpDQUqp2YnlFLE51A_37_0"/>
      <w:bookmarkStart w:id="218" w:name="Tc_X0hLRvsiMka4Dogc7DVZhA_36_0"/>
      <w:bookmarkStart w:id="219" w:name="Tc_znrFCscofEud4C1GyfnT6Q_35_0"/>
      <w:bookmarkStart w:id="220" w:name="Tc_Wz2o-rJzSEe4xjc8ZphZnA_34_0"/>
      <w:bookmarkStart w:id="221" w:name="Tc_9hh9WIK-U0CSarUpVBlAjw_33_9"/>
      <w:bookmarkStart w:id="222" w:name="Tc_zOgkKwIcw0WRTigXA_8nrg_33_6"/>
      <w:bookmarkStart w:id="223" w:name="Tc_UGZ5l8y6k0STD57uyE2iCQ_33_0"/>
      <w:bookmarkStart w:id="224" w:name="Tc_0t33_F3x00WAG7QBiEurOQ_32_0"/>
      <w:bookmarkStart w:id="225" w:name="Tc_erSjnphhV0qiEFcxhDsmIA_31_12"/>
      <w:bookmarkStart w:id="226" w:name="Tc_tbM-hrMddUyqOAHidnRqog_31_6"/>
      <w:bookmarkStart w:id="227" w:name="Tc_cJIxhmvqmUKwfP8rYStoyg_31_0"/>
      <w:bookmarkStart w:id="228" w:name="Tc_-_stuzXd0kufq8SWTpJc3Q_30_0"/>
      <w:bookmarkStart w:id="229" w:name="Tc__U0hEil48EmqktKqU85IeA_29_0"/>
      <w:bookmarkStart w:id="230" w:name="Tc_FImQ9D_7y0OGzPzd9ytrgg_28_0"/>
      <w:bookmarkStart w:id="231" w:name="Tc_iAmnmeCu4Uarc-YZf56NlQ_27_0"/>
      <w:bookmarkStart w:id="232" w:name="Tc_Lpvb__mbzkWN1BqKT2F7Qw_26_0"/>
      <w:bookmarkStart w:id="233" w:name="Tc_UiI7oC_CX0usI7-ljzRHVg_25_0"/>
      <w:bookmarkStart w:id="234" w:name="Tc_6cgkS02VN0ix-uJ_ThOf3g_24_0"/>
      <w:bookmarkStart w:id="235" w:name="Tc_4ejTE-1wAka-ayTaZ-UNkA_23_0"/>
      <w:bookmarkStart w:id="236" w:name="Tc_2gsEbFXHJ0ym7slEv8XEkA_22_0"/>
      <w:bookmarkStart w:id="237" w:name="Tc_tT1Z3Jk8v0eJI7jVvFTDcQ_21_0"/>
      <w:bookmarkStart w:id="238" w:name="Tc_VDOmvZ42DEKer95ngfC-NA_20_0"/>
      <w:bookmarkStart w:id="239" w:name="Tc_z1mghUHeAkODegiUMLmkdQ_19_0"/>
      <w:bookmarkStart w:id="240" w:name="Tc_Bz8WoyiGp0auZuLfV0g9rg_18_0"/>
      <w:bookmarkStart w:id="241" w:name="Tc_WVhsg9JX1kGZim1nqw3wqw_17_0"/>
      <w:bookmarkStart w:id="242" w:name="Tc_s3LP9l2LmkaXCap2l_U_mw_16_0"/>
      <w:bookmarkStart w:id="243" w:name="Tc_Rv6sbwYTqUunI3EXg4bjuw_15_0"/>
      <w:bookmarkStart w:id="244" w:name="Tc_ejTFFhmB3UG52d0omVx76A_14_0"/>
      <w:bookmarkStart w:id="245" w:name="Tc_TWHgHQy7kEKlfhWBUjDFGw_13_0"/>
      <w:bookmarkStart w:id="246" w:name="Tc_APkmBb6Z9E2eRFeECARlbg_12_0"/>
      <w:bookmarkStart w:id="247" w:name="Tc_1iXhrihHw0WlbRoKah5-LA_11_0"/>
      <w:bookmarkStart w:id="248" w:name="Tc_EDdFisGEkEKgJHOIW42iwA_10_0"/>
      <w:bookmarkStart w:id="249" w:name="Tc_3eRi72g1Yk6DrZmT-8OIrg_9_0"/>
      <w:bookmarkStart w:id="250" w:name="Tc_509HQmRRt0S5g9ek36ppCQ_8_0"/>
      <w:bookmarkStart w:id="251" w:name="Tc_W4IUIFE6yEqxiPsx6syK8A_7_0"/>
      <w:bookmarkStart w:id="252" w:name="Tc_rkS4wrOuxE6SMZUwOBMODA_6_0"/>
      <w:bookmarkStart w:id="253" w:name="Tc_uXDm9TXrU0qDLVQmv0tVAw_5_11"/>
      <w:bookmarkStart w:id="254" w:name="Tc_tDViN3O2_E-CB_jd_kOJng_5_8"/>
      <w:bookmarkStart w:id="255" w:name="Tc_2FaewksGhUWIa2M1Z_SPeA_5_5"/>
      <w:bookmarkStart w:id="256" w:name="Tc_aBunEuSuOEGWAc9anaaWjg_5_2"/>
      <w:bookmarkStart w:id="257" w:name="Tc_CcrzVWLxwkKGhFVFuvcF2Q_5_0"/>
      <w:bookmarkStart w:id="258" w:name="Tc_xKHRidGGaUmi1FeIRWbAOQ_4_0"/>
      <w:bookmarkStart w:id="259" w:name="Tc_XNStFg6tGkS_07P9bLIdMw_3_11"/>
      <w:bookmarkStart w:id="260" w:name="Tc_UYRQljvgGE-q64Sp9WjLUg_3_8"/>
      <w:bookmarkStart w:id="261" w:name="Tc_IaDwh09cqEasAe2B5GCp2w_3_5"/>
      <w:bookmarkStart w:id="262" w:name="Tc_FNguA2Tusk67jrTM6N8I-g_3_2"/>
      <w:bookmarkStart w:id="263" w:name="Tc_puRIJPt830-Q7Tsu7ymTcQ_2_8"/>
      <w:bookmarkStart w:id="264" w:name="Tc_QE7lsweI6kGuqpaKfTnSFw_2_2"/>
      <w:bookmarkStart w:id="265" w:name="Tc_iAQpzxl5_ECYPT3HAP88MA_1_8"/>
      <w:bookmarkStart w:id="266" w:name="Tc_FxNaBPBNaUKrl9YjxV1J6w_1_2"/>
      <w:bookmarkStart w:id="267" w:name="_ce4736f3_785b_46e0_9e27_c211d69c8b9a"/>
      <w:bookmarkStart w:id="268" w:name="_7168dbdb_be23_4219_bbc5_5933b58750d0"/>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W w:w="10205" w:type="dxa"/>
        <w:jc w:val="left"/>
        <w:tblInd w:w="0" w:type="dxa"/>
        <w:tblLayout w:type="fixed"/>
        <w:tblCellMar>
          <w:top w:w="0" w:type="dxa"/>
          <w:left w:w="0" w:type="dxa"/>
          <w:bottom w:w="0" w:type="dxa"/>
          <w:right w:w="0" w:type="dxa"/>
        </w:tblCellMar>
      </w:tblPr>
      <w:tblGrid>
        <w:gridCol w:w="5668"/>
        <w:gridCol w:w="326"/>
        <w:gridCol w:w="196"/>
        <w:gridCol w:w="601"/>
        <w:gridCol w:w="326"/>
        <w:gridCol w:w="196"/>
        <w:gridCol w:w="601"/>
        <w:gridCol w:w="326"/>
        <w:gridCol w:w="196"/>
        <w:gridCol w:w="601"/>
        <w:gridCol w:w="326"/>
        <w:gridCol w:w="196"/>
        <w:gridCol w:w="646"/>
      </w:tblGrid>
      <w:tr>
        <w:trPr/>
        <w:tc>
          <w:tcPr>
            <w:tcW w:w="5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599180" cy="175260"/>
                      <wp:effectExtent l="0" t="0" r="0" b="0"/>
                      <wp:wrapNone/>
                      <wp:docPr id="23" name="Frame23"/>
                      <a:graphic xmlns:a="http://schemas.openxmlformats.org/drawingml/2006/main">
                        <a:graphicData uri="http://schemas.microsoft.com/office/word/2010/wordprocessingShape">
                          <wps:wsp>
                            <wps:cNvSpPr txBox="1"/>
                            <wps:spPr>
                              <a:xfrm>
                                <a:off x="0" y="0"/>
                                <a:ext cx="3599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1635" cy="175260"/>
                      <wp:effectExtent l="0" t="0" r="0" b="0"/>
                      <wp:wrapNone/>
                      <wp:docPr id="26" name="Frame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81635" cy="175260"/>
                      <wp:effectExtent l="0" t="0" r="0" b="0"/>
                      <wp:wrapNone/>
                      <wp:docPr id="29" name="Frame2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24460" cy="175260"/>
                      <wp:effectExtent l="0" t="0" r="0" b="0"/>
                      <wp:wrapNone/>
                      <wp:docPr id="31" name="Frame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381635" cy="175260"/>
                      <wp:effectExtent l="0" t="0" r="0" b="0"/>
                      <wp:wrapNone/>
                      <wp:docPr id="32" name="Frame3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4460" cy="175260"/>
                      <wp:effectExtent l="0" t="0" r="0" b="0"/>
                      <wp:wrapNone/>
                      <wp:docPr id="34" name="Frame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0210" cy="175260"/>
                      <wp:effectExtent l="0" t="0" r="0" b="0"/>
                      <wp:wrapNone/>
                      <wp:docPr id="35" name="Frame3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6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920" w:type="dxa"/>
            <w:gridSpan w:val="5"/>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xml:space="preserve">Three Months Ended </w:t>
            </w:r>
          </w:p>
        </w:tc>
        <w:tc>
          <w:tcPr>
            <w:tcW w:w="326" w:type="dxa"/>
            <w:tcBorders/>
            <w:vAlign w:val="center"/>
          </w:tcPr>
          <w:p>
            <w:pPr>
              <w:pStyle w:val="TableContents"/>
              <w:bidi w:val="0"/>
              <w:spacing w:before="0" w:after="1"/>
              <w:ind w:left="0" w:right="0" w:hanging="0"/>
              <w:jc w:val="left"/>
              <w:rPr/>
            </w:pPr>
            <w:r>
              <w:rPr/>
              <w:t>    </w:t>
            </w:r>
          </w:p>
        </w:tc>
        <w:tc>
          <w:tcPr>
            <w:tcW w:w="1965" w:type="dxa"/>
            <w:gridSpan w:val="5"/>
            <w:tcBorders/>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 xml:space="preserve">Six Months Ended </w:t>
            </w:r>
          </w:p>
        </w:tc>
      </w:tr>
      <w:tr>
        <w:trPr/>
        <w:tc>
          <w:tcPr>
            <w:tcW w:w="56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June 30, </w:t>
            </w:r>
          </w:p>
        </w:tc>
        <w:tc>
          <w:tcPr>
            <w:tcW w:w="326" w:type="dxa"/>
            <w:tcBorders/>
            <w:vAlign w:val="center"/>
          </w:tcPr>
          <w:p>
            <w:pPr>
              <w:pStyle w:val="TableContents"/>
              <w:bidi w:val="0"/>
              <w:spacing w:before="0" w:after="1"/>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June 30, </w:t>
            </w:r>
          </w:p>
        </w:tc>
      </w:tr>
      <w:tr>
        <w:trPr/>
        <w:tc>
          <w:tcPr>
            <w:tcW w:w="56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2023</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2022</w:t>
            </w:r>
          </w:p>
        </w:tc>
        <w:tc>
          <w:tcPr>
            <w:tcW w:w="326" w:type="dxa"/>
            <w:tcBorders/>
            <w:vAlign w:val="center"/>
          </w:tcPr>
          <w:p>
            <w:pPr>
              <w:pStyle w:val="TableContents"/>
              <w:bidi w:val="0"/>
              <w:spacing w:before="0"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2023</w:t>
            </w:r>
          </w:p>
        </w:tc>
        <w:tc>
          <w:tcPr>
            <w:tcW w:w="326" w:type="dxa"/>
            <w:tcBorders/>
            <w:vAlign w:val="center"/>
          </w:tcPr>
          <w:p>
            <w:pPr>
              <w:pStyle w:val="TableContents"/>
              <w:bidi w:val="0"/>
              <w:spacing w:before="0" w:after="1"/>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8"/>
              </w:rPr>
            </w:pPr>
            <w:r>
              <w:rPr>
                <w:rFonts w:ascii="Times New Roman;Times;serif" w:hAnsi="Times New Roman;Times;serif"/>
                <w:sz w:val="18"/>
              </w:rPr>
              <w:t>2022</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797" w:type="dxa"/>
            <w:gridSpan w:val="2"/>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7" w:type="dxa"/>
            <w:gridSpan w:val="2"/>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97" w:type="dxa"/>
            <w:gridSpan w:val="2"/>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2" w:type="dxa"/>
            <w:gridSpan w:val="2"/>
            <w:tcBorders/>
            <w:shd w:fill="CCEEFF" w:val="clear"/>
            <w:vAlign w:val="center"/>
          </w:tcPr>
          <w:p>
            <w:pPr>
              <w:pStyle w:val="TableContents"/>
              <w:bidi w:val="0"/>
              <w:spacing w:before="0" w:after="1"/>
              <w:ind w:left="0" w:right="0" w:hanging="0"/>
              <w:jc w:val="center"/>
              <w:rPr/>
            </w:pPr>
            <w:r>
              <w:rPr/>
              <w:t>​</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receivable, including fees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25,275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74,208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48,322</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dividends on investment securities, cash and cash equivalents, and certificates of deposit at other financial institutions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5,271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3,249</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and dividend income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40,867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26,945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79,479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51,571</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7,610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14,234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2,842</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1,219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Subordinated notes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4,120</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31,552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24,729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62,214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47,451</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PROVISION FOR CREDIT LOSSES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2,914</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NET INTEREST INCOME AFTER PROVISION FOR CREDIT LOSSES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30,836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22,858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59,390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44,537</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 charges and fee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5,470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3,794</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sale of 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1,947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5,923</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Earnings on cash surrender value of BOLI</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noninterest income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4,355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10,052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10,231</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13,513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11,736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27,377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23,708</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3,643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6,335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4,844</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Occupancy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1,258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3,082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2,481</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Data processing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2,815</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1,274</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and board fees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1,756</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Deposit Insurance Corporation (“FDIC”) insurance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342</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Marketing and advertising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432</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cost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core deposit intangible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345</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Recovery of servicing rights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24,204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18,929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47,728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37,996</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BEFORE PROVISION FOR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11,465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8,284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21,714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16,772</w:t>
            </w:r>
          </w:p>
        </w:tc>
      </w:tr>
      <w:tr>
        <w:trPr/>
        <w:tc>
          <w:tcPr>
            <w:tcW w:w="5668"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3,203</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9,116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17,328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13,569</w:t>
            </w:r>
          </w:p>
        </w:tc>
      </w:tr>
      <w:tr>
        <w:trPr/>
        <w:tc>
          <w:tcPr>
            <w:tcW w:w="5668"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Basic earnings per share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1.68</w:t>
            </w:r>
          </w:p>
        </w:tc>
      </w:tr>
      <w:tr>
        <w:trPr/>
        <w:tc>
          <w:tcPr>
            <w:tcW w:w="56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Diluted earnings per share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0.83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4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1.66</w:t>
            </w:r>
          </w:p>
        </w:tc>
      </w:tr>
    </w:tbl>
    <w:p>
      <w:pPr>
        <w:pStyle w:val="TextBody"/>
        <w:bidi w:val="0"/>
        <w:spacing w:before="0" w:after="200"/>
        <w:ind w:left="0" w:right="0" w:hanging="0"/>
        <w:jc w:val="left"/>
        <w:rPr>
          <w:caps w:val="false"/>
          <w:smallCaps w:val="false"/>
        </w:rPr>
      </w:pPr>
      <w:r>
        <w:rPr>
          <w:caps w:val="false"/>
          <w:smallCaps w:val="false"/>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See accompanying notes to these consolidated financial statements.</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9" w:name="_6fe2297b_dbf8_46ca_a4aa_ec28b0ff5fcb"/>
      <w:bookmarkEnd w:id="269"/>
      <w:r>
        <w:rPr>
          <w:rFonts w:ascii="Times New Roman;Times;serif" w:hAnsi="Times New Roman;Times;serif"/>
          <w:b/>
          <w:sz w:val="20"/>
        </w:rPr>
        <w:t>FS BANCORP, INC. AND SUBSIDIARY</w:t>
      </w:r>
    </w:p>
    <w:p>
      <w:pPr>
        <w:pStyle w:val="TextBody"/>
        <w:bidi w:val="0"/>
        <w:spacing w:before="0" w:after="0"/>
        <w:ind w:left="0" w:right="0" w:hanging="0"/>
        <w:jc w:val="center"/>
        <w:rPr>
          <w:rFonts w:ascii="Times New Roman;Times;serif" w:hAnsi="Times New Roman;Times;serif"/>
          <w:b/>
          <w:sz w:val="20"/>
        </w:rPr>
      </w:pPr>
      <w:bookmarkStart w:id="270" w:name="COMPREHENSIVEINCOME_986400"/>
      <w:bookmarkEnd w:id="270"/>
      <w:r>
        <w:rPr>
          <w:rFonts w:ascii="Times New Roman;Times;serif" w:hAnsi="Times New Roman;Times;serif"/>
          <w:b/>
          <w:sz w:val="20"/>
        </w:rPr>
        <w:t>CONSOLIDATED STATEMENTS OF COMPREHENSIVE INCOME (LOSS)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(In thousands</w:t>
      </w:r>
      <w:r>
        <w:rPr>
          <w:rFonts w:ascii="Times New Roman;Times;serif" w:hAnsi="Times New Roman;Times;serif"/>
          <w:sz w:val="20"/>
        </w:rPr>
        <w:t xml:space="preserve">) </w:t>
      </w:r>
      <w:r>
        <w:rPr>
          <w:rFonts w:ascii="Times New Roman;Times;serif" w:hAnsi="Times New Roman;Times;serif"/>
          <w:i/>
          <w:sz w:val="20"/>
        </w:rPr>
        <w:t>(Unaudited)</w:t>
      </w:r>
    </w:p>
    <w:p>
      <w:pPr>
        <w:pStyle w:val="Normal"/>
        <w:bidi w:val="0"/>
        <w:spacing w:before="0" w:after="0"/>
        <w:jc w:val="left"/>
        <w:rPr>
          <w:sz w:val="4"/>
          <w:szCs w:val="4"/>
        </w:rPr>
      </w:pPr>
      <w:r>
        <w:rPr>
          <w:sz w:val="4"/>
          <w:szCs w:val="4"/>
        </w:rPr>
      </w:r>
      <w:bookmarkStart w:id="271" w:name="Tc_p3KgH2YE30aSVvzzZkOAEg_15_11"/>
      <w:bookmarkStart w:id="272" w:name="Tc_COT627CWDEmBRJbohh1Ntw_15_8"/>
      <w:bookmarkStart w:id="273" w:name="Tc_n5jwbtosWEWapDxjPTx9EQ_15_5"/>
      <w:bookmarkStart w:id="274" w:name="Tc_zYNpVQF1uUWMlQ05syHK-w_15_2"/>
      <w:bookmarkStart w:id="275" w:name="Tc_IHYOy6vCEEihj-q-OJQQ0Q_15_0"/>
      <w:bookmarkStart w:id="276" w:name="Tc_j6BmAg9NlEi3kjNKvjUC5w_14_0"/>
      <w:bookmarkStart w:id="277" w:name="Tc_aeG_5omkn060Dx0xe8Y4Aw_13_0"/>
      <w:bookmarkStart w:id="278" w:name="Tc_Qdz9Z-WLWEGZncZWUwnsXw_12_0"/>
      <w:bookmarkStart w:id="279" w:name="Tc_k-0_yeioIUKiyggmVs7UoA_11_0"/>
      <w:bookmarkStart w:id="280" w:name="Tc_ZsFQKvhxUUKb9ag1JzsHwQ_10_0"/>
      <w:bookmarkStart w:id="281" w:name="Tc_WrsHLTJIV06-EXTzudaP5w_9_0"/>
      <w:bookmarkStart w:id="282" w:name="Tc_9Nq52cKpG0eH1O_jxk0HZg_8_0"/>
      <w:bookmarkStart w:id="283" w:name="Tc_QSnntlrOnkmKtGEKX59iwQ_7_0"/>
      <w:bookmarkStart w:id="284" w:name="Tc_6ZNh6q_RCkyH1GvAxK8v6g_6_0"/>
      <w:bookmarkStart w:id="285" w:name="Tc_HVfyDOIxd0OtbAEqc_U1Mg_5_0"/>
      <w:bookmarkStart w:id="286" w:name="Tc_yr0cA6axaE2IZSo78XL7Ow_4_11"/>
      <w:bookmarkStart w:id="287" w:name="Tc_rz3Dp_3Pm0ej8o-3mZCdAQ_4_8"/>
      <w:bookmarkStart w:id="288" w:name="Tc_HrWIw3iPpk-DhKf8TmhYzQ_4_5"/>
      <w:bookmarkStart w:id="289" w:name="Tc_iBda1zzcgUaqwFfPIc9UDA_4_2"/>
      <w:bookmarkStart w:id="290" w:name="Tc_MPDPVgoe8UCwtE1CqkfGqA_4_0"/>
      <w:bookmarkStart w:id="291" w:name="Tc_g7M8HdxZx0CWv3XZBwsyvg_3_11"/>
      <w:bookmarkStart w:id="292" w:name="Tc_5GuW4ZZE8ESDBbV71bKLpA_3_8"/>
      <w:bookmarkStart w:id="293" w:name="Tc_6VFWT34Vvk26pnFENBBypw_3_5"/>
      <w:bookmarkStart w:id="294" w:name="Tc_M-P-Dc6RSk6tgF55qbJrWw_3_2"/>
      <w:bookmarkStart w:id="295" w:name="Tc_YoHpq2r2Lkywbru-3zb5Pw_2_8"/>
      <w:bookmarkStart w:id="296" w:name="Tc_yz9F7C9GoEyZ1kTI362L2w_2_2"/>
      <w:bookmarkStart w:id="297" w:name="Tc_2p0KbDYEoEaeJu0zXcR0EQ_1_8"/>
      <w:bookmarkStart w:id="298" w:name="Tc_Ba6PUBI2V0G3UEJeaEcuoQ_1_2"/>
      <w:bookmarkStart w:id="299" w:name="_9bb778e3_2493_4c17_9bc5_a994c2db4c25"/>
      <w:bookmarkStart w:id="300" w:name="Tc_p3KgH2YE30aSVvzzZkOAEg_15_11"/>
      <w:bookmarkStart w:id="301" w:name="Tc_COT627CWDEmBRJbohh1Ntw_15_8"/>
      <w:bookmarkStart w:id="302" w:name="Tc_n5jwbtosWEWapDxjPTx9EQ_15_5"/>
      <w:bookmarkStart w:id="303" w:name="Tc_zYNpVQF1uUWMlQ05syHK-w_15_2"/>
      <w:bookmarkStart w:id="304" w:name="Tc_IHYOy6vCEEihj-q-OJQQ0Q_15_0"/>
      <w:bookmarkStart w:id="305" w:name="Tc_j6BmAg9NlEi3kjNKvjUC5w_14_0"/>
      <w:bookmarkStart w:id="306" w:name="Tc_aeG_5omkn060Dx0xe8Y4Aw_13_0"/>
      <w:bookmarkStart w:id="307" w:name="Tc_Qdz9Z-WLWEGZncZWUwnsXw_12_0"/>
      <w:bookmarkStart w:id="308" w:name="Tc_k-0_yeioIUKiyggmVs7UoA_11_0"/>
      <w:bookmarkStart w:id="309" w:name="Tc_ZsFQKvhxUUKb9ag1JzsHwQ_10_0"/>
      <w:bookmarkStart w:id="310" w:name="Tc_WrsHLTJIV06-EXTzudaP5w_9_0"/>
      <w:bookmarkStart w:id="311" w:name="Tc_9Nq52cKpG0eH1O_jxk0HZg_8_0"/>
      <w:bookmarkStart w:id="312" w:name="Tc_QSnntlrOnkmKtGEKX59iwQ_7_0"/>
      <w:bookmarkStart w:id="313" w:name="Tc_6ZNh6q_RCkyH1GvAxK8v6g_6_0"/>
      <w:bookmarkStart w:id="314" w:name="Tc_HVfyDOIxd0OtbAEqc_U1Mg_5_0"/>
      <w:bookmarkStart w:id="315" w:name="Tc_yr0cA6axaE2IZSo78XL7Ow_4_11"/>
      <w:bookmarkStart w:id="316" w:name="Tc_rz3Dp_3Pm0ej8o-3mZCdAQ_4_8"/>
      <w:bookmarkStart w:id="317" w:name="Tc_HrWIw3iPpk-DhKf8TmhYzQ_4_5"/>
      <w:bookmarkStart w:id="318" w:name="Tc_iBda1zzcgUaqwFfPIc9UDA_4_2"/>
      <w:bookmarkStart w:id="319" w:name="Tc_MPDPVgoe8UCwtE1CqkfGqA_4_0"/>
      <w:bookmarkStart w:id="320" w:name="Tc_g7M8HdxZx0CWv3XZBwsyvg_3_11"/>
      <w:bookmarkStart w:id="321" w:name="Tc_5GuW4ZZE8ESDBbV71bKLpA_3_8"/>
      <w:bookmarkStart w:id="322" w:name="Tc_6VFWT34Vvk26pnFENBBypw_3_5"/>
      <w:bookmarkStart w:id="323" w:name="Tc_M-P-Dc6RSk6tgF55qbJrWw_3_2"/>
      <w:bookmarkStart w:id="324" w:name="Tc_YoHpq2r2Lkywbru-3zb5Pw_2_8"/>
      <w:bookmarkStart w:id="325" w:name="Tc_yz9F7C9GoEyZ1kTI362L2w_2_2"/>
      <w:bookmarkStart w:id="326" w:name="Tc_2p0KbDYEoEaeJu0zXcR0EQ_1_8"/>
      <w:bookmarkStart w:id="327" w:name="Tc_Ba6PUBI2V0G3UEJeaEcuoQ_1_2"/>
      <w:bookmarkStart w:id="328" w:name="_9bb778e3_2493_4c17_9bc5_a994c2db4c25"/>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tbl>
      <w:tblPr>
        <w:tblW w:w="10205" w:type="dxa"/>
        <w:jc w:val="left"/>
        <w:tblInd w:w="0" w:type="dxa"/>
        <w:tblLayout w:type="fixed"/>
        <w:tblCellMar>
          <w:top w:w="0" w:type="dxa"/>
          <w:left w:w="0" w:type="dxa"/>
          <w:bottom w:w="0" w:type="dxa"/>
          <w:right w:w="0" w:type="dxa"/>
        </w:tblCellMar>
      </w:tblPr>
      <w:tblGrid>
        <w:gridCol w:w="5512"/>
        <w:gridCol w:w="326"/>
        <w:gridCol w:w="211"/>
        <w:gridCol w:w="678"/>
        <w:gridCol w:w="109"/>
        <w:gridCol w:w="211"/>
        <w:gridCol w:w="783"/>
        <w:gridCol w:w="326"/>
        <w:gridCol w:w="211"/>
        <w:gridCol w:w="687"/>
        <w:gridCol w:w="109"/>
        <w:gridCol w:w="211"/>
        <w:gridCol w:w="831"/>
      </w:tblGrid>
      <w:tr>
        <w:trPr/>
        <w:tc>
          <w:tcPr>
            <w:tcW w:w="5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500120" cy="175260"/>
                      <wp:effectExtent l="0" t="0" r="0" b="0"/>
                      <wp:wrapNone/>
                      <wp:docPr id="36" name="Frame36"/>
                      <a:graphic xmlns:a="http://schemas.openxmlformats.org/drawingml/2006/main">
                        <a:graphicData uri="http://schemas.microsoft.com/office/word/2010/wordprocessingShape">
                          <wps:wsp>
                            <wps:cNvSpPr txBox="1"/>
                            <wps:spPr>
                              <a:xfrm>
                                <a:off x="0" y="0"/>
                                <a:ext cx="3500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0530" cy="175260"/>
                      <wp:effectExtent l="0" t="0" r="0" b="0"/>
                      <wp:wrapNone/>
                      <wp:docPr id="39" name="Frame39"/>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9215" cy="175260"/>
                      <wp:effectExtent l="0" t="0" r="0" b="0"/>
                      <wp:wrapNone/>
                      <wp:docPr id="40" name="Frame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41" name="Frame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97205" cy="175260"/>
                      <wp:effectExtent l="0" t="0" r="0" b="0"/>
                      <wp:wrapNone/>
                      <wp:docPr id="42" name="Frame42"/>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36245" cy="175260"/>
                      <wp:effectExtent l="0" t="0" r="0" b="0"/>
                      <wp:wrapNone/>
                      <wp:docPr id="45" name="Frame45"/>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27685" cy="175260"/>
                      <wp:effectExtent l="0" t="0" r="0" b="0"/>
                      <wp:wrapNone/>
                      <wp:docPr id="48" name="Frame48"/>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5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992"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c>
          <w:tcPr>
            <w:tcW w:w="326" w:type="dxa"/>
            <w:tcBorders/>
            <w:vAlign w:val="center"/>
          </w:tcPr>
          <w:p>
            <w:pPr>
              <w:pStyle w:val="TableContents"/>
              <w:bidi w:val="0"/>
              <w:spacing w:before="0" w:after="1"/>
              <w:ind w:left="0" w:right="0" w:hanging="0"/>
              <w:jc w:val="center"/>
              <w:rPr/>
            </w:pPr>
            <w:r>
              <w:rPr/>
              <w:t>    </w:t>
            </w:r>
          </w:p>
        </w:tc>
        <w:tc>
          <w:tcPr>
            <w:tcW w:w="2049"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Six Months Ended </w:t>
            </w:r>
          </w:p>
        </w:tc>
      </w:tr>
      <w:tr>
        <w:trPr/>
        <w:tc>
          <w:tcPr>
            <w:tcW w:w="55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1"/>
              <w:ind w:left="0" w:right="0" w:hanging="0"/>
              <w:jc w:val="center"/>
              <w:rPr/>
            </w:pPr>
            <w:r>
              <w:rPr/>
              <w:t>​</w:t>
            </w:r>
          </w:p>
        </w:tc>
        <w:tc>
          <w:tcPr>
            <w:tcW w:w="20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55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109" w:type="dxa"/>
            <w:tcBorders/>
            <w:vAlign w:val="center"/>
          </w:tcPr>
          <w:p>
            <w:pPr>
              <w:pStyle w:val="TableContents"/>
              <w:bidi w:val="0"/>
              <w:spacing w:before="0" w:after="1"/>
              <w:ind w:left="0" w:right="0" w:hanging="0"/>
              <w:jc w:val="center"/>
              <w:rPr/>
            </w:pPr>
            <w:r>
              <w:rPr/>
              <w:t>​</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center"/>
              <w:rPr/>
            </w:pPr>
            <w:r>
              <w:rPr/>
              <w:t>​</w:t>
            </w:r>
          </w:p>
        </w:tc>
        <w:tc>
          <w:tcPr>
            <w:tcW w:w="8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109" w:type="dxa"/>
            <w:tcBorders/>
            <w:vAlign w:val="center"/>
          </w:tcPr>
          <w:p>
            <w:pPr>
              <w:pStyle w:val="TableContents"/>
              <w:bidi w:val="0"/>
              <w:spacing w:before="0" w:after="1"/>
              <w:ind w:left="0" w:right="0" w:hanging="0"/>
              <w:jc w:val="center"/>
              <w:rPr/>
            </w:pPr>
            <w:r>
              <w:rPr/>
              <w:t>​</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551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13,569</w:t>
            </w:r>
          </w:p>
        </w:tc>
      </w:tr>
      <w:tr>
        <w:trPr/>
        <w:tc>
          <w:tcPr>
            <w:tcW w:w="551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pPr>
            <w:r>
              <w:rPr/>
              <w:t>  </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right"/>
              <w:rPr/>
            </w:pPr>
            <w:r>
              <w:rPr/>
              <w:t>  </w:t>
            </w:r>
          </w:p>
        </w:tc>
      </w:tr>
      <w:tr>
        <w:trPr/>
        <w:tc>
          <w:tcPr>
            <w:tcW w:w="5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available-for-sale: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pPr>
            <w:r>
              <w:rPr/>
              <w:t>  </w:t>
            </w:r>
          </w:p>
        </w:tc>
      </w:tr>
      <w:tr>
        <w:trPr/>
        <w:tc>
          <w:tcPr>
            <w:tcW w:w="5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gain during period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(3,715)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(11,506)</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(32,479)</w:t>
            </w:r>
          </w:p>
        </w:tc>
      </w:tr>
      <w:tr>
        <w:trPr/>
        <w:tc>
          <w:tcPr>
            <w:tcW w:w="5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(provision) related to unrealized holding (loss) gain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6,984</w:t>
            </w:r>
          </w:p>
        </w:tc>
      </w:tr>
      <w:tr>
        <w:trPr/>
        <w:tc>
          <w:tcPr>
            <w:tcW w:w="5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Derivative financial instruments: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pPr>
            <w:r>
              <w:rPr/>
              <w:t>​</w:t>
            </w:r>
          </w:p>
        </w:tc>
      </w:tr>
      <w:tr>
        <w:trPr/>
        <w:tc>
          <w:tcPr>
            <w:tcW w:w="5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derivative gain during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4,544</w:t>
            </w:r>
          </w:p>
        </w:tc>
      </w:tr>
      <w:tr>
        <w:trPr/>
        <w:tc>
          <w:tcPr>
            <w:tcW w:w="5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related to unrealized derivative gain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6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8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(977)</w:t>
            </w:r>
          </w:p>
        </w:tc>
      </w:tr>
      <w:tr>
        <w:trPr/>
        <w:tc>
          <w:tcPr>
            <w:tcW w:w="55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adjustment for realized (gain) loss, net included in 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5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provision (benefit) related to reclassification,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51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(7,726)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3,188</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(21,892)</w:t>
            </w:r>
          </w:p>
        </w:tc>
      </w:tr>
      <w:tr>
        <w:trPr/>
        <w:tc>
          <w:tcPr>
            <w:tcW w:w="551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INCOME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20,516</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(8,323)</w:t>
            </w:r>
          </w:p>
        </w:tc>
      </w:tr>
    </w:tbl>
    <w:p>
      <w:pPr>
        <w:pStyle w:val="TextBody"/>
        <w:bidi w:val="0"/>
        <w:spacing w:before="240" w:after="200"/>
        <w:ind w:left="0" w:right="0" w:hanging="0"/>
        <w:jc w:val="both"/>
        <w:rPr>
          <w:rFonts w:ascii="Times New Roman;Times;serif" w:hAnsi="Times New Roman;Times;serif"/>
          <w:sz w:val="20"/>
        </w:rPr>
      </w:pPr>
      <w:r>
        <w:rPr>
          <w:rFonts w:ascii="Times New Roman;Times;serif" w:hAnsi="Times New Roman;Times;serif"/>
          <w:i/>
          <w:sz w:val="20"/>
        </w:rPr>
        <w:t>See accompanying notes to these consolidated financial statements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29" w:name="_16d8c3bf_c2a1_4590_b4f8_07c23c8d9967"/>
      <w:bookmarkEnd w:id="329"/>
      <w:r>
        <w:rPr>
          <w:rFonts w:ascii="Times New Roman;Times;serif" w:hAnsi="Times New Roman;Times;serif"/>
          <w:b/>
          <w:sz w:val="20"/>
        </w:rPr>
        <w:t>FS BANCORP, INC. AND SUBSIDIARY</w:t>
      </w:r>
    </w:p>
    <w:p>
      <w:pPr>
        <w:pStyle w:val="TextBody"/>
        <w:bidi w:val="0"/>
        <w:spacing w:before="0" w:after="0"/>
        <w:ind w:left="0" w:right="0" w:hanging="0"/>
        <w:jc w:val="center"/>
        <w:rPr>
          <w:rFonts w:ascii="Times New Roman;Times;serif" w:hAnsi="Times New Roman;Times;serif"/>
          <w:b/>
          <w:sz w:val="20"/>
        </w:rPr>
      </w:pPr>
      <w:bookmarkStart w:id="330" w:name="EQUITY_177924"/>
      <w:bookmarkEnd w:id="330"/>
      <w:r>
        <w:rPr>
          <w:rFonts w:ascii="Times New Roman;Times;serif" w:hAnsi="Times New Roman;Times;serif"/>
          <w:b/>
          <w:sz w:val="20"/>
        </w:rPr>
        <w:t>CONSOLIDATED STATEMENTS OF CHANGES IN STOCKHOLDERS’ EQUITY</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(Dollars in thousands, except share amounts) (Unaudited)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Three Months Ended June 30, 2022 and 2023</w:t>
      </w:r>
    </w:p>
    <w:p>
      <w:pPr>
        <w:pStyle w:val="Normal"/>
        <w:bidi w:val="0"/>
        <w:spacing w:before="0" w:after="0"/>
        <w:jc w:val="left"/>
        <w:rPr>
          <w:sz w:val="4"/>
          <w:szCs w:val="4"/>
        </w:rPr>
      </w:pPr>
      <w:r>
        <w:rPr>
          <w:sz w:val="4"/>
          <w:szCs w:val="4"/>
        </w:rPr>
      </w:r>
      <w:bookmarkStart w:id="331" w:name="Tc_ZwUQUdHFuk66ZjSvkuCX1g_22_16"/>
      <w:bookmarkStart w:id="332" w:name="Tc_rMNgKMGp4E6h7pd5Bgs7PA_22_13"/>
      <w:bookmarkStart w:id="333" w:name="Tc_7xM-Hc-nv0e-VOKYRuQ8gg_22_10"/>
      <w:bookmarkStart w:id="334" w:name="Tc_Q3fJGChvokOUmh2mfzh7mA_22_7"/>
      <w:bookmarkStart w:id="335" w:name="Tc_ZmJFCgMWDkSYkK46yyxWhA_22_4"/>
      <w:bookmarkStart w:id="336" w:name="Tc_35IaB3M6yU-A8tQ0J-yczA_22_0"/>
      <w:bookmarkStart w:id="337" w:name="Tc_LjNqU0dIpE2LKHM3BZkc1A_21_16"/>
      <w:bookmarkStart w:id="338" w:name="Tc_nFz5kTgoQEKHu6YbYDK3QQ_21_11"/>
      <w:bookmarkStart w:id="339" w:name="Tc_-g3HfiElY0GRm0jpCkiSyA_21_8"/>
      <w:bookmarkStart w:id="340" w:name="Tc_uOXYBdjNXUiHEkNJEk60aA_21_5"/>
      <w:bookmarkStart w:id="341" w:name="Tc_GIoh7TG1BkmQs2E9oAYV2Q_21_4"/>
      <w:bookmarkStart w:id="342" w:name="Tc_wdZ0nt2Ta0e3b1m6B5YW-A_21_2"/>
      <w:bookmarkStart w:id="343" w:name="Tc_UnHSlaGMc0q_vaHG_C6zvw_21_0"/>
      <w:bookmarkStart w:id="344" w:name="Tc_JITyRdh_s0aqOLiz615B0w_20_16"/>
      <w:bookmarkStart w:id="345" w:name="Tc_OEWrxCiKpEuK5GVWdBwsIw_20_14"/>
      <w:bookmarkStart w:id="346" w:name="Tc_vy4O54rYPkq-Xf6yMamyBg_20_11"/>
      <w:bookmarkStart w:id="347" w:name="Tc_PUOa1OVGcEiofOURwsm8Yw_20_5"/>
      <w:bookmarkStart w:id="348" w:name="Tc_-xfnAjFcGEqE_knKvNj_gw_20_4"/>
      <w:bookmarkStart w:id="349" w:name="Tc_5ErSr63yxU6aMwF4aCx43g_20_0"/>
      <w:bookmarkStart w:id="350" w:name="Tc_HguMDb-iJkqY8I-O9PPqgA_19_16"/>
      <w:bookmarkStart w:id="351" w:name="Tc_ZsodJYFMVk257iSCJhp6wg_19_14"/>
      <w:bookmarkStart w:id="352" w:name="Tc_rYTqlnmWzEmR8GzXfqEl8Q_19_11"/>
      <w:bookmarkStart w:id="353" w:name="Tc_a2bpvgaSwE-TqaWIgvYLUw_19_5"/>
      <w:bookmarkStart w:id="354" w:name="Tc_JoaUfDkyR0q2IUHgP_CB1A_19_4"/>
      <w:bookmarkStart w:id="355" w:name="Tc_IeSNK5QsEEycFvGMCkuKWw_19_0"/>
      <w:bookmarkStart w:id="356" w:name="Tc_8UxKqsiteEa3In8f6kG6SQ_18_16"/>
      <w:bookmarkStart w:id="357" w:name="Tc_nlnrEPi_OkOgk7xtIC3crA_18_14"/>
      <w:bookmarkStart w:id="358" w:name="Tc_1ehVTlFplECz7s82Mp68ZA_18_11"/>
      <w:bookmarkStart w:id="359" w:name="Tc_f0evSZvexU2j-JOO3Wkx4w_18_5"/>
      <w:bookmarkStart w:id="360" w:name="Tc_ds2LQ7i2jE-CHbDYmOq7QA_18_4"/>
      <w:bookmarkStart w:id="361" w:name="Tc_jvKpuQALDkq5oKFlay1fYA_18_2"/>
      <w:bookmarkStart w:id="362" w:name="Tc_OSed2u_JZEGTCS381EE4Bw_18_0"/>
      <w:bookmarkStart w:id="363" w:name="Tc_Szmvq5as0US9_2UOTyc7EA_17_16"/>
      <w:bookmarkStart w:id="364" w:name="Tc_sp3bbYD4D0ujlMV3j5qvHQ_17_14"/>
      <w:bookmarkStart w:id="365" w:name="Tc_-xok1PQCvUaPr7Ge-rhmzg_17_8"/>
      <w:bookmarkStart w:id="366" w:name="Tc_2gQbZXoJS0iQio43_iw7Cw_17_5"/>
      <w:bookmarkStart w:id="367" w:name="Tc_KcUBbB1Vkka0dXAVsuBinQ_17_4"/>
      <w:bookmarkStart w:id="368" w:name="Tc_ACfu9ktyIki16aumCd8tIw_17_2"/>
      <w:bookmarkStart w:id="369" w:name="Tc_VAc8XNN0C0yJ_tOczfJDug_17_0"/>
      <w:bookmarkStart w:id="370" w:name="Tc_t2X6RHHI30WPzjoG6yE0EQ_16_16"/>
      <w:bookmarkStart w:id="371" w:name="Tc_UP7Y4z7RkEqnqRZUQFuCBw_16_14"/>
      <w:bookmarkStart w:id="372" w:name="Tc_q9q8CbqYPk2y3R0-0xI3kQ_16_8"/>
      <w:bookmarkStart w:id="373" w:name="Tc_RxRoUlZ1ckqZdeQqPqvABA_16_5"/>
      <w:bookmarkStart w:id="374" w:name="Tc_Ycuo91HEEEa-SQXfiZYIfQ_16_4"/>
      <w:bookmarkStart w:id="375" w:name="Tc_7gV_7MiVeEGWmRS91n6vVw_16_2"/>
      <w:bookmarkStart w:id="376" w:name="Tc_WTN5TeeObkWXqtPDMpUn9A_16_0"/>
      <w:bookmarkStart w:id="377" w:name="Tc_GDDr2s_K6E25bp48LsoOTQ_15_16"/>
      <w:bookmarkStart w:id="378" w:name="Tc_KKmrcRFNik6e8m60ch-9kA_15_13"/>
      <w:bookmarkStart w:id="379" w:name="Tc_ybu6g85apU-j5Zw6fsW4SQ_15_10"/>
      <w:bookmarkStart w:id="380" w:name="Tc_MZjl3adSC0ej859hq9BjEg_15_7"/>
      <w:bookmarkStart w:id="381" w:name="Tc_JMFUqe9PmUaaKYznK0Yzjg_15_4"/>
      <w:bookmarkStart w:id="382" w:name="Tc_UKptgGGHfEi6KmjcGLkBpg_15_0"/>
      <w:bookmarkStart w:id="383" w:name="Tc_Y9p10aVfWE6QXkeped8DQA_13_16"/>
      <w:bookmarkStart w:id="384" w:name="Tc_ann6Ow4r2E2S2O25iTzVPg_13_13"/>
      <w:bookmarkStart w:id="385" w:name="Tc_z3lHcBmCnUiKv9Ni1NDp2g_13_10"/>
      <w:bookmarkStart w:id="386" w:name="Tc_JXs2w5xOIkC3ROlYNxKE7Q_13_7"/>
      <w:bookmarkStart w:id="387" w:name="Tc_pusO7oRfd0q6ZqFJZA2W2g_13_4"/>
      <w:bookmarkStart w:id="388" w:name="Tc_ZrHioVNS-ka7oH2NHM50ug_13_0"/>
      <w:bookmarkStart w:id="389" w:name="Tc_bTJT1zxul0OiXawLkzbJCQ_12_16"/>
      <w:bookmarkStart w:id="390" w:name="Tc_pt1KpSgs2kueNQ6i1y6gYQ_12_11"/>
      <w:bookmarkStart w:id="391" w:name="Tc_FXu0Sb5toEOcYvqetSkAsQ_12_8"/>
      <w:bookmarkStart w:id="392" w:name="Tc_3FXTaka8yUy2nRHv45IK2w_12_5"/>
      <w:bookmarkStart w:id="393" w:name="Tc_4GwSqH00pk-5hgGaSflgpw_12_4"/>
      <w:bookmarkStart w:id="394" w:name="Tc__paayEou10CF61R0B3FeMw_12_2"/>
      <w:bookmarkStart w:id="395" w:name="Tc_CjHNyAQL406itaTjs__5cg_12_0"/>
      <w:bookmarkStart w:id="396" w:name="Tc_MkRA-ABsCE6jzYFhk7ttvw_11_16"/>
      <w:bookmarkStart w:id="397" w:name="Tc_ed1uOZtW0Uae1XFYY9m1BA_11_14"/>
      <w:bookmarkStart w:id="398" w:name="Tc_JjQugC766kWC4pwhBRovLA_11_11"/>
      <w:bookmarkStart w:id="399" w:name="Tc_OTGy4K64kUKitRWh-KE_oQ_11_5"/>
      <w:bookmarkStart w:id="400" w:name="Tc_eSrZOEJH9kS6MCFzSJgtdQ_11_4"/>
      <w:bookmarkStart w:id="401" w:name="Tc_bf4DIqT5ZEy2-91JgiiuEA_11_0"/>
      <w:bookmarkStart w:id="402" w:name="Tc_A9nuAuuEPkSQWxjsLQ9r3w_10_16"/>
      <w:bookmarkStart w:id="403" w:name="Tc_t0IWfxBZUk6t6-gjB6x8Gg_10_14"/>
      <w:bookmarkStart w:id="404" w:name="Tc_pB6YbjkKekiXXWzHUDYjiQ_10_11"/>
      <w:bookmarkStart w:id="405" w:name="Tc_dOYcU5QHWkyJVU1zLxM6QA_10_4"/>
      <w:bookmarkStart w:id="406" w:name="Tc_2jGE2-R0skKbbMRb727TKg_10_0"/>
      <w:bookmarkStart w:id="407" w:name="Tc_lfqV-wt5J0SFxi84XeX6Ng_9_16"/>
      <w:bookmarkStart w:id="408" w:name="Tc_srdJD6G8ik-uHATWMgDeKw_9_14"/>
      <w:bookmarkStart w:id="409" w:name="Tc_ILMY7hvZ5UeklVomkeDkCw_9_11"/>
      <w:bookmarkStart w:id="410" w:name="Tc_nETJeDMPNUmEbTwdIsPYUQ_9_5"/>
      <w:bookmarkStart w:id="411" w:name="Tc_w1Ufb1nW0UahBcd877ogyw_9_4"/>
      <w:bookmarkStart w:id="412" w:name="Tc_h9Gvdyorr0qoW7zgLCZKYQ_9_2"/>
      <w:bookmarkStart w:id="413" w:name="Tc_Qj4T06HW9UCbOMeOVOFXEQ_9_0"/>
      <w:bookmarkStart w:id="414" w:name="Tc_62HBEUF-TkSu_p-C3YLZlA_8_16"/>
      <w:bookmarkStart w:id="415" w:name="Tc_js20AZ5olE2hoWIWeblglw_8_14"/>
      <w:bookmarkStart w:id="416" w:name="Tc_2I292vVJG0qaMk3WTBC1Lw_8_8"/>
      <w:bookmarkStart w:id="417" w:name="Tc_Bxs34-Dn4EydDtARkmtshw_8_5"/>
      <w:bookmarkStart w:id="418" w:name="Tc_LyQA6qfKZE63X7_ti4ulPw_8_4"/>
      <w:bookmarkStart w:id="419" w:name="Tc_Zpr9FzKS-0SE9QeF4ZeSYA_8_2"/>
      <w:bookmarkStart w:id="420" w:name="Tc_qK9jC-nOS0mGjxWlNJuipA_8_0"/>
      <w:bookmarkStart w:id="421" w:name="Tc_4Do4zXaXvEGtTojq_azU8Q_7_16"/>
      <w:bookmarkStart w:id="422" w:name="Tc_zhQlSFiX70GfYSUdx-m48A_7_14"/>
      <w:bookmarkStart w:id="423" w:name="Tc_w161r4rDVk6nESbPOCC_HQ_7_8"/>
      <w:bookmarkStart w:id="424" w:name="Tc_Exe1mnnr_0ybcW9-b2KbAQ_7_5"/>
      <w:bookmarkStart w:id="425" w:name="Tc_G5sM9YFl9ECDvAjJJ5c-0Q_7_4"/>
      <w:bookmarkStart w:id="426" w:name="Tc_rB8ayY3Dp0eMzMVxQ_TCAg_7_2"/>
      <w:bookmarkStart w:id="427" w:name="Tc_u0_kR4ioGUePA_gg1WxrFA_7_0"/>
      <w:bookmarkStart w:id="428" w:name="Tc_ymVXE7sEv0KCZGVNHkWzfA_6_16"/>
      <w:bookmarkStart w:id="429" w:name="Tc_egL6R5x-N0mwyq3IpxCYnw_6_13"/>
      <w:bookmarkStart w:id="430" w:name="Tc_TaYO5ov-4Em43cxOSnR5-w_6_10"/>
      <w:bookmarkStart w:id="431" w:name="Tc_V6E7-5_S3U6RCibvqzjA6w_6_7"/>
      <w:bookmarkStart w:id="432" w:name="Tc_AitqK8JHf027whFdhqCJBQ_6_4"/>
      <w:bookmarkStart w:id="433" w:name="Tc_anKw2UsdQ0aT0NBv9C6BYg_6_0"/>
      <w:bookmarkStart w:id="434" w:name="Tc_blfHaTPvw0a4fswNKLVnMA_5_16"/>
      <w:bookmarkStart w:id="435" w:name="Tc_kSvWbcDGHUGvPD5vH8_x1Q_5_13"/>
      <w:bookmarkStart w:id="436" w:name="Tc_lFx03L7Xa0-CVlEFIxgs2Q_5_10"/>
      <w:bookmarkStart w:id="437" w:name="Tc_isbVLn9gRUOqtardiiknDw_5_7"/>
      <w:bookmarkStart w:id="438" w:name="Tc_FPxeDZ-xLEeb5nJtFueW6Q_5_4"/>
      <w:bookmarkStart w:id="439" w:name="Tc_t1zY39r38kWIcPHKAe7aZA_5_2"/>
      <w:bookmarkStart w:id="440" w:name="Tc_qw0qVGXKuESGVM7xX0mQ4A_4_16"/>
      <w:bookmarkStart w:id="441" w:name="Tc_fUEhSHyyt0m3MZhHq3fg9A_4_13"/>
      <w:bookmarkStart w:id="442" w:name="Tc_EZij_yhSX0OxaFriKZuS9Q_4_10"/>
      <w:bookmarkStart w:id="443" w:name="Tc_wU0YKUlmnky4tFmahsllRQ_4_7"/>
      <w:bookmarkStart w:id="444" w:name="Tc_YVarcTuxT0aqGFNOJZVgLw_4_2"/>
      <w:bookmarkStart w:id="445" w:name="Tc_1z_RzP6OqkS23U1mfRtP8A_3_16"/>
      <w:bookmarkStart w:id="446" w:name="Tc_tnhdeRGBJ0abx5ej9wilwQ_3_13"/>
      <w:bookmarkStart w:id="447" w:name="Tc_WGkwsxUzSEKR76i19ac3JQ_3_7"/>
      <w:bookmarkStart w:id="448" w:name="Tc_VjQdTdoqFUS2xmn-pth1jQ_2_13"/>
      <w:bookmarkStart w:id="449" w:name="Tc_N8755V9nn0ySoQgrisfe3g_1_13"/>
      <w:bookmarkStart w:id="450" w:name="_a44fb1a4_6553_41b3_a1cf_1881d9465dc2"/>
      <w:bookmarkStart w:id="451" w:name="Tc_ZwUQUdHFuk66ZjSvkuCX1g_22_16"/>
      <w:bookmarkStart w:id="452" w:name="Tc_rMNgKMGp4E6h7pd5Bgs7PA_22_13"/>
      <w:bookmarkStart w:id="453" w:name="Tc_7xM-Hc-nv0e-VOKYRuQ8gg_22_10"/>
      <w:bookmarkStart w:id="454" w:name="Tc_Q3fJGChvokOUmh2mfzh7mA_22_7"/>
      <w:bookmarkStart w:id="455" w:name="Tc_ZmJFCgMWDkSYkK46yyxWhA_22_4"/>
      <w:bookmarkStart w:id="456" w:name="Tc_35IaB3M6yU-A8tQ0J-yczA_22_0"/>
      <w:bookmarkStart w:id="457" w:name="Tc_LjNqU0dIpE2LKHM3BZkc1A_21_16"/>
      <w:bookmarkStart w:id="458" w:name="Tc_nFz5kTgoQEKHu6YbYDK3QQ_21_11"/>
      <w:bookmarkStart w:id="459" w:name="Tc_-g3HfiElY0GRm0jpCkiSyA_21_8"/>
      <w:bookmarkStart w:id="460" w:name="Tc_uOXYBdjNXUiHEkNJEk60aA_21_5"/>
      <w:bookmarkStart w:id="461" w:name="Tc_GIoh7TG1BkmQs2E9oAYV2Q_21_4"/>
      <w:bookmarkStart w:id="462" w:name="Tc_wdZ0nt2Ta0e3b1m6B5YW-A_21_2"/>
      <w:bookmarkStart w:id="463" w:name="Tc_UnHSlaGMc0q_vaHG_C6zvw_21_0"/>
      <w:bookmarkStart w:id="464" w:name="Tc_JITyRdh_s0aqOLiz615B0w_20_16"/>
      <w:bookmarkStart w:id="465" w:name="Tc_OEWrxCiKpEuK5GVWdBwsIw_20_14"/>
      <w:bookmarkStart w:id="466" w:name="Tc_vy4O54rYPkq-Xf6yMamyBg_20_11"/>
      <w:bookmarkStart w:id="467" w:name="Tc_PUOa1OVGcEiofOURwsm8Yw_20_5"/>
      <w:bookmarkStart w:id="468" w:name="Tc_-xfnAjFcGEqE_knKvNj_gw_20_4"/>
      <w:bookmarkStart w:id="469" w:name="Tc_5ErSr63yxU6aMwF4aCx43g_20_0"/>
      <w:bookmarkStart w:id="470" w:name="Tc_HguMDb-iJkqY8I-O9PPqgA_19_16"/>
      <w:bookmarkStart w:id="471" w:name="Tc_ZsodJYFMVk257iSCJhp6wg_19_14"/>
      <w:bookmarkStart w:id="472" w:name="Tc_rYTqlnmWzEmR8GzXfqEl8Q_19_11"/>
      <w:bookmarkStart w:id="473" w:name="Tc_a2bpvgaSwE-TqaWIgvYLUw_19_5"/>
      <w:bookmarkStart w:id="474" w:name="Tc_JoaUfDkyR0q2IUHgP_CB1A_19_4"/>
      <w:bookmarkStart w:id="475" w:name="Tc_IeSNK5QsEEycFvGMCkuKWw_19_0"/>
      <w:bookmarkStart w:id="476" w:name="Tc_8UxKqsiteEa3In8f6kG6SQ_18_16"/>
      <w:bookmarkStart w:id="477" w:name="Tc_nlnrEPi_OkOgk7xtIC3crA_18_14"/>
      <w:bookmarkStart w:id="478" w:name="Tc_1ehVTlFplECz7s82Mp68ZA_18_11"/>
      <w:bookmarkStart w:id="479" w:name="Tc_f0evSZvexU2j-JOO3Wkx4w_18_5"/>
      <w:bookmarkStart w:id="480" w:name="Tc_ds2LQ7i2jE-CHbDYmOq7QA_18_4"/>
      <w:bookmarkStart w:id="481" w:name="Tc_jvKpuQALDkq5oKFlay1fYA_18_2"/>
      <w:bookmarkStart w:id="482" w:name="Tc_OSed2u_JZEGTCS381EE4Bw_18_0"/>
      <w:bookmarkStart w:id="483" w:name="Tc_Szmvq5as0US9_2UOTyc7EA_17_16"/>
      <w:bookmarkStart w:id="484" w:name="Tc_sp3bbYD4D0ujlMV3j5qvHQ_17_14"/>
      <w:bookmarkStart w:id="485" w:name="Tc_-xok1PQCvUaPr7Ge-rhmzg_17_8"/>
      <w:bookmarkStart w:id="486" w:name="Tc_2gQbZXoJS0iQio43_iw7Cw_17_5"/>
      <w:bookmarkStart w:id="487" w:name="Tc_KcUBbB1Vkka0dXAVsuBinQ_17_4"/>
      <w:bookmarkStart w:id="488" w:name="Tc_ACfu9ktyIki16aumCd8tIw_17_2"/>
      <w:bookmarkStart w:id="489" w:name="Tc_VAc8XNN0C0yJ_tOczfJDug_17_0"/>
      <w:bookmarkStart w:id="490" w:name="Tc_t2X6RHHI30WPzjoG6yE0EQ_16_16"/>
      <w:bookmarkStart w:id="491" w:name="Tc_UP7Y4z7RkEqnqRZUQFuCBw_16_14"/>
      <w:bookmarkStart w:id="492" w:name="Tc_q9q8CbqYPk2y3R0-0xI3kQ_16_8"/>
      <w:bookmarkStart w:id="493" w:name="Tc_RxRoUlZ1ckqZdeQqPqvABA_16_5"/>
      <w:bookmarkStart w:id="494" w:name="Tc_Ycuo91HEEEa-SQXfiZYIfQ_16_4"/>
      <w:bookmarkStart w:id="495" w:name="Tc_7gV_7MiVeEGWmRS91n6vVw_16_2"/>
      <w:bookmarkStart w:id="496" w:name="Tc_WTN5TeeObkWXqtPDMpUn9A_16_0"/>
      <w:bookmarkStart w:id="497" w:name="Tc_GDDr2s_K6E25bp48LsoOTQ_15_16"/>
      <w:bookmarkStart w:id="498" w:name="Tc_KKmrcRFNik6e8m60ch-9kA_15_13"/>
      <w:bookmarkStart w:id="499" w:name="Tc_ybu6g85apU-j5Zw6fsW4SQ_15_10"/>
      <w:bookmarkStart w:id="500" w:name="Tc_MZjl3adSC0ej859hq9BjEg_15_7"/>
      <w:bookmarkStart w:id="501" w:name="Tc_JMFUqe9PmUaaKYznK0Yzjg_15_4"/>
      <w:bookmarkStart w:id="502" w:name="Tc_UKptgGGHfEi6KmjcGLkBpg_15_0"/>
      <w:bookmarkStart w:id="503" w:name="Tc_Y9p10aVfWE6QXkeped8DQA_13_16"/>
      <w:bookmarkStart w:id="504" w:name="Tc_ann6Ow4r2E2S2O25iTzVPg_13_13"/>
      <w:bookmarkStart w:id="505" w:name="Tc_z3lHcBmCnUiKv9Ni1NDp2g_13_10"/>
      <w:bookmarkStart w:id="506" w:name="Tc_JXs2w5xOIkC3ROlYNxKE7Q_13_7"/>
      <w:bookmarkStart w:id="507" w:name="Tc_pusO7oRfd0q6ZqFJZA2W2g_13_4"/>
      <w:bookmarkStart w:id="508" w:name="Tc_ZrHioVNS-ka7oH2NHM50ug_13_0"/>
      <w:bookmarkStart w:id="509" w:name="Tc_bTJT1zxul0OiXawLkzbJCQ_12_16"/>
      <w:bookmarkStart w:id="510" w:name="Tc_pt1KpSgs2kueNQ6i1y6gYQ_12_11"/>
      <w:bookmarkStart w:id="511" w:name="Tc_FXu0Sb5toEOcYvqetSkAsQ_12_8"/>
      <w:bookmarkStart w:id="512" w:name="Tc_3FXTaka8yUy2nRHv45IK2w_12_5"/>
      <w:bookmarkStart w:id="513" w:name="Tc_4GwSqH00pk-5hgGaSflgpw_12_4"/>
      <w:bookmarkStart w:id="514" w:name="Tc__paayEou10CF61R0B3FeMw_12_2"/>
      <w:bookmarkStart w:id="515" w:name="Tc_CjHNyAQL406itaTjs__5cg_12_0"/>
      <w:bookmarkStart w:id="516" w:name="Tc_MkRA-ABsCE6jzYFhk7ttvw_11_16"/>
      <w:bookmarkStart w:id="517" w:name="Tc_ed1uOZtW0Uae1XFYY9m1BA_11_14"/>
      <w:bookmarkStart w:id="518" w:name="Tc_JjQugC766kWC4pwhBRovLA_11_11"/>
      <w:bookmarkStart w:id="519" w:name="Tc_OTGy4K64kUKitRWh-KE_oQ_11_5"/>
      <w:bookmarkStart w:id="520" w:name="Tc_eSrZOEJH9kS6MCFzSJgtdQ_11_4"/>
      <w:bookmarkStart w:id="521" w:name="Tc_bf4DIqT5ZEy2-91JgiiuEA_11_0"/>
      <w:bookmarkStart w:id="522" w:name="Tc_A9nuAuuEPkSQWxjsLQ9r3w_10_16"/>
      <w:bookmarkStart w:id="523" w:name="Tc_t0IWfxBZUk6t6-gjB6x8Gg_10_14"/>
      <w:bookmarkStart w:id="524" w:name="Tc_pB6YbjkKekiXXWzHUDYjiQ_10_11"/>
      <w:bookmarkStart w:id="525" w:name="Tc_dOYcU5QHWkyJVU1zLxM6QA_10_4"/>
      <w:bookmarkStart w:id="526" w:name="Tc_2jGE2-R0skKbbMRb727TKg_10_0"/>
      <w:bookmarkStart w:id="527" w:name="Tc_lfqV-wt5J0SFxi84XeX6Ng_9_16"/>
      <w:bookmarkStart w:id="528" w:name="Tc_srdJD6G8ik-uHATWMgDeKw_9_14"/>
      <w:bookmarkStart w:id="529" w:name="Tc_ILMY7hvZ5UeklVomkeDkCw_9_11"/>
      <w:bookmarkStart w:id="530" w:name="Tc_nETJeDMPNUmEbTwdIsPYUQ_9_5"/>
      <w:bookmarkStart w:id="531" w:name="Tc_w1Ufb1nW0UahBcd877ogyw_9_4"/>
      <w:bookmarkStart w:id="532" w:name="Tc_h9Gvdyorr0qoW7zgLCZKYQ_9_2"/>
      <w:bookmarkStart w:id="533" w:name="Tc_Qj4T06HW9UCbOMeOVOFXEQ_9_0"/>
      <w:bookmarkStart w:id="534" w:name="Tc_62HBEUF-TkSu_p-C3YLZlA_8_16"/>
      <w:bookmarkStart w:id="535" w:name="Tc_js20AZ5olE2hoWIWeblglw_8_14"/>
      <w:bookmarkStart w:id="536" w:name="Tc_2I292vVJG0qaMk3WTBC1Lw_8_8"/>
      <w:bookmarkStart w:id="537" w:name="Tc_Bxs34-Dn4EydDtARkmtshw_8_5"/>
      <w:bookmarkStart w:id="538" w:name="Tc_LyQA6qfKZE63X7_ti4ulPw_8_4"/>
      <w:bookmarkStart w:id="539" w:name="Tc_Zpr9FzKS-0SE9QeF4ZeSYA_8_2"/>
      <w:bookmarkStart w:id="540" w:name="Tc_qK9jC-nOS0mGjxWlNJuipA_8_0"/>
      <w:bookmarkStart w:id="541" w:name="Tc_4Do4zXaXvEGtTojq_azU8Q_7_16"/>
      <w:bookmarkStart w:id="542" w:name="Tc_zhQlSFiX70GfYSUdx-m48A_7_14"/>
      <w:bookmarkStart w:id="543" w:name="Tc_w161r4rDVk6nESbPOCC_HQ_7_8"/>
      <w:bookmarkStart w:id="544" w:name="Tc_Exe1mnnr_0ybcW9-b2KbAQ_7_5"/>
      <w:bookmarkStart w:id="545" w:name="Tc_G5sM9YFl9ECDvAjJJ5c-0Q_7_4"/>
      <w:bookmarkStart w:id="546" w:name="Tc_rB8ayY3Dp0eMzMVxQ_TCAg_7_2"/>
      <w:bookmarkStart w:id="547" w:name="Tc_u0_kR4ioGUePA_gg1WxrFA_7_0"/>
      <w:bookmarkStart w:id="548" w:name="Tc_ymVXE7sEv0KCZGVNHkWzfA_6_16"/>
      <w:bookmarkStart w:id="549" w:name="Tc_egL6R5x-N0mwyq3IpxCYnw_6_13"/>
      <w:bookmarkStart w:id="550" w:name="Tc_TaYO5ov-4Em43cxOSnR5-w_6_10"/>
      <w:bookmarkStart w:id="551" w:name="Tc_V6E7-5_S3U6RCibvqzjA6w_6_7"/>
      <w:bookmarkStart w:id="552" w:name="Tc_AitqK8JHf027whFdhqCJBQ_6_4"/>
      <w:bookmarkStart w:id="553" w:name="Tc_anKw2UsdQ0aT0NBv9C6BYg_6_0"/>
      <w:bookmarkStart w:id="554" w:name="Tc_blfHaTPvw0a4fswNKLVnMA_5_16"/>
      <w:bookmarkStart w:id="555" w:name="Tc_kSvWbcDGHUGvPD5vH8_x1Q_5_13"/>
      <w:bookmarkStart w:id="556" w:name="Tc_lFx03L7Xa0-CVlEFIxgs2Q_5_10"/>
      <w:bookmarkStart w:id="557" w:name="Tc_isbVLn9gRUOqtardiiknDw_5_7"/>
      <w:bookmarkStart w:id="558" w:name="Tc_FPxeDZ-xLEeb5nJtFueW6Q_5_4"/>
      <w:bookmarkStart w:id="559" w:name="Tc_t1zY39r38kWIcPHKAe7aZA_5_2"/>
      <w:bookmarkStart w:id="560" w:name="Tc_qw0qVGXKuESGVM7xX0mQ4A_4_16"/>
      <w:bookmarkStart w:id="561" w:name="Tc_fUEhSHyyt0m3MZhHq3fg9A_4_13"/>
      <w:bookmarkStart w:id="562" w:name="Tc_EZij_yhSX0OxaFriKZuS9Q_4_10"/>
      <w:bookmarkStart w:id="563" w:name="Tc_wU0YKUlmnky4tFmahsllRQ_4_7"/>
      <w:bookmarkStart w:id="564" w:name="Tc_YVarcTuxT0aqGFNOJZVgLw_4_2"/>
      <w:bookmarkStart w:id="565" w:name="Tc_1z_RzP6OqkS23U1mfRtP8A_3_16"/>
      <w:bookmarkStart w:id="566" w:name="Tc_tnhdeRGBJ0abx5ej9wilwQ_3_13"/>
      <w:bookmarkStart w:id="567" w:name="Tc_WGkwsxUzSEKR76i19ac3JQ_3_7"/>
      <w:bookmarkStart w:id="568" w:name="Tc_VjQdTdoqFUS2xmn-pth1jQ_2_13"/>
      <w:bookmarkStart w:id="569" w:name="Tc_N8755V9nn0ySoQgrisfe3g_1_13"/>
      <w:bookmarkStart w:id="570" w:name="_a44fb1a4_6553_41b3_a1cf_1881d9465dc2"/>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tbl>
      <w:tblPr>
        <w:tblW w:w="10205" w:type="dxa"/>
        <w:jc w:val="left"/>
        <w:tblInd w:w="0" w:type="dxa"/>
        <w:tblLayout w:type="fixed"/>
        <w:tblCellMar>
          <w:top w:w="0" w:type="dxa"/>
          <w:left w:w="0" w:type="dxa"/>
          <w:bottom w:w="0" w:type="dxa"/>
          <w:right w:w="0" w:type="dxa"/>
        </w:tblCellMar>
      </w:tblPr>
      <w:tblGrid>
        <w:gridCol w:w="2401"/>
        <w:gridCol w:w="326"/>
        <w:gridCol w:w="931"/>
        <w:gridCol w:w="326"/>
        <w:gridCol w:w="256"/>
        <w:gridCol w:w="420"/>
        <w:gridCol w:w="326"/>
        <w:gridCol w:w="211"/>
        <w:gridCol w:w="754"/>
        <w:gridCol w:w="326"/>
        <w:gridCol w:w="211"/>
        <w:gridCol w:w="781"/>
        <w:gridCol w:w="326"/>
        <w:gridCol w:w="263"/>
        <w:gridCol w:w="923"/>
        <w:gridCol w:w="326"/>
        <w:gridCol w:w="211"/>
        <w:gridCol w:w="887"/>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524635" cy="175260"/>
                      <wp:effectExtent l="0" t="0" r="0" b="0"/>
                      <wp:wrapNone/>
                      <wp:docPr id="49" name="Frame49"/>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51" name="Frame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62560" cy="175260"/>
                      <wp:effectExtent l="0" t="0" r="0" b="0"/>
                      <wp:wrapNone/>
                      <wp:docPr id="53" name="Frame5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6700" cy="175260"/>
                      <wp:effectExtent l="0" t="0" r="0" b="0"/>
                      <wp:wrapNone/>
                      <wp:docPr id="54" name="Frame54"/>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78790" cy="175260"/>
                      <wp:effectExtent l="0" t="0" r="0" b="0"/>
                      <wp:wrapNone/>
                      <wp:docPr id="57" name="Frame57"/>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5935" cy="175260"/>
                      <wp:effectExtent l="0" t="0" r="0" b="0"/>
                      <wp:wrapNone/>
                      <wp:docPr id="60" name="Frame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67005" cy="175260"/>
                      <wp:effectExtent l="0" t="0" r="0" b="0"/>
                      <wp:wrapNone/>
                      <wp:docPr id="62" name="Frame62"/>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86105" cy="175260"/>
                      <wp:effectExtent l="0" t="0" r="0" b="0"/>
                      <wp:wrapNone/>
                      <wp:docPr id="63" name="Frame63"/>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3245" cy="175260"/>
                      <wp:effectExtent l="0" t="0" r="0" b="0"/>
                      <wp:wrapNone/>
                      <wp:docPr id="66" name="Frame66"/>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center"/>
              <w:rPr/>
            </w:pPr>
            <w:r>
              <w:rPr/>
              <w:t>​</w:t>
            </w:r>
          </w:p>
        </w:tc>
        <w:tc>
          <w:tcPr>
            <w:tcW w:w="4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pPr>
            <w:r>
              <w:rPr/>
              <w:t>​</w:t>
            </w:r>
          </w:p>
        </w:tc>
        <w:tc>
          <w:tcPr>
            <w:tcW w:w="4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Additional</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Comprehensive</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26" w:type="dxa"/>
            <w:tcBorders/>
            <w:vAlign w:val="center"/>
          </w:tcPr>
          <w:p>
            <w:pPr>
              <w:pStyle w:val="TableContents"/>
              <w:bidi w:val="0"/>
              <w:spacing w:before="0" w:after="0"/>
              <w:ind w:left="0" w:right="0" w:hanging="0"/>
              <w:jc w:val="left"/>
              <w:rPr/>
            </w:pPr>
            <w:r>
              <w:rPr/>
              <w:t>​</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Paid-in</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Retained</w:t>
            </w:r>
          </w:p>
        </w:tc>
        <w:tc>
          <w:tcPr>
            <w:tcW w:w="32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Loss,</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Stockholders'</w:t>
            </w:r>
          </w:p>
        </w:tc>
      </w:tr>
      <w:tr>
        <w:trPr/>
        <w:tc>
          <w:tcPr>
            <w:tcW w:w="24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Shares</w:t>
            </w:r>
          </w:p>
        </w:tc>
        <w:tc>
          <w:tcPr>
            <w:tcW w:w="326" w:type="dxa"/>
            <w:tcBorders/>
            <w:vAlign w:val="center"/>
          </w:tcPr>
          <w:p>
            <w:pPr>
              <w:pStyle w:val="TableContents"/>
              <w:bidi w:val="0"/>
              <w:spacing w:before="0" w:after="0"/>
              <w:ind w:left="0" w:right="0" w:hanging="0"/>
              <w:jc w:val="center"/>
              <w:rPr/>
            </w:pPr>
            <w:r>
              <w:rPr/>
              <w:t>​</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Amount</w:t>
            </w:r>
          </w:p>
        </w:tc>
        <w:tc>
          <w:tcPr>
            <w:tcW w:w="326" w:type="dxa"/>
            <w:tcBorders/>
            <w:vAlign w:val="center"/>
          </w:tcPr>
          <w:p>
            <w:pPr>
              <w:pStyle w:val="TableContents"/>
              <w:bidi w:val="0"/>
              <w:spacing w:before="0" w:after="0"/>
              <w:ind w:left="0" w:right="0" w:hanging="0"/>
              <w:jc w:val="center"/>
              <w:rPr/>
            </w:pPr>
            <w:r>
              <w:rPr/>
              <w:t>​</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Capital</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Earnings</w:t>
            </w:r>
          </w:p>
        </w:tc>
        <w:tc>
          <w:tcPr>
            <w:tcW w:w="32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Net of Tax</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Equity</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April 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8,067,211</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184,748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235,950</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6,699</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6,699</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($0.30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repurchased - repurchase plan</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(361,251)</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(10,451)</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exercised, net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20,272</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7,726,232</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189,075</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222,641</w:t>
            </w:r>
          </w:p>
        </w:tc>
      </w:tr>
      <w:tr>
        <w:trPr/>
        <w:tc>
          <w:tcPr>
            <w:tcW w:w="24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left"/>
              <w:rPr/>
            </w:pPr>
            <w:r>
              <w:rPr/>
              <w:t>​</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April 1, 2023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7,743,283</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208,342</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241,834</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9,116</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9,116</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($0.25 per share)</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employee stock purchase plan</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9,099</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exercised, net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7,753,607</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215,519</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249,933</w:t>
            </w:r>
          </w:p>
        </w:tc>
      </w:tr>
    </w:tbl>
    <w:p>
      <w:pPr>
        <w:pStyle w:val="TextBody"/>
        <w:bidi w:val="0"/>
        <w:spacing w:before="0" w:after="60"/>
        <w:ind w:left="0" w:right="0" w:hanging="0"/>
        <w:jc w:val="left"/>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See accompanying notes to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Six Months Ended June 30, 2022 and 2023</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1" w:name="Tc_xFlRaE_BPkC7W70aWlFkpg_25_16"/>
      <w:bookmarkStart w:id="572" w:name="Tc_c48D_QShaE6bl_hGn-db3A_25_13"/>
      <w:bookmarkStart w:id="573" w:name="Tc_CVJPCdVcVkyaRGJvLvoyWA_25_10"/>
      <w:bookmarkStart w:id="574" w:name="Tc_KcXkYi8i2EiMmTjtsvm_kw_25_7"/>
      <w:bookmarkStart w:id="575" w:name="Tc_cdVqjaSzck6ikG_-ramfJA_25_4"/>
      <w:bookmarkStart w:id="576" w:name="Tc_ux4OuL2N0kSUILEPTPUc0g_25_0"/>
      <w:bookmarkStart w:id="577" w:name="Tc_V77CHuEO_kmrJ84kVYNR0g_24_16"/>
      <w:bookmarkStart w:id="578" w:name="Tc_eQDOaY98kUqJBTZcecaOWw_24_11"/>
      <w:bookmarkStart w:id="579" w:name="Tc_d2WqbaS-TEWvuDZ1VgqL5w_24_8"/>
      <w:bookmarkStart w:id="580" w:name="Tc_bbRExznBmUSYh10NSVAD-Q_24_5"/>
      <w:bookmarkStart w:id="581" w:name="Tc_eaHZMeFoNEu5FrszKaifkw_24_4"/>
      <w:bookmarkStart w:id="582" w:name="Tc_bUCW1kuG8EimqlwBvLCEhg_24_2"/>
      <w:bookmarkStart w:id="583" w:name="Tc_-A-v5wl_vkCOtYZfiplCWw_24_0"/>
      <w:bookmarkStart w:id="584" w:name="Tc_7mbTZbFjN06aTaRJITLUDQ_23_16"/>
      <w:bookmarkStart w:id="585" w:name="Tc_0TAz6dcopk--7YiMxvRKJQ_23_14"/>
      <w:bookmarkStart w:id="586" w:name="Tc_wvmE-UTwhUSE7ilL2I_J3g_23_11"/>
      <w:bookmarkStart w:id="587" w:name="Tc_o1kHrP15p0uFu1LeLTfz2Q_23_5"/>
      <w:bookmarkStart w:id="588" w:name="Tc_4uy_b6zFhUq4AYxKlghYqw_23_4"/>
      <w:bookmarkStart w:id="589" w:name="Tc_KBfBbfjVHEqMolfl6hJDxA_23_0"/>
      <w:bookmarkStart w:id="590" w:name="Tc_j8d2L03ul0OCrV7Wc2jw4Q_22_16"/>
      <w:bookmarkStart w:id="591" w:name="Tc_RxCpg-2oOEm0zaTH1mUimg_22_14"/>
      <w:bookmarkStart w:id="592" w:name="Tc_PNfrYdG1mUqtfaBkgzZN4g_22_11"/>
      <w:bookmarkStart w:id="593" w:name="Tc_whaxDtqh706CPdVC5viP1A_22_5"/>
      <w:bookmarkStart w:id="594" w:name="Tc_vJkRwdV-3kS8117xgIteHQ_22_4"/>
      <w:bookmarkStart w:id="595" w:name="Tc_qa9xPhLZcUeOYVX57bVlVA_22_0"/>
      <w:bookmarkStart w:id="596" w:name="Tc_8gUc9KLaH0Se_AUGQb01Fw_21_17"/>
      <w:bookmarkStart w:id="597" w:name="Tc_iB9r-nr8pEaXL9esgfJSBw_21_16"/>
      <w:bookmarkStart w:id="598" w:name="Tc_VEULXbj09E2Nbacu2FHNwQ_21_14"/>
      <w:bookmarkStart w:id="599" w:name="Tc_M8MMiA6ojUGanFJqFPe0Jg_21_11"/>
      <w:bookmarkStart w:id="600" w:name="Tc_WgJtjvUx3kSAAcDCgVqSkA_21_8"/>
      <w:bookmarkStart w:id="601" w:name="Tc_1huGtzmKhU2F7x25rSTAnA_21_5"/>
      <w:bookmarkStart w:id="602" w:name="Tc_lBK2qEmilEyKFqxnesSqdw_21_4"/>
      <w:bookmarkStart w:id="603" w:name="Tc__592NW4D206SM8l7TkwHOA_21_0"/>
      <w:bookmarkStart w:id="604" w:name="Tc_CMKwUleLYkOceHamopF_DA_20_16"/>
      <w:bookmarkStart w:id="605" w:name="Tc_woXxh0fkyU-5XDXX__T2Og_20_14"/>
      <w:bookmarkStart w:id="606" w:name="Tc_hifpWcdytU-JWJ3ZvUujxw_20_11"/>
      <w:bookmarkStart w:id="607" w:name="Tc_t9yRrbWf-Uy8zFH8Y2i7Fw_20_5"/>
      <w:bookmarkStart w:id="608" w:name="Tc_BJdpqsfIIEKeitnZwEIL6g_20_4"/>
      <w:bookmarkStart w:id="609" w:name="Tc_CVshtzpZ-kGFUNPhedA2bg_20_0"/>
      <w:bookmarkStart w:id="610" w:name="Tc_Y7-D1MDelk-J1Ip-euYTgQ_19_16"/>
      <w:bookmarkStart w:id="611" w:name="Tc_7BtunvrjRkWzJYC4TtyT-A_19_14"/>
      <w:bookmarkStart w:id="612" w:name="Tc_HZcEAzD8hkOmh4g0JVdPLg_19_11"/>
      <w:bookmarkStart w:id="613" w:name="Tc_FFzlE1X1H0y3ObxsPadWrA_19_5"/>
      <w:bookmarkStart w:id="614" w:name="Tc_dJD1DgCq80uze3lTBjlclQ_19_4"/>
      <w:bookmarkStart w:id="615" w:name="Tc_6-R4TpFnD0aHkyC6q84Slg_19_2"/>
      <w:bookmarkStart w:id="616" w:name="Tc_RLD9sKs2KEW2QA-W9hCE3A_19_0"/>
      <w:bookmarkStart w:id="617" w:name="Tc_XRhqZa3mQkqMzWfpb3IfjQ_18_16"/>
      <w:bookmarkStart w:id="618" w:name="Tc_Xb3E-BxXoE-hGhHYRR4nJw_18_14"/>
      <w:bookmarkStart w:id="619" w:name="Tc_B-b-2AQ9G0KYjYXh4orX8w_18_8"/>
      <w:bookmarkStart w:id="620" w:name="Tc_fT2KyfoqV0GMAFnvRqBLTw_18_5"/>
      <w:bookmarkStart w:id="621" w:name="Tc_N3n8aHYlLUSATuOt7ItK2w_18_4"/>
      <w:bookmarkStart w:id="622" w:name="Tc_2AZ1Qljj10CFPPf4RthF9A_18_2"/>
      <w:bookmarkStart w:id="623" w:name="Tc_lVJO5SiXi0y3oc1D0eN7Kw_18_0"/>
      <w:bookmarkStart w:id="624" w:name="Tc_7lR_xrSSeUG0bIGb-4INtA_17_16"/>
      <w:bookmarkStart w:id="625" w:name="Tc_4oUJ-G0b90-25FBbe6oTrw_17_14"/>
      <w:bookmarkStart w:id="626" w:name="Tc_OE9e2t_6aUSVA_0r_vUpIA_17_8"/>
      <w:bookmarkStart w:id="627" w:name="Tc_dnqPkj2wvUSHVywr6Ywz5g_17_5"/>
      <w:bookmarkStart w:id="628" w:name="Tc_A8wY5xRIp0mcLmd-FcmAWg_17_4"/>
      <w:bookmarkStart w:id="629" w:name="Tc_4Iw7KtpReE6bdbZxhutc0g_17_2"/>
      <w:bookmarkStart w:id="630" w:name="Tc_6-FgcGKxYEWi0SVideV9uw_17_0"/>
      <w:bookmarkStart w:id="631" w:name="Tc_orUb_mWLC0OS0yRyYAgYEQ_16_16"/>
      <w:bookmarkStart w:id="632" w:name="Tc_KmxjXK3w10KV6alse-rjAA_16_13"/>
      <w:bookmarkStart w:id="633" w:name="Tc_7jVo_Z7jbEmJRk3Z89Qy_A_16_10"/>
      <w:bookmarkStart w:id="634" w:name="Tc_rSDfwOaTeU2IgX5Y2gQNBg_16_7"/>
      <w:bookmarkStart w:id="635" w:name="Tc_TUV_VxN9Z0uYz_0GZopQEw_16_4"/>
      <w:bookmarkStart w:id="636" w:name="Tc_YeKSurQbnUOOARVcanBQNg_16_0"/>
      <w:bookmarkStart w:id="637" w:name="Tc_Lzu8RWfjhEuQs65nF80q9Q_14_16"/>
      <w:bookmarkStart w:id="638" w:name="Tc_mL2tyube0UmMS0LAyFa-KQ_14_13"/>
      <w:bookmarkStart w:id="639" w:name="Tc_E0zhZlQvkUCHwhYc7ZTYsQ_14_10"/>
      <w:bookmarkStart w:id="640" w:name="Tc_XuxcaAa2REmLAO8QjnwiIQ_14_7"/>
      <w:bookmarkStart w:id="641" w:name="Tc_zJMDw6ycgkSKLtvVJLUqEw_14_4"/>
      <w:bookmarkStart w:id="642" w:name="Tc_QxXw_A6DJkKrnlYMk3VEoQ_14_0"/>
      <w:bookmarkStart w:id="643" w:name="Tc_gfP7uIqPA0eDJdAwuMdvKA_13_16"/>
      <w:bookmarkStart w:id="644" w:name="Tc_Z_osUqWQ2UqqHlQukxH6Ng_13_8"/>
      <w:bookmarkStart w:id="645" w:name="Tc_Q0wMbRhYCUOQYdf-K86qQw_13_5"/>
      <w:bookmarkStart w:id="646" w:name="Tc_3oLuvubO5EeF9Kn3Q9QJPw_13_4"/>
      <w:bookmarkStart w:id="647" w:name="Tc_--5fB_lw4kK6TmmVOs2M2Q_13_2"/>
      <w:bookmarkStart w:id="648" w:name="Tc_gtO_GIRb_0KDnVhEGVHKoQ_13_0"/>
      <w:bookmarkStart w:id="649" w:name="Tc_6b80TQ_G-UqAu0aEN38cBw_12_16"/>
      <w:bookmarkStart w:id="650" w:name="Tc_Jb3o9UeoQ0icHF0rI3IU8g_12_14"/>
      <w:bookmarkStart w:id="651" w:name="Tc_oz_9yHMUsESD9VKQvxwlhg_12_11"/>
      <w:bookmarkStart w:id="652" w:name="Tc_tqNEcwYHKUu4Fk-W1pCNFA_12_5"/>
      <w:bookmarkStart w:id="653" w:name="Tc__Ne9zBzc50un4tbYFWM-3Q_12_4"/>
      <w:bookmarkStart w:id="654" w:name="Tc_dBqR6PNlmUm46P9GfpywMA_12_0"/>
      <w:bookmarkStart w:id="655" w:name="Tc_Ci6ZkrQYl0WCm-QNQ-YaWg_11_16"/>
      <w:bookmarkStart w:id="656" w:name="Tc_YlzK6Le5gEis1D-IDa8u9A_11_14"/>
      <w:bookmarkStart w:id="657" w:name="Tc_-_Izpmt3Pku9Khj9bJF_0w_11_11"/>
      <w:bookmarkStart w:id="658" w:name="Tc__LlxB8VrSUmuUSeW-6D3Pw_11_4"/>
      <w:bookmarkStart w:id="659" w:name="Tc_yaUT7StjvEKL400laHCoFw_11_0"/>
      <w:bookmarkStart w:id="660" w:name="Tc_rU9Okdc_UkaPv6pfP5lvow_10_14"/>
      <w:bookmarkStart w:id="661" w:name="Tc_va2mKOrRoEamXOExiB9aZw_10_8"/>
      <w:bookmarkStart w:id="662" w:name="Tc_f6mp4j_RaE6KGqdVsG03ow_10_5"/>
      <w:bookmarkStart w:id="663" w:name="Tc_oIfT_m3hREeCaO8sCra8GQ_10_4"/>
      <w:bookmarkStart w:id="664" w:name="Tc_A_E4twCNWEailYTTFvOubg_10_2"/>
      <w:bookmarkStart w:id="665" w:name="Tc_bzgFhPQ6w02mJ4EmpeiwMA_10_0"/>
      <w:bookmarkStart w:id="666" w:name="Tc_x6rRAP1zUEuajiEi8Zsvqw_9_16"/>
      <w:bookmarkStart w:id="667" w:name="Tc_R2XsNqlvwEiDDrF-o0oKmg_9_14"/>
      <w:bookmarkStart w:id="668" w:name="Tc_9_dPkYryBESjGY15ynETOg_9_11"/>
      <w:bookmarkStart w:id="669" w:name="Tc_6FZFXXP5r0KLSqrL8FMUGQ_9_5"/>
      <w:bookmarkStart w:id="670" w:name="Tc_8RF_thmDG0yH6P8cYB5q_g_9_4"/>
      <w:bookmarkStart w:id="671" w:name="Tc_tVtrisehskeMXvYTVb4ACw_9_2"/>
      <w:bookmarkStart w:id="672" w:name="Tc_DFQy59zIqEeEzppzJBAB1Q_9_0"/>
      <w:bookmarkStart w:id="673" w:name="Tc_J-1iLSgQck-rd4GyffqaSQ_8_16"/>
      <w:bookmarkStart w:id="674" w:name="Tc_8W-wZGHFP0uc_RYrs4CwPg_8_14"/>
      <w:bookmarkStart w:id="675" w:name="Tc_mX1L_Ljr20WboAMu4RbOuw_8_8"/>
      <w:bookmarkStart w:id="676" w:name="Tc_SjhJfQ858Eyr-jd6rZirCw_8_5"/>
      <w:bookmarkStart w:id="677" w:name="Tc_Df3U1ApIDU6KhNJYn77b4Q_8_4"/>
      <w:bookmarkStart w:id="678" w:name="Tc_mB4p-A9K4UqyKRxVLd9IMg_8_2"/>
      <w:bookmarkStart w:id="679" w:name="Tc_FiyNUy1eTUO7mHvybmC9hA_8_0"/>
      <w:bookmarkStart w:id="680" w:name="Tc_G_RZk7QDVEijJvH2ZmuoNg_7_16"/>
      <w:bookmarkStart w:id="681" w:name="Tc_GfZTL5Dmj0q256QW_sJg-A_7_14"/>
      <w:bookmarkStart w:id="682" w:name="Tc_1jAcZhc-5kOaBYfkGrJ8JQ_7_8"/>
      <w:bookmarkStart w:id="683" w:name="Tc_-_xJVJ3YSEaqra4mpz928w_7_5"/>
      <w:bookmarkStart w:id="684" w:name="Tc_gk2Jbxc3HEeV4sMfu6K-EQ_7_4"/>
      <w:bookmarkStart w:id="685" w:name="Tc_6cOJdTHWqEalcLgqoges3A_7_2"/>
      <w:bookmarkStart w:id="686" w:name="Tc_zuV86yf3PEue8fZJK2x4bg_7_0"/>
      <w:bookmarkStart w:id="687" w:name="Tc_i0d0XWHen0emx9uxML8szA_6_16"/>
      <w:bookmarkStart w:id="688" w:name="Tc_8AxmpKXShE2Ubdaegzx4AA_6_13"/>
      <w:bookmarkStart w:id="689" w:name="Tc_VJt_Ad8xIUyTiQ9NYQnozg_6_10"/>
      <w:bookmarkStart w:id="690" w:name="Tc_5aaZFsgmwUuua4ODV0w6BQ_6_7"/>
      <w:bookmarkStart w:id="691" w:name="Tc_cXiFQAO640-7lLjnyuum7A_6_4"/>
      <w:bookmarkStart w:id="692" w:name="Tc_VCRI8hAISkat1oq_FS4mTg_6_0"/>
      <w:bookmarkStart w:id="693" w:name="Tc__quTcMS4UEij1i5bqGIQgQ_5_16"/>
      <w:bookmarkStart w:id="694" w:name="Tc_zekqM8cSvUiN5iNGwONaYg_5_13"/>
      <w:bookmarkStart w:id="695" w:name="Tc_yVK6jU_gkEOmIn7CfyJBMQ_5_10"/>
      <w:bookmarkStart w:id="696" w:name="Tc_guYbqrl6-EG8bkXHF97MdQ_5_7"/>
      <w:bookmarkStart w:id="697" w:name="Tc_VgkXNUVfGkSU4UctgEtd7w_5_4"/>
      <w:bookmarkStart w:id="698" w:name="Tc_kxfgb252v0axzHN78EA2-A_5_2"/>
      <w:bookmarkStart w:id="699" w:name="Tc_tCIOykmwWUW1YAhJK0dr-Q_4_16"/>
      <w:bookmarkStart w:id="700" w:name="Tc_D-Mv6v5y206rwCX9qFB3jQ_4_13"/>
      <w:bookmarkStart w:id="701" w:name="Tc_Heuy5gJn3EGytg73rLESkg_4_10"/>
      <w:bookmarkStart w:id="702" w:name="Tc_ABFSazReS0SjSkwVTory2g_4_7"/>
      <w:bookmarkStart w:id="703" w:name="Tc_6HUee5ZgbUqq3ns4bM0nLw_4_2"/>
      <w:bookmarkStart w:id="704" w:name="Tc_Qj6VX1OsekaX3XfZ7Fjdww_3_16"/>
      <w:bookmarkStart w:id="705" w:name="Tc_DYlbc6zrGk6gGn52dion7w_3_13"/>
      <w:bookmarkStart w:id="706" w:name="Tc_tYWnGI6pGUmVdLz0KYxJ9g_3_7"/>
      <w:bookmarkStart w:id="707" w:name="Tc_v8da7ks1hE-DTH3eghB7wQ_2_13"/>
      <w:bookmarkStart w:id="708" w:name="Tc_7LQsDAw_wUm6LouUqELeeQ_1_13"/>
      <w:bookmarkStart w:id="709" w:name="_3c67aada_593e_4bac_86c9_70e76a281261"/>
      <w:bookmarkStart w:id="710" w:name="Tc_xFlRaE_BPkC7W70aWlFkpg_25_16"/>
      <w:bookmarkStart w:id="711" w:name="Tc_c48D_QShaE6bl_hGn-db3A_25_13"/>
      <w:bookmarkStart w:id="712" w:name="Tc_CVJPCdVcVkyaRGJvLvoyWA_25_10"/>
      <w:bookmarkStart w:id="713" w:name="Tc_KcXkYi8i2EiMmTjtsvm_kw_25_7"/>
      <w:bookmarkStart w:id="714" w:name="Tc_cdVqjaSzck6ikG_-ramfJA_25_4"/>
      <w:bookmarkStart w:id="715" w:name="Tc_ux4OuL2N0kSUILEPTPUc0g_25_0"/>
      <w:bookmarkStart w:id="716" w:name="Tc_V77CHuEO_kmrJ84kVYNR0g_24_16"/>
      <w:bookmarkStart w:id="717" w:name="Tc_eQDOaY98kUqJBTZcecaOWw_24_11"/>
      <w:bookmarkStart w:id="718" w:name="Tc_d2WqbaS-TEWvuDZ1VgqL5w_24_8"/>
      <w:bookmarkStart w:id="719" w:name="Tc_bbRExznBmUSYh10NSVAD-Q_24_5"/>
      <w:bookmarkStart w:id="720" w:name="Tc_eaHZMeFoNEu5FrszKaifkw_24_4"/>
      <w:bookmarkStart w:id="721" w:name="Tc_bUCW1kuG8EimqlwBvLCEhg_24_2"/>
      <w:bookmarkStart w:id="722" w:name="Tc_-A-v5wl_vkCOtYZfiplCWw_24_0"/>
      <w:bookmarkStart w:id="723" w:name="Tc_7mbTZbFjN06aTaRJITLUDQ_23_16"/>
      <w:bookmarkStart w:id="724" w:name="Tc_0TAz6dcopk--7YiMxvRKJQ_23_14"/>
      <w:bookmarkStart w:id="725" w:name="Tc_wvmE-UTwhUSE7ilL2I_J3g_23_11"/>
      <w:bookmarkStart w:id="726" w:name="Tc_o1kHrP15p0uFu1LeLTfz2Q_23_5"/>
      <w:bookmarkStart w:id="727" w:name="Tc_4uy_b6zFhUq4AYxKlghYqw_23_4"/>
      <w:bookmarkStart w:id="728" w:name="Tc_KBfBbfjVHEqMolfl6hJDxA_23_0"/>
      <w:bookmarkStart w:id="729" w:name="Tc_j8d2L03ul0OCrV7Wc2jw4Q_22_16"/>
      <w:bookmarkStart w:id="730" w:name="Tc_RxCpg-2oOEm0zaTH1mUimg_22_14"/>
      <w:bookmarkStart w:id="731" w:name="Tc_PNfrYdG1mUqtfaBkgzZN4g_22_11"/>
      <w:bookmarkStart w:id="732" w:name="Tc_whaxDtqh706CPdVC5viP1A_22_5"/>
      <w:bookmarkStart w:id="733" w:name="Tc_vJkRwdV-3kS8117xgIteHQ_22_4"/>
      <w:bookmarkStart w:id="734" w:name="Tc_qa9xPhLZcUeOYVX57bVlVA_22_0"/>
      <w:bookmarkStart w:id="735" w:name="Tc_8gUc9KLaH0Se_AUGQb01Fw_21_17"/>
      <w:bookmarkStart w:id="736" w:name="Tc_iB9r-nr8pEaXL9esgfJSBw_21_16"/>
      <w:bookmarkStart w:id="737" w:name="Tc_VEULXbj09E2Nbacu2FHNwQ_21_14"/>
      <w:bookmarkStart w:id="738" w:name="Tc_M8MMiA6ojUGanFJqFPe0Jg_21_11"/>
      <w:bookmarkStart w:id="739" w:name="Tc_WgJtjvUx3kSAAcDCgVqSkA_21_8"/>
      <w:bookmarkStart w:id="740" w:name="Tc_1huGtzmKhU2F7x25rSTAnA_21_5"/>
      <w:bookmarkStart w:id="741" w:name="Tc_lBK2qEmilEyKFqxnesSqdw_21_4"/>
      <w:bookmarkStart w:id="742" w:name="Tc__592NW4D206SM8l7TkwHOA_21_0"/>
      <w:bookmarkStart w:id="743" w:name="Tc_CMKwUleLYkOceHamopF_DA_20_16"/>
      <w:bookmarkStart w:id="744" w:name="Tc_woXxh0fkyU-5XDXX__T2Og_20_14"/>
      <w:bookmarkStart w:id="745" w:name="Tc_hifpWcdytU-JWJ3ZvUujxw_20_11"/>
      <w:bookmarkStart w:id="746" w:name="Tc_t9yRrbWf-Uy8zFH8Y2i7Fw_20_5"/>
      <w:bookmarkStart w:id="747" w:name="Tc_BJdpqsfIIEKeitnZwEIL6g_20_4"/>
      <w:bookmarkStart w:id="748" w:name="Tc_CVshtzpZ-kGFUNPhedA2bg_20_0"/>
      <w:bookmarkStart w:id="749" w:name="Tc_Y7-D1MDelk-J1Ip-euYTgQ_19_16"/>
      <w:bookmarkStart w:id="750" w:name="Tc_7BtunvrjRkWzJYC4TtyT-A_19_14"/>
      <w:bookmarkStart w:id="751" w:name="Tc_HZcEAzD8hkOmh4g0JVdPLg_19_11"/>
      <w:bookmarkStart w:id="752" w:name="Tc_FFzlE1X1H0y3ObxsPadWrA_19_5"/>
      <w:bookmarkStart w:id="753" w:name="Tc_dJD1DgCq80uze3lTBjlclQ_19_4"/>
      <w:bookmarkStart w:id="754" w:name="Tc_6-R4TpFnD0aHkyC6q84Slg_19_2"/>
      <w:bookmarkStart w:id="755" w:name="Tc_RLD9sKs2KEW2QA-W9hCE3A_19_0"/>
      <w:bookmarkStart w:id="756" w:name="Tc_XRhqZa3mQkqMzWfpb3IfjQ_18_16"/>
      <w:bookmarkStart w:id="757" w:name="Tc_Xb3E-BxXoE-hGhHYRR4nJw_18_14"/>
      <w:bookmarkStart w:id="758" w:name="Tc_B-b-2AQ9G0KYjYXh4orX8w_18_8"/>
      <w:bookmarkStart w:id="759" w:name="Tc_fT2KyfoqV0GMAFnvRqBLTw_18_5"/>
      <w:bookmarkStart w:id="760" w:name="Tc_N3n8aHYlLUSATuOt7ItK2w_18_4"/>
      <w:bookmarkStart w:id="761" w:name="Tc_2AZ1Qljj10CFPPf4RthF9A_18_2"/>
      <w:bookmarkStart w:id="762" w:name="Tc_lVJO5SiXi0y3oc1D0eN7Kw_18_0"/>
      <w:bookmarkStart w:id="763" w:name="Tc_7lR_xrSSeUG0bIGb-4INtA_17_16"/>
      <w:bookmarkStart w:id="764" w:name="Tc_4oUJ-G0b90-25FBbe6oTrw_17_14"/>
      <w:bookmarkStart w:id="765" w:name="Tc_OE9e2t_6aUSVA_0r_vUpIA_17_8"/>
      <w:bookmarkStart w:id="766" w:name="Tc_dnqPkj2wvUSHVywr6Ywz5g_17_5"/>
      <w:bookmarkStart w:id="767" w:name="Tc_A8wY5xRIp0mcLmd-FcmAWg_17_4"/>
      <w:bookmarkStart w:id="768" w:name="Tc_4Iw7KtpReE6bdbZxhutc0g_17_2"/>
      <w:bookmarkStart w:id="769" w:name="Tc_6-FgcGKxYEWi0SVideV9uw_17_0"/>
      <w:bookmarkStart w:id="770" w:name="Tc_orUb_mWLC0OS0yRyYAgYEQ_16_16"/>
      <w:bookmarkStart w:id="771" w:name="Tc_KmxjXK3w10KV6alse-rjAA_16_13"/>
      <w:bookmarkStart w:id="772" w:name="Tc_7jVo_Z7jbEmJRk3Z89Qy_A_16_10"/>
      <w:bookmarkStart w:id="773" w:name="Tc_rSDfwOaTeU2IgX5Y2gQNBg_16_7"/>
      <w:bookmarkStart w:id="774" w:name="Tc_TUV_VxN9Z0uYz_0GZopQEw_16_4"/>
      <w:bookmarkStart w:id="775" w:name="Tc_YeKSurQbnUOOARVcanBQNg_16_0"/>
      <w:bookmarkStart w:id="776" w:name="Tc_Lzu8RWfjhEuQs65nF80q9Q_14_16"/>
      <w:bookmarkStart w:id="777" w:name="Tc_mL2tyube0UmMS0LAyFa-KQ_14_13"/>
      <w:bookmarkStart w:id="778" w:name="Tc_E0zhZlQvkUCHwhYc7ZTYsQ_14_10"/>
      <w:bookmarkStart w:id="779" w:name="Tc_XuxcaAa2REmLAO8QjnwiIQ_14_7"/>
      <w:bookmarkStart w:id="780" w:name="Tc_zJMDw6ycgkSKLtvVJLUqEw_14_4"/>
      <w:bookmarkStart w:id="781" w:name="Tc_QxXw_A6DJkKrnlYMk3VEoQ_14_0"/>
      <w:bookmarkStart w:id="782" w:name="Tc_gfP7uIqPA0eDJdAwuMdvKA_13_16"/>
      <w:bookmarkStart w:id="783" w:name="Tc_Z_osUqWQ2UqqHlQukxH6Ng_13_8"/>
      <w:bookmarkStart w:id="784" w:name="Tc_Q0wMbRhYCUOQYdf-K86qQw_13_5"/>
      <w:bookmarkStart w:id="785" w:name="Tc_3oLuvubO5EeF9Kn3Q9QJPw_13_4"/>
      <w:bookmarkStart w:id="786" w:name="Tc_--5fB_lw4kK6TmmVOs2M2Q_13_2"/>
      <w:bookmarkStart w:id="787" w:name="Tc_gtO_GIRb_0KDnVhEGVHKoQ_13_0"/>
      <w:bookmarkStart w:id="788" w:name="Tc_6b80TQ_G-UqAu0aEN38cBw_12_16"/>
      <w:bookmarkStart w:id="789" w:name="Tc_Jb3o9UeoQ0icHF0rI3IU8g_12_14"/>
      <w:bookmarkStart w:id="790" w:name="Tc_oz_9yHMUsESD9VKQvxwlhg_12_11"/>
      <w:bookmarkStart w:id="791" w:name="Tc_tqNEcwYHKUu4Fk-W1pCNFA_12_5"/>
      <w:bookmarkStart w:id="792" w:name="Tc__Ne9zBzc50un4tbYFWM-3Q_12_4"/>
      <w:bookmarkStart w:id="793" w:name="Tc_dBqR6PNlmUm46P9GfpywMA_12_0"/>
      <w:bookmarkStart w:id="794" w:name="Tc_Ci6ZkrQYl0WCm-QNQ-YaWg_11_16"/>
      <w:bookmarkStart w:id="795" w:name="Tc_YlzK6Le5gEis1D-IDa8u9A_11_14"/>
      <w:bookmarkStart w:id="796" w:name="Tc_-_Izpmt3Pku9Khj9bJF_0w_11_11"/>
      <w:bookmarkStart w:id="797" w:name="Tc__LlxB8VrSUmuUSeW-6D3Pw_11_4"/>
      <w:bookmarkStart w:id="798" w:name="Tc_yaUT7StjvEKL400laHCoFw_11_0"/>
      <w:bookmarkStart w:id="799" w:name="Tc_rU9Okdc_UkaPv6pfP5lvow_10_14"/>
      <w:bookmarkStart w:id="800" w:name="Tc_va2mKOrRoEamXOExiB9aZw_10_8"/>
      <w:bookmarkStart w:id="801" w:name="Tc_f6mp4j_RaE6KGqdVsG03ow_10_5"/>
      <w:bookmarkStart w:id="802" w:name="Tc_oIfT_m3hREeCaO8sCra8GQ_10_4"/>
      <w:bookmarkStart w:id="803" w:name="Tc_A_E4twCNWEailYTTFvOubg_10_2"/>
      <w:bookmarkStart w:id="804" w:name="Tc_bzgFhPQ6w02mJ4EmpeiwMA_10_0"/>
      <w:bookmarkStart w:id="805" w:name="Tc_x6rRAP1zUEuajiEi8Zsvqw_9_16"/>
      <w:bookmarkStart w:id="806" w:name="Tc_R2XsNqlvwEiDDrF-o0oKmg_9_14"/>
      <w:bookmarkStart w:id="807" w:name="Tc_9_dPkYryBESjGY15ynETOg_9_11"/>
      <w:bookmarkStart w:id="808" w:name="Tc_6FZFXXP5r0KLSqrL8FMUGQ_9_5"/>
      <w:bookmarkStart w:id="809" w:name="Tc_8RF_thmDG0yH6P8cYB5q_g_9_4"/>
      <w:bookmarkStart w:id="810" w:name="Tc_tVtrisehskeMXvYTVb4ACw_9_2"/>
      <w:bookmarkStart w:id="811" w:name="Tc_DFQy59zIqEeEzppzJBAB1Q_9_0"/>
      <w:bookmarkStart w:id="812" w:name="Tc_J-1iLSgQck-rd4GyffqaSQ_8_16"/>
      <w:bookmarkStart w:id="813" w:name="Tc_8W-wZGHFP0uc_RYrs4CwPg_8_14"/>
      <w:bookmarkStart w:id="814" w:name="Tc_mX1L_Ljr20WboAMu4RbOuw_8_8"/>
      <w:bookmarkStart w:id="815" w:name="Tc_SjhJfQ858Eyr-jd6rZirCw_8_5"/>
      <w:bookmarkStart w:id="816" w:name="Tc_Df3U1ApIDU6KhNJYn77b4Q_8_4"/>
      <w:bookmarkStart w:id="817" w:name="Tc_mB4p-A9K4UqyKRxVLd9IMg_8_2"/>
      <w:bookmarkStart w:id="818" w:name="Tc_FiyNUy1eTUO7mHvybmC9hA_8_0"/>
      <w:bookmarkStart w:id="819" w:name="Tc_G_RZk7QDVEijJvH2ZmuoNg_7_16"/>
      <w:bookmarkStart w:id="820" w:name="Tc_GfZTL5Dmj0q256QW_sJg-A_7_14"/>
      <w:bookmarkStart w:id="821" w:name="Tc_1jAcZhc-5kOaBYfkGrJ8JQ_7_8"/>
      <w:bookmarkStart w:id="822" w:name="Tc_-_xJVJ3YSEaqra4mpz928w_7_5"/>
      <w:bookmarkStart w:id="823" w:name="Tc_gk2Jbxc3HEeV4sMfu6K-EQ_7_4"/>
      <w:bookmarkStart w:id="824" w:name="Tc_6cOJdTHWqEalcLgqoges3A_7_2"/>
      <w:bookmarkStart w:id="825" w:name="Tc_zuV86yf3PEue8fZJK2x4bg_7_0"/>
      <w:bookmarkStart w:id="826" w:name="Tc_i0d0XWHen0emx9uxML8szA_6_16"/>
      <w:bookmarkStart w:id="827" w:name="Tc_8AxmpKXShE2Ubdaegzx4AA_6_13"/>
      <w:bookmarkStart w:id="828" w:name="Tc_VJt_Ad8xIUyTiQ9NYQnozg_6_10"/>
      <w:bookmarkStart w:id="829" w:name="Tc_5aaZFsgmwUuua4ODV0w6BQ_6_7"/>
      <w:bookmarkStart w:id="830" w:name="Tc_cXiFQAO640-7lLjnyuum7A_6_4"/>
      <w:bookmarkStart w:id="831" w:name="Tc_VCRI8hAISkat1oq_FS4mTg_6_0"/>
      <w:bookmarkStart w:id="832" w:name="Tc__quTcMS4UEij1i5bqGIQgQ_5_16"/>
      <w:bookmarkStart w:id="833" w:name="Tc_zekqM8cSvUiN5iNGwONaYg_5_13"/>
      <w:bookmarkStart w:id="834" w:name="Tc_yVK6jU_gkEOmIn7CfyJBMQ_5_10"/>
      <w:bookmarkStart w:id="835" w:name="Tc_guYbqrl6-EG8bkXHF97MdQ_5_7"/>
      <w:bookmarkStart w:id="836" w:name="Tc_VgkXNUVfGkSU4UctgEtd7w_5_4"/>
      <w:bookmarkStart w:id="837" w:name="Tc_kxfgb252v0axzHN78EA2-A_5_2"/>
      <w:bookmarkStart w:id="838" w:name="Tc_tCIOykmwWUW1YAhJK0dr-Q_4_16"/>
      <w:bookmarkStart w:id="839" w:name="Tc_D-Mv6v5y206rwCX9qFB3jQ_4_13"/>
      <w:bookmarkStart w:id="840" w:name="Tc_Heuy5gJn3EGytg73rLESkg_4_10"/>
      <w:bookmarkStart w:id="841" w:name="Tc_ABFSazReS0SjSkwVTory2g_4_7"/>
      <w:bookmarkStart w:id="842" w:name="Tc_6HUee5ZgbUqq3ns4bM0nLw_4_2"/>
      <w:bookmarkStart w:id="843" w:name="Tc_Qj6VX1OsekaX3XfZ7Fjdww_3_16"/>
      <w:bookmarkStart w:id="844" w:name="Tc_DYlbc6zrGk6gGn52dion7w_3_13"/>
      <w:bookmarkStart w:id="845" w:name="Tc_tYWnGI6pGUmVdLz0KYxJ9g_3_7"/>
      <w:bookmarkStart w:id="846" w:name="Tc_v8da7ks1hE-DTH3eghB7wQ_2_13"/>
      <w:bookmarkStart w:id="847" w:name="Tc_7LQsDAw_wUm6LouUqELeeQ_1_13"/>
      <w:bookmarkStart w:id="848" w:name="_3c67aada_593e_4bac_86c9_70e76a281261"/>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tbl>
      <w:tblPr>
        <w:tblW w:w="10205" w:type="dxa"/>
        <w:jc w:val="left"/>
        <w:tblInd w:w="0" w:type="dxa"/>
        <w:tblLayout w:type="fixed"/>
        <w:tblCellMar>
          <w:top w:w="0" w:type="dxa"/>
          <w:left w:w="0" w:type="dxa"/>
          <w:bottom w:w="0" w:type="dxa"/>
          <w:right w:w="0" w:type="dxa"/>
        </w:tblCellMar>
      </w:tblPr>
      <w:tblGrid>
        <w:gridCol w:w="2409"/>
        <w:gridCol w:w="326"/>
        <w:gridCol w:w="931"/>
        <w:gridCol w:w="326"/>
        <w:gridCol w:w="256"/>
        <w:gridCol w:w="420"/>
        <w:gridCol w:w="326"/>
        <w:gridCol w:w="211"/>
        <w:gridCol w:w="746"/>
        <w:gridCol w:w="326"/>
        <w:gridCol w:w="211"/>
        <w:gridCol w:w="781"/>
        <w:gridCol w:w="326"/>
        <w:gridCol w:w="263"/>
        <w:gridCol w:w="923"/>
        <w:gridCol w:w="326"/>
        <w:gridCol w:w="211"/>
        <w:gridCol w:w="887"/>
      </w:tblGrid>
      <w:tr>
        <w:trPr/>
        <w:tc>
          <w:tcPr>
            <w:tcW w:w="2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29715" cy="175260"/>
                      <wp:effectExtent l="0" t="0" r="0" b="0"/>
                      <wp:wrapNone/>
                      <wp:docPr id="67" name="Frame67"/>
                      <a:graphic xmlns:a="http://schemas.openxmlformats.org/drawingml/2006/main">
                        <a:graphicData uri="http://schemas.microsoft.com/office/word/2010/wordprocessingShape">
                          <wps:wsp>
                            <wps:cNvSpPr txBox="1"/>
                            <wps:spPr>
                              <a:xfrm>
                                <a:off x="0" y="0"/>
                                <a:ext cx="152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91185" cy="175260"/>
                      <wp:effectExtent l="0" t="0" r="0" b="0"/>
                      <wp:wrapNone/>
                      <wp:docPr id="69" name="Frame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62560" cy="175260"/>
                      <wp:effectExtent l="0" t="0" r="0" b="0"/>
                      <wp:wrapNone/>
                      <wp:docPr id="71" name="Frame71"/>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66700" cy="175260"/>
                      <wp:effectExtent l="0" t="0" r="0" b="0"/>
                      <wp:wrapNone/>
                      <wp:docPr id="72" name="Frame72"/>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33985" cy="175260"/>
                      <wp:effectExtent l="0" t="0" r="0" b="0"/>
                      <wp:wrapNone/>
                      <wp:docPr id="74" name="Frame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73710" cy="175260"/>
                      <wp:effectExtent l="0" t="0" r="0" b="0"/>
                      <wp:wrapNone/>
                      <wp:docPr id="75" name="Frame75"/>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78"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67005" cy="175260"/>
                      <wp:effectExtent l="0" t="0" r="0" b="0"/>
                      <wp:wrapNone/>
                      <wp:docPr id="80" name="Frame8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86105" cy="175260"/>
                      <wp:effectExtent l="0" t="0" r="0" b="0"/>
                      <wp:wrapNone/>
                      <wp:docPr id="81" name="Frame81"/>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3985" cy="175260"/>
                      <wp:effectExtent l="0" t="0" r="0" b="0"/>
                      <wp:wrapNone/>
                      <wp:docPr id="83"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63245" cy="175260"/>
                      <wp:effectExtent l="0" t="0" r="0" b="0"/>
                      <wp:wrapNone/>
                      <wp:docPr id="84" name="Frame8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center"/>
              <w:rPr/>
            </w:pPr>
            <w:r>
              <w:rPr/>
              <w:t>​</w:t>
            </w:r>
          </w:p>
        </w:tc>
        <w:tc>
          <w:tcPr>
            <w:tcW w:w="4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4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center"/>
              <w:rPr/>
            </w:pPr>
            <w:r>
              <w:rPr/>
              <w:t>​</w:t>
            </w:r>
          </w:p>
        </w:tc>
        <w:tc>
          <w:tcPr>
            <w:tcW w:w="4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center"/>
              <w:rPr/>
            </w:pPr>
            <w:r>
              <w:rPr/>
              <w:t>​</w:t>
            </w:r>
          </w:p>
        </w:tc>
      </w:tr>
      <w:tr>
        <w:trPr/>
        <w:tc>
          <w:tcPr>
            <w:tcW w:w="24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5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Additional</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Comprehensive</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Total </w:t>
            </w:r>
          </w:p>
        </w:tc>
      </w:tr>
      <w:tr>
        <w:trPr/>
        <w:tc>
          <w:tcPr>
            <w:tcW w:w="24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w:t>
            </w:r>
          </w:p>
        </w:tc>
        <w:tc>
          <w:tcPr>
            <w:tcW w:w="326" w:type="dxa"/>
            <w:tcBorders/>
            <w:vAlign w:val="center"/>
          </w:tcPr>
          <w:p>
            <w:pPr>
              <w:pStyle w:val="TableContents"/>
              <w:bidi w:val="0"/>
              <w:spacing w:before="0" w:after="0"/>
              <w:ind w:left="0" w:right="0" w:hanging="0"/>
              <w:jc w:val="left"/>
              <w:rPr/>
            </w:pPr>
            <w:r>
              <w:rPr/>
              <w:t>​</w:t>
            </w:r>
          </w:p>
        </w:tc>
        <w:tc>
          <w:tcPr>
            <w:tcW w:w="95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Paid-in</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Retained</w:t>
            </w:r>
          </w:p>
        </w:tc>
        <w:tc>
          <w:tcPr>
            <w:tcW w:w="326" w:type="dxa"/>
            <w:tcBorders/>
            <w:vAlign w:val="center"/>
          </w:tcPr>
          <w:p>
            <w:pPr>
              <w:pStyle w:val="TableContents"/>
              <w:bidi w:val="0"/>
              <w:spacing w:before="0" w:after="0"/>
              <w:ind w:left="0" w:right="0" w:hanging="0"/>
              <w:jc w:val="center"/>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Income (Loss),</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Stockholders'</w:t>
            </w:r>
          </w:p>
        </w:tc>
      </w:tr>
      <w:tr>
        <w:trPr/>
        <w:tc>
          <w:tcPr>
            <w:tcW w:w="24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Shares</w:t>
            </w:r>
          </w:p>
        </w:tc>
        <w:tc>
          <w:tcPr>
            <w:tcW w:w="326" w:type="dxa"/>
            <w:tcBorders/>
            <w:vAlign w:val="center"/>
          </w:tcPr>
          <w:p>
            <w:pPr>
              <w:pStyle w:val="TableContents"/>
              <w:bidi w:val="0"/>
              <w:spacing w:before="0" w:after="0"/>
              <w:ind w:left="0" w:right="0" w:hanging="0"/>
              <w:jc w:val="center"/>
              <w:rPr/>
            </w:pPr>
            <w:r>
              <w:rPr/>
              <w:t>​</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Amount</w:t>
            </w:r>
          </w:p>
        </w:tc>
        <w:tc>
          <w:tcPr>
            <w:tcW w:w="326" w:type="dxa"/>
            <w:tcBorders/>
            <w:vAlign w:val="center"/>
          </w:tcPr>
          <w:p>
            <w:pPr>
              <w:pStyle w:val="TableContents"/>
              <w:bidi w:val="0"/>
              <w:spacing w:before="0" w:after="0"/>
              <w:ind w:left="0" w:right="0" w:hanging="0"/>
              <w:jc w:val="center"/>
              <w:rPr/>
            </w:pPr>
            <w:r>
              <w:rPr/>
              <w:t>​</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Capital</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Earnings</w:t>
            </w:r>
          </w:p>
        </w:tc>
        <w:tc>
          <w:tcPr>
            <w:tcW w:w="326" w:type="dxa"/>
            <w:tcBorders/>
            <w:vAlign w:val="center"/>
          </w:tcPr>
          <w:p>
            <w:pPr>
              <w:pStyle w:val="TableContents"/>
              <w:bidi w:val="0"/>
              <w:spacing w:before="0" w:after="0"/>
              <w:ind w:left="0" w:right="0" w:hanging="0"/>
              <w:jc w:val="center"/>
              <w:rPr/>
            </w:pPr>
            <w:r>
              <w:rPr/>
              <w:t>​</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Net of Tax</w:t>
            </w:r>
          </w:p>
        </w:tc>
        <w:tc>
          <w:tcPr>
            <w:tcW w:w="326"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Equity</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January 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8,169,887</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179,215</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247,507</w:t>
            </w:r>
          </w:p>
        </w:tc>
      </w:tr>
      <w:tr>
        <w:trPr/>
        <w:tc>
          <w:tcPr>
            <w:tcW w:w="2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13,569</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13,569</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($0.50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(4,006)</w:t>
            </w:r>
          </w:p>
        </w:tc>
      </w:tr>
      <w:tr>
        <w:trPr/>
        <w:tc>
          <w:tcPr>
            <w:tcW w:w="2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credit standard (Topic 326) - impact in year of adoption</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r>
      <w:tr>
        <w:trPr/>
        <w:tc>
          <w:tcPr>
            <w:tcW w:w="2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repurchased - repurchase plan</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(476,607)</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(13,896)</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exercised, net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32,952</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2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net of tax</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(21,892)</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7,726,232</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189,075</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222,641</w:t>
            </w:r>
          </w:p>
        </w:tc>
      </w:tr>
      <w:tr>
        <w:trPr/>
        <w:tc>
          <w:tcPr>
            <w:tcW w:w="24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7,736,185</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202,065</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231,697</w:t>
            </w:r>
          </w:p>
        </w:tc>
      </w:tr>
      <w:tr>
        <w:trPr/>
        <w:tc>
          <w:tcPr>
            <w:tcW w:w="2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17,328</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17,328</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 ($0.50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(3,874)</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(3,874)</w:t>
            </w:r>
          </w:p>
        </w:tc>
      </w:tr>
      <w:tr>
        <w:trPr/>
        <w:tc>
          <w:tcPr>
            <w:tcW w:w="2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stock-employee stock purchase plan</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16,449</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2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awards forfeited</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(4,812)</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pPr>
            <w:r>
              <w:rPr/>
              <w:t>—</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repurchased for employee/director taxes paid on restricted stock awards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exercised, net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6,225</w:t>
            </w:r>
          </w:p>
        </w:tc>
        <w:tc>
          <w:tcPr>
            <w:tcW w:w="32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9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2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w:t>
            </w:r>
          </w:p>
        </w:tc>
      </w:tr>
      <w:tr>
        <w:trPr/>
        <w:tc>
          <w:tcPr>
            <w:tcW w:w="240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BALANCE, June 30, 2023</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7,753,607</w:t>
            </w:r>
          </w:p>
        </w:tc>
        <w:tc>
          <w:tcPr>
            <w:tcW w:w="32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215,519</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249,933</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See accompanying notes to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849" w:name="EQUITY2"/>
      <w:bookmarkEnd w:id="849"/>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FS BANCORP, INC. AND SUBSIDIARY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(In thousands) (Unaudited)</w:t>
      </w:r>
    </w:p>
    <w:p>
      <w:pPr>
        <w:pStyle w:val="TextBody"/>
        <w:bidi w:val="0"/>
        <w:spacing w:before="0" w:after="0"/>
        <w:ind w:left="0" w:right="0" w:hanging="0"/>
        <w:jc w:val="left"/>
        <w:rPr/>
      </w:pPr>
      <w:bookmarkStart w:id="850" w:name="CashFlows"/>
      <w:bookmarkStart w:id="851" w:name="_e1f4c190_1031_43e7_8a8e_851e15b90bcd"/>
      <w:bookmarkEnd w:id="850"/>
      <w:bookmarkEnd w:id="851"/>
      <w:r>
        <w:rPr/>
        <w:t>​</w:t>
      </w:r>
    </w:p>
    <w:p>
      <w:pPr>
        <w:pStyle w:val="Normal"/>
        <w:bidi w:val="0"/>
        <w:spacing w:before="0" w:after="0"/>
        <w:jc w:val="left"/>
        <w:rPr>
          <w:sz w:val="4"/>
          <w:szCs w:val="4"/>
        </w:rPr>
      </w:pPr>
      <w:r>
        <w:rPr>
          <w:sz w:val="4"/>
          <w:szCs w:val="4"/>
        </w:rPr>
      </w:r>
      <w:bookmarkStart w:id="852" w:name="Tc_kTQOKe3PZEu4IIvDxwjJxw_46_5"/>
      <w:bookmarkStart w:id="853" w:name="Tc_zWEEMylpGU6Pv7KIVyyWjQ_46_2"/>
      <w:bookmarkStart w:id="854" w:name="Tc_gFxjR2QWkkC4cgeiuRGLDA_46_0"/>
      <w:bookmarkStart w:id="855" w:name="Tc_0P8PNB_g0UGeitbjU9H2TA_45_0"/>
      <w:bookmarkStart w:id="856" w:name="Tc_m5nQvBZiz0Wz4Rx-wMhA9w_43_0"/>
      <w:bookmarkStart w:id="857" w:name="Tc_YZyV6Jc8e0ikwxbkWesa-g_42_0"/>
      <w:bookmarkStart w:id="858" w:name="Tc_jLjjGLA9e0Csl0H_3Lt6JQ_41_3"/>
      <w:bookmarkStart w:id="859" w:name="Tc_Wn6VJTYg_EKeSPk69IGC8g_41_0"/>
      <w:bookmarkStart w:id="860" w:name="Tc_KEaRs1Gx00qVnW3jrvjYjg_40_6"/>
      <w:bookmarkStart w:id="861" w:name="Tc_fZr5qiLOJkaegnus6UODAw_40_0"/>
      <w:bookmarkStart w:id="862" w:name="Tc_5uhWpVXoaUeAuOWYNm01Lw_39_6"/>
      <w:bookmarkStart w:id="863" w:name="Tc_dY7j3EzIyU64x3gj1MW5KA_39_0"/>
      <w:bookmarkStart w:id="864" w:name="Tc_Dp4SyS_kCEW4yolQv8Xj4Q_38_0"/>
      <w:bookmarkStart w:id="865" w:name="Tc_BIGUf7t79kS3RX6E89Ncfg_37_0"/>
      <w:bookmarkStart w:id="866" w:name="Tc_wEgT7KLZnEOk4UT9DpyCCw_36_0"/>
      <w:bookmarkStart w:id="867" w:name="Tc_EiRNV5-1Q0ipQ-rBSBEZ0g_35_0"/>
      <w:bookmarkStart w:id="868" w:name="Tc_mS4Rj_ArIEOh7qdPVJ2kbQ_34_0"/>
      <w:bookmarkStart w:id="869" w:name="Tc_KvwzDvpt7ESmC1sKKNurxQ_33_0"/>
      <w:bookmarkStart w:id="870" w:name="Tc_Rhqs7vK71ES7HlDDCfFFMg_32_0"/>
      <w:bookmarkStart w:id="871" w:name="Tc_M2AGV26ZEUWlhcXkYovYbA_31_0"/>
      <w:bookmarkStart w:id="872" w:name="Tc_4uCIGGV02kicCnVwY3QZQA_30_3"/>
      <w:bookmarkStart w:id="873" w:name="Tc_tm7OrTQoPkChcZ3nCi9I7A_30_0"/>
      <w:bookmarkStart w:id="874" w:name="Tc_aix5iDc6uEei6G0vFCb1pQ_29_0"/>
      <w:bookmarkStart w:id="875" w:name="Tc_Nq5RD5lU0k2g2_LYC95mBQ_28_0"/>
      <w:bookmarkStart w:id="876" w:name="Tc_2MvcX8mbKESEYSrhmsEHmg_27_6"/>
      <w:bookmarkStart w:id="877" w:name="Tc_u13UY1ShXUuXCRP05UB9yg_27_0"/>
      <w:bookmarkStart w:id="878" w:name="Tc_11bfV5Mc_EKAiHPMj2bSlw_26_0"/>
      <w:bookmarkStart w:id="879" w:name="Tc_Iuq6a0wsI0Km6wdtD1bkJw_25_6"/>
      <w:bookmarkStart w:id="880" w:name="Tc_LvcZVYO9l0Ky_XlIGftM9A_25_0"/>
      <w:bookmarkStart w:id="881" w:name="Tc_xayPLYOg50uc70LZVN_taA_24_3"/>
      <w:bookmarkStart w:id="882" w:name="Tc_w7WEUd7e2Ea8helAi_3iJA_24_0"/>
      <w:bookmarkStart w:id="883" w:name="Tc_VQ0-Ar2w10-llFTOvQ1qBw_23_3"/>
      <w:bookmarkStart w:id="884" w:name="Tc_4d8Yo7UnM0q46wTvkPS1zA_23_0"/>
      <w:bookmarkStart w:id="885" w:name="Tc_--e1jGA6IUODqwfULJLoLg_22_0"/>
      <w:bookmarkStart w:id="886" w:name="Tc_H536RgwO1UK5BlCHo0k6WQ_21_0"/>
      <w:bookmarkStart w:id="887" w:name="Tc_ON0tUlUhi0Keao8_P6s1VQ_20_0"/>
      <w:bookmarkStart w:id="888" w:name="Tc_NPsjE52PkUqR5KHHY6vYZw_19_0"/>
      <w:bookmarkStart w:id="889" w:name="Tc_EjfFt5xsYkWUJnSnO3IFow_18_0"/>
      <w:bookmarkStart w:id="890" w:name="Tc_wkMpDUKb4keQZpHjlj1DPw_17_0"/>
      <w:bookmarkStart w:id="891" w:name="Tc_EevXZmaDiUieZqFOriI9EA_16_0"/>
      <w:bookmarkStart w:id="892" w:name="Tc__5gYxPlpQUG_i0LxVDOvuw_15_0"/>
      <w:bookmarkStart w:id="893" w:name="Tc_BM3_BbPblUGssInltR4W7Q_14_0"/>
      <w:bookmarkStart w:id="894" w:name="Tc_wdjTECGaV0acOekeZcFMjg_13_0"/>
      <w:bookmarkStart w:id="895" w:name="Tc_ZKdOIeuoA0mSR8qRrDk6FA_12_3"/>
      <w:bookmarkStart w:id="896" w:name="Tc_DdcItFLha0iQcmZkeEdkVQ_12_0"/>
      <w:bookmarkStart w:id="897" w:name="Tc_j6TmHctg70WviCPzACRhcg_11_0"/>
      <w:bookmarkStart w:id="898" w:name="Tc_V0fmbHVYckKNpTj5_E3l9Q_10_0"/>
      <w:bookmarkStart w:id="899" w:name="Tc_4k2ELV4FFEKMkMiMmUj5qw_9_0"/>
      <w:bookmarkStart w:id="900" w:name="Tc_TBTPNpDd6kCQeWZgSJrWHQ_8_0"/>
      <w:bookmarkStart w:id="901" w:name="Tc_hjNW2sSBCkGYuhkZXBATBQ_7_0"/>
      <w:bookmarkStart w:id="902" w:name="Tc_pBx1FQ9D3k-3tQh4OcMryA_6_0"/>
      <w:bookmarkStart w:id="903" w:name="Tc_wDqEbplHBE-r6KbwX9VcmA_5_0"/>
      <w:bookmarkStart w:id="904" w:name="Tc_KJjwv34JWk6JWLmitGLFsQ_4_0"/>
      <w:bookmarkStart w:id="905" w:name="Tc_Pw7ZGCWOFUOBmwS16nwaiA_3_5"/>
      <w:bookmarkStart w:id="906" w:name="Tc_w20j-6dNP0K1r8JcSpEJNw_3_2"/>
      <w:bookmarkStart w:id="907" w:name="Tc_4pYT6AterUSSg5GYF2zzcw_3_0"/>
      <w:bookmarkStart w:id="908" w:name="Tc_9Ie1I1SBakWSzItAylwsHg_2_5"/>
      <w:bookmarkStart w:id="909" w:name="Tc_CgOLZ4hnvk23kJSw33q35Q_2_2"/>
      <w:bookmarkStart w:id="910" w:name="Tc_9pYJMVxf8Eanh-f2mdYuEg_2_0"/>
      <w:bookmarkStart w:id="911" w:name="Tc_tw1q3nAQAkOR1fXoWt7Xfg_1_2"/>
      <w:bookmarkStart w:id="912" w:name="_4a7af374_e3ce_4cbb_b2e3_4d1921483d70"/>
      <w:bookmarkStart w:id="913" w:name="Tc_kTQOKe3PZEu4IIvDxwjJxw_46_5"/>
      <w:bookmarkStart w:id="914" w:name="Tc_zWEEMylpGU6Pv7KIVyyWjQ_46_2"/>
      <w:bookmarkStart w:id="915" w:name="Tc_gFxjR2QWkkC4cgeiuRGLDA_46_0"/>
      <w:bookmarkStart w:id="916" w:name="Tc_0P8PNB_g0UGeitbjU9H2TA_45_0"/>
      <w:bookmarkStart w:id="917" w:name="Tc_m5nQvBZiz0Wz4Rx-wMhA9w_43_0"/>
      <w:bookmarkStart w:id="918" w:name="Tc_YZyV6Jc8e0ikwxbkWesa-g_42_0"/>
      <w:bookmarkStart w:id="919" w:name="Tc_jLjjGLA9e0Csl0H_3Lt6JQ_41_3"/>
      <w:bookmarkStart w:id="920" w:name="Tc_Wn6VJTYg_EKeSPk69IGC8g_41_0"/>
      <w:bookmarkStart w:id="921" w:name="Tc_KEaRs1Gx00qVnW3jrvjYjg_40_6"/>
      <w:bookmarkStart w:id="922" w:name="Tc_fZr5qiLOJkaegnus6UODAw_40_0"/>
      <w:bookmarkStart w:id="923" w:name="Tc_5uhWpVXoaUeAuOWYNm01Lw_39_6"/>
      <w:bookmarkStart w:id="924" w:name="Tc_dY7j3EzIyU64x3gj1MW5KA_39_0"/>
      <w:bookmarkStart w:id="925" w:name="Tc_Dp4SyS_kCEW4yolQv8Xj4Q_38_0"/>
      <w:bookmarkStart w:id="926" w:name="Tc_BIGUf7t79kS3RX6E89Ncfg_37_0"/>
      <w:bookmarkStart w:id="927" w:name="Tc_wEgT7KLZnEOk4UT9DpyCCw_36_0"/>
      <w:bookmarkStart w:id="928" w:name="Tc_EiRNV5-1Q0ipQ-rBSBEZ0g_35_0"/>
      <w:bookmarkStart w:id="929" w:name="Tc_mS4Rj_ArIEOh7qdPVJ2kbQ_34_0"/>
      <w:bookmarkStart w:id="930" w:name="Tc_KvwzDvpt7ESmC1sKKNurxQ_33_0"/>
      <w:bookmarkStart w:id="931" w:name="Tc_Rhqs7vK71ES7HlDDCfFFMg_32_0"/>
      <w:bookmarkStart w:id="932" w:name="Tc_M2AGV26ZEUWlhcXkYovYbA_31_0"/>
      <w:bookmarkStart w:id="933" w:name="Tc_4uCIGGV02kicCnVwY3QZQA_30_3"/>
      <w:bookmarkStart w:id="934" w:name="Tc_tm7OrTQoPkChcZ3nCi9I7A_30_0"/>
      <w:bookmarkStart w:id="935" w:name="Tc_aix5iDc6uEei6G0vFCb1pQ_29_0"/>
      <w:bookmarkStart w:id="936" w:name="Tc_Nq5RD5lU0k2g2_LYC95mBQ_28_0"/>
      <w:bookmarkStart w:id="937" w:name="Tc_2MvcX8mbKESEYSrhmsEHmg_27_6"/>
      <w:bookmarkStart w:id="938" w:name="Tc_u13UY1ShXUuXCRP05UB9yg_27_0"/>
      <w:bookmarkStart w:id="939" w:name="Tc_11bfV5Mc_EKAiHPMj2bSlw_26_0"/>
      <w:bookmarkStart w:id="940" w:name="Tc_Iuq6a0wsI0Km6wdtD1bkJw_25_6"/>
      <w:bookmarkStart w:id="941" w:name="Tc_LvcZVYO9l0Ky_XlIGftM9A_25_0"/>
      <w:bookmarkStart w:id="942" w:name="Tc_xayPLYOg50uc70LZVN_taA_24_3"/>
      <w:bookmarkStart w:id="943" w:name="Tc_w7WEUd7e2Ea8helAi_3iJA_24_0"/>
      <w:bookmarkStart w:id="944" w:name="Tc_VQ0-Ar2w10-llFTOvQ1qBw_23_3"/>
      <w:bookmarkStart w:id="945" w:name="Tc_4d8Yo7UnM0q46wTvkPS1zA_23_0"/>
      <w:bookmarkStart w:id="946" w:name="Tc_--e1jGA6IUODqwfULJLoLg_22_0"/>
      <w:bookmarkStart w:id="947" w:name="Tc_H536RgwO1UK5BlCHo0k6WQ_21_0"/>
      <w:bookmarkStart w:id="948" w:name="Tc_ON0tUlUhi0Keao8_P6s1VQ_20_0"/>
      <w:bookmarkStart w:id="949" w:name="Tc_NPsjE52PkUqR5KHHY6vYZw_19_0"/>
      <w:bookmarkStart w:id="950" w:name="Tc_EjfFt5xsYkWUJnSnO3IFow_18_0"/>
      <w:bookmarkStart w:id="951" w:name="Tc_wkMpDUKb4keQZpHjlj1DPw_17_0"/>
      <w:bookmarkStart w:id="952" w:name="Tc_EevXZmaDiUieZqFOriI9EA_16_0"/>
      <w:bookmarkStart w:id="953" w:name="Tc__5gYxPlpQUG_i0LxVDOvuw_15_0"/>
      <w:bookmarkStart w:id="954" w:name="Tc_BM3_BbPblUGssInltR4W7Q_14_0"/>
      <w:bookmarkStart w:id="955" w:name="Tc_wdjTECGaV0acOekeZcFMjg_13_0"/>
      <w:bookmarkStart w:id="956" w:name="Tc_ZKdOIeuoA0mSR8qRrDk6FA_12_3"/>
      <w:bookmarkStart w:id="957" w:name="Tc_DdcItFLha0iQcmZkeEdkVQ_12_0"/>
      <w:bookmarkStart w:id="958" w:name="Tc_j6TmHctg70WviCPzACRhcg_11_0"/>
      <w:bookmarkStart w:id="959" w:name="Tc_V0fmbHVYckKNpTj5_E3l9Q_10_0"/>
      <w:bookmarkStart w:id="960" w:name="Tc_4k2ELV4FFEKMkMiMmUj5qw_9_0"/>
      <w:bookmarkStart w:id="961" w:name="Tc_TBTPNpDd6kCQeWZgSJrWHQ_8_0"/>
      <w:bookmarkStart w:id="962" w:name="Tc_hjNW2sSBCkGYuhkZXBATBQ_7_0"/>
      <w:bookmarkStart w:id="963" w:name="Tc_pBx1FQ9D3k-3tQh4OcMryA_6_0"/>
      <w:bookmarkStart w:id="964" w:name="Tc_wDqEbplHBE-r6KbwX9VcmA_5_0"/>
      <w:bookmarkStart w:id="965" w:name="Tc_KJjwv34JWk6JWLmitGLFsQ_4_0"/>
      <w:bookmarkStart w:id="966" w:name="Tc_Pw7ZGCWOFUOBmwS16nwaiA_3_5"/>
      <w:bookmarkStart w:id="967" w:name="Tc_w20j-6dNP0K1r8JcSpEJNw_3_2"/>
      <w:bookmarkStart w:id="968" w:name="Tc_4pYT6AterUSSg5GYF2zzcw_3_0"/>
      <w:bookmarkStart w:id="969" w:name="Tc_9Ie1I1SBakWSzItAylwsHg_2_5"/>
      <w:bookmarkStart w:id="970" w:name="Tc_CgOLZ4hnvk23kJSw33q35Q_2_2"/>
      <w:bookmarkStart w:id="971" w:name="Tc_9pYJMVxf8Eanh-f2mdYuEg_2_0"/>
      <w:bookmarkStart w:id="972" w:name="Tc_tw1q3nAQAkOR1fXoWt7Xfg_1_2"/>
      <w:bookmarkStart w:id="973" w:name="_4a7af374_e3ce_4cbb_b2e3_4d1921483d70"/>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tbl>
      <w:tblPr>
        <w:tblW w:w="10205" w:type="dxa"/>
        <w:jc w:val="left"/>
        <w:tblInd w:w="0" w:type="dxa"/>
        <w:tblLayout w:type="fixed"/>
        <w:tblCellMar>
          <w:top w:w="0" w:type="dxa"/>
          <w:left w:w="0" w:type="dxa"/>
          <w:bottom w:w="0" w:type="dxa"/>
          <w:right w:w="0" w:type="dxa"/>
        </w:tblCellMar>
      </w:tblPr>
      <w:tblGrid>
        <w:gridCol w:w="7017"/>
        <w:gridCol w:w="386"/>
        <w:gridCol w:w="211"/>
        <w:gridCol w:w="1049"/>
        <w:gridCol w:w="386"/>
        <w:gridCol w:w="211"/>
        <w:gridCol w:w="945"/>
      </w:tblGrid>
      <w:tr>
        <w:trPr/>
        <w:tc>
          <w:tcPr>
            <w:tcW w:w="7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455795" cy="175260"/>
                      <wp:effectExtent l="0" t="0" r="0" b="0"/>
                      <wp:wrapNone/>
                      <wp:docPr id="85" name="Frame85"/>
                      <a:graphic xmlns:a="http://schemas.openxmlformats.org/drawingml/2006/main">
                        <a:graphicData uri="http://schemas.microsoft.com/office/word/2010/wordprocessingShape">
                          <wps:wsp>
                            <wps:cNvSpPr txBox="1"/>
                            <wps:spPr>
                              <a:xfrm>
                                <a:off x="0" y="0"/>
                                <a:ext cx="445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45110" cy="175260"/>
                      <wp:effectExtent l="0" t="0" r="0" b="0"/>
                      <wp:wrapNone/>
                      <wp:docPr id="86" name="Frame86"/>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6115" cy="175260"/>
                      <wp:effectExtent l="0" t="0" r="0" b="0"/>
                      <wp:wrapNone/>
                      <wp:docPr id="88" name="Frame88"/>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45110" cy="175260"/>
                      <wp:effectExtent l="0" t="0" r="0" b="0"/>
                      <wp:wrapNone/>
                      <wp:docPr id="89" name="Frame8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00075" cy="175260"/>
                      <wp:effectExtent l="0" t="0" r="0" b="0"/>
                      <wp:wrapNone/>
                      <wp:docPr id="91" name="Frame91"/>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1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     </w:t>
            </w:r>
          </w:p>
        </w:tc>
        <w:tc>
          <w:tcPr>
            <w:tcW w:w="280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Six Months Ended June 30, </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b/>
                <w:sz w:val="21"/>
              </w:rPr>
            </w:pPr>
            <w:r>
              <w:rPr>
                <w:rFonts w:ascii="Times New Roman;Times;serif" w:hAnsi="Times New Roman;Times;serif"/>
                <w:b/>
                <w:sz w:val="21"/>
              </w:rPr>
              <w:t>CASH FLOWS FROM OPERATING ACTIVITIES</w:t>
            </w:r>
          </w:p>
        </w:tc>
        <w:tc>
          <w:tcPr>
            <w:tcW w:w="386" w:type="dxa"/>
            <w:tcBorders/>
            <w:vAlign w:val="center"/>
          </w:tcPr>
          <w:p>
            <w:pPr>
              <w:pStyle w:val="TableContents"/>
              <w:bidi w:val="0"/>
              <w:spacing w:before="0" w:after="1"/>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8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17,328</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13,569</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i/>
                <w:sz w:val="20"/>
              </w:rPr>
              <w:t>Adjustments to reconcile net income</w:t>
            </w:r>
            <w:r>
              <w:rPr>
                <w:rFonts w:ascii="Times New Roman;Times;serif" w:hAnsi="Times New Roman;Times;serif"/>
                <w:sz w:val="20"/>
              </w:rPr>
              <w:t xml:space="preserve"> </w:t>
            </w:r>
            <w:r>
              <w:rPr>
                <w:rFonts w:ascii="Times New Roman;Times;serif" w:hAnsi="Times New Roman;Times;serif"/>
                <w:i/>
                <w:sz w:val="20"/>
              </w:rPr>
              <w:t>to net cash from operating activities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  </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pPr>
            <w:r>
              <w:rPr/>
              <w:t>  </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2,824</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2,914</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amortization and accretion</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6,219</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7,681</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Compensation expense related to stock options and restricted stock awards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1,018</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cash surrender value of BOLI</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sale of loans held for sale</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(3,423)</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(5,923)</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Origination of loans held for sale</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(185,041)</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(389,458)</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loans held for sale</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206,392</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501,367</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Recovery of servicing rights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Changes in operating assets and liabilities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pPr>
            <w:r>
              <w:rPr/>
              <w:t>  </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(959)</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(4,168)</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1,197</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w:t>
            </w:r>
          </w:p>
        </w:tc>
        <w:tc>
          <w:tcPr>
            <w:tcW w:w="38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from operating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42,156</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128,970</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b/>
                <w:sz w:val="21"/>
              </w:rPr>
            </w:pPr>
            <w:r>
              <w:rPr>
                <w:rFonts w:ascii="Times New Roman;Times;serif" w:hAnsi="Times New Roman;Times;serif"/>
                <w:b/>
                <w:sz w:val="21"/>
              </w:rPr>
              <w:t>CASH FLOWS FROM (USED BY) INVESTING ACTIVITIES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  </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pPr>
            <w:r>
              <w:rPr/>
              <w:t>  </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Activity in securities available-for-sale:</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pPr>
            <w:r>
              <w:rPr/>
              <w:t>  </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Maturities, prepayments, and calls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8,758</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11,016</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(3,933)</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(21,002)</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Activity in securities held-to-maturity:</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pPr>
            <w:r>
              <w:rPr/>
              <w:t>​</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Maturities of certificates of deposit at other financial institutions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5,582</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certificates of deposit at other financial institutions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(10,035)</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pPr>
            <w:r>
              <w:rPr/>
              <w:t>—</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Portfolio loan originations and principal collections, net</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(105,739)</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(235,136)</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from acquisitions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336,157</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pPr>
            <w:r>
              <w:rPr/>
              <w:t>—</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portfolio loans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(2,231)</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(2,806)</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 of premises and equipment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(1,113)</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bank owned life insurance death benefits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FHLB stock, net</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4,056</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(1,517)</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from (used by) investing activities</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225,920</w:t>
            </w:r>
          </w:p>
        </w:tc>
        <w:tc>
          <w:tcPr>
            <w:tcW w:w="38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(244,845)</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b/>
                <w:sz w:val="21"/>
              </w:rPr>
            </w:pPr>
            <w:r>
              <w:rPr>
                <w:rFonts w:ascii="Times New Roman;Times;serif" w:hAnsi="Times New Roman;Times;serif"/>
                <w:b/>
                <w:sz w:val="21"/>
              </w:rPr>
              <w:t>CASH FLOWS (USED BY) FROM FINANCING ACTIVITIES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pPr>
            <w:r>
              <w:rPr/>
              <w:t>  </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increase in deposits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(187,484)</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100,315</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borrowings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1,043,500</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324,500</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Repayments of borrowings</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(1,030,132)</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(289,000)</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Dividends paid on common stock</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(3,874)</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(4,006)</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stock options exercised, net</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94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repurchased for employee/director taxes paid on restricted stock awards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5" w:type="dxa"/>
            <w:tcBorders/>
            <w:shd w:fill="CCEEFF" w:val="clear"/>
            <w:vAlign w:val="center"/>
          </w:tcPr>
          <w:p>
            <w:pPr>
              <w:pStyle w:val="TableContents"/>
              <w:bidi w:val="0"/>
              <w:spacing w:before="0" w:after="1"/>
              <w:ind w:left="0" w:right="0" w:hanging="0"/>
              <w:jc w:val="right"/>
              <w:rPr/>
            </w:pPr>
            <w:r>
              <w:rPr/>
              <w:t>—</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 employee stock purchase plan</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pPr>
            <w:r>
              <w:rPr/>
              <w:t>—</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repurchased</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(13,896)</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by) from financing activities</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(177,414)</w:t>
            </w:r>
          </w:p>
        </w:tc>
        <w:tc>
          <w:tcPr>
            <w:tcW w:w="38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118,043</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b/>
                <w:sz w:val="21"/>
              </w:rPr>
            </w:pPr>
            <w:r>
              <w:rPr>
                <w:rFonts w:ascii="Times New Roman;Times;serif" w:hAnsi="Times New Roman;Times;serif"/>
                <w:b/>
                <w:sz w:val="21"/>
              </w:rPr>
              <w:t>NET INCREASE IN CASH AND CASH EQUIVALENTS</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90,662</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2,168</w:t>
            </w:r>
          </w:p>
        </w:tc>
      </w:tr>
      <w:tr>
        <w:trPr/>
        <w:tc>
          <w:tcPr>
            <w:tcW w:w="7017"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9" w:type="dxa"/>
            <w:tcBorders/>
            <w:vAlign w:val="center"/>
          </w:tcPr>
          <w:p>
            <w:pPr>
              <w:pStyle w:val="TableContents"/>
              <w:bidi w:val="0"/>
              <w:spacing w:before="0" w:after="1"/>
              <w:ind w:left="0" w:right="0" w:hanging="0"/>
              <w:jc w:val="right"/>
              <w:rPr/>
            </w:pPr>
            <w:r>
              <w:rPr/>
              <w:t>​</w:t>
            </w:r>
          </w:p>
        </w:tc>
        <w:tc>
          <w:tcPr>
            <w:tcW w:w="38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w:t>
            </w:r>
          </w:p>
        </w:tc>
        <w:tc>
          <w:tcPr>
            <w:tcW w:w="945" w:type="dxa"/>
            <w:tcBorders/>
            <w:vAlign w:val="center"/>
          </w:tcPr>
          <w:p>
            <w:pPr>
              <w:pStyle w:val="TableContents"/>
              <w:bidi w:val="0"/>
              <w:spacing w:before="0" w:after="1"/>
              <w:ind w:left="0" w:right="0" w:hanging="0"/>
              <w:jc w:val="right"/>
              <w:rPr/>
            </w:pPr>
            <w:r>
              <w:rPr/>
              <w:t>​</w:t>
            </w:r>
          </w:p>
        </w:tc>
      </w:tr>
      <w:tr>
        <w:trPr/>
        <w:tc>
          <w:tcPr>
            <w:tcW w:w="701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AND CASH EQUIVALENTS, beginning of period</w:t>
            </w:r>
          </w:p>
        </w:tc>
        <w:tc>
          <w:tcPr>
            <w:tcW w:w="38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41,437</w:t>
            </w:r>
          </w:p>
        </w:tc>
        <w:tc>
          <w:tcPr>
            <w:tcW w:w="38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26,491</w:t>
            </w:r>
          </w:p>
        </w:tc>
      </w:tr>
      <w:tr>
        <w:trPr/>
        <w:tc>
          <w:tcPr>
            <w:tcW w:w="701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AND CASH EQUIVALENTS, end of period</w:t>
            </w:r>
          </w:p>
        </w:tc>
        <w:tc>
          <w:tcPr>
            <w:tcW w:w="38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132,099</w:t>
            </w:r>
          </w:p>
        </w:tc>
        <w:tc>
          <w:tcPr>
            <w:tcW w:w="38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28,659</w:t>
            </w:r>
          </w:p>
        </w:tc>
      </w:tr>
    </w:tbl>
    <w:p>
      <w:pPr>
        <w:pStyle w:val="TextBody"/>
        <w:bidi w:val="0"/>
        <w:spacing w:before="0" w:after="2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FS BANCORP, INC. AND SUBSIDIARY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 (Continued)</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(In thousands) (Unaudited)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74" w:name="Tc_ucV39s3AZUGAoo4_eidCMA_14_6"/>
      <w:bookmarkStart w:id="975" w:name="Tc_gpX4iCDE40iyY9As4pnHUw_14_0"/>
      <w:bookmarkStart w:id="976" w:name="Tc_UYB9WNZaZ0KyMumpqBXnEw_13_6"/>
      <w:bookmarkStart w:id="977" w:name="Tc_S6M6RZRPvkKMneo9S5OfNQ_13_0"/>
      <w:bookmarkStart w:id="978" w:name="Tc_ZE0CJqab9EeYZcmSOM2AOA_12_0"/>
      <w:bookmarkStart w:id="979" w:name="Tc_NOPVxu93akST9BL0unSAdA_11_0"/>
      <w:bookmarkStart w:id="980" w:name="Tc_Rzuau92CYEa-S_iSSr1igA_10_3"/>
      <w:bookmarkStart w:id="981" w:name="Tc_-5NQr1yblkG7ffL20tOzjg_10_0"/>
      <w:bookmarkStart w:id="982" w:name="Tc_iRnDicHkPUGu57SYXbtXzg_9_0"/>
      <w:bookmarkStart w:id="983" w:name="Tc_bZEUa_H3a0ys1NWQP-xBog_8_0"/>
      <w:bookmarkStart w:id="984" w:name="Tc_zahonlIAOkynhw05KrHzKA_7_5"/>
      <w:bookmarkStart w:id="985" w:name="Tc_04ygqEe0EECDpcrFYE5a0A_7_2"/>
      <w:bookmarkStart w:id="986" w:name="Tc_KCbtlHXcPUWGBRT8ly-ztw_7_0"/>
      <w:bookmarkStart w:id="987" w:name="Tc_FEdqbEbk3EqxwNZZZiWCgg_6_0"/>
      <w:bookmarkStart w:id="988" w:name="Tc_2xkjpuEzPkSsJljJLbhKBQ_4_0"/>
      <w:bookmarkStart w:id="989" w:name="Tc_U3as1nKpdEqg6RQeECjaZw_3_5"/>
      <w:bookmarkStart w:id="990" w:name="Tc_KSxPPGNa10Kib9fSKQwOvw_3_2"/>
      <w:bookmarkStart w:id="991" w:name="Tc_wl9ACj0eJU-XVK3ZeZkBGg_3_0"/>
      <w:bookmarkStart w:id="992" w:name="Tc_zVkxAU_UvUWGtDGUI6CIoQ_2_0"/>
      <w:bookmarkStart w:id="993" w:name="Tc_13yfbLcz2Ua4SmLO_26r7w_1_0"/>
      <w:bookmarkStart w:id="994" w:name="_2641a0b3_9afd_4fea_9a01_20a46c675b72"/>
      <w:bookmarkStart w:id="995" w:name="Tc_ucV39s3AZUGAoo4_eidCMA_14_6"/>
      <w:bookmarkStart w:id="996" w:name="Tc_gpX4iCDE40iyY9As4pnHUw_14_0"/>
      <w:bookmarkStart w:id="997" w:name="Tc_UYB9WNZaZ0KyMumpqBXnEw_13_6"/>
      <w:bookmarkStart w:id="998" w:name="Tc_S6M6RZRPvkKMneo9S5OfNQ_13_0"/>
      <w:bookmarkStart w:id="999" w:name="Tc_ZE0CJqab9EeYZcmSOM2AOA_12_0"/>
      <w:bookmarkStart w:id="1000" w:name="Tc_NOPVxu93akST9BL0unSAdA_11_0"/>
      <w:bookmarkStart w:id="1001" w:name="Tc_Rzuau92CYEa-S_iSSr1igA_10_3"/>
      <w:bookmarkStart w:id="1002" w:name="Tc_-5NQr1yblkG7ffL20tOzjg_10_0"/>
      <w:bookmarkStart w:id="1003" w:name="Tc_iRnDicHkPUGu57SYXbtXzg_9_0"/>
      <w:bookmarkStart w:id="1004" w:name="Tc_bZEUa_H3a0ys1NWQP-xBog_8_0"/>
      <w:bookmarkStart w:id="1005" w:name="Tc_zahonlIAOkynhw05KrHzKA_7_5"/>
      <w:bookmarkStart w:id="1006" w:name="Tc_04ygqEe0EECDpcrFYE5a0A_7_2"/>
      <w:bookmarkStart w:id="1007" w:name="Tc_KCbtlHXcPUWGBRT8ly-ztw_7_0"/>
      <w:bookmarkStart w:id="1008" w:name="Tc_FEdqbEbk3EqxwNZZZiWCgg_6_0"/>
      <w:bookmarkStart w:id="1009" w:name="Tc_2xkjpuEzPkSsJljJLbhKBQ_4_0"/>
      <w:bookmarkStart w:id="1010" w:name="Tc_U3as1nKpdEqg6RQeECjaZw_3_5"/>
      <w:bookmarkStart w:id="1011" w:name="Tc_KSxPPGNa10Kib9fSKQwOvw_3_2"/>
      <w:bookmarkStart w:id="1012" w:name="Tc_wl9ACj0eJU-XVK3ZeZkBGg_3_0"/>
      <w:bookmarkStart w:id="1013" w:name="Tc_zVkxAU_UvUWGtDGUI6CIoQ_2_0"/>
      <w:bookmarkStart w:id="1014" w:name="Tc_13yfbLcz2Ua4SmLO_26r7w_1_0"/>
      <w:bookmarkStart w:id="1015" w:name="_2641a0b3_9afd_4fea_9a01_20a46c675b72"/>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p>
    <w:tbl>
      <w:tblPr>
        <w:tblW w:w="10205" w:type="dxa"/>
        <w:jc w:val="left"/>
        <w:tblInd w:w="0" w:type="dxa"/>
        <w:tblLayout w:type="fixed"/>
        <w:tblCellMar>
          <w:top w:w="0" w:type="dxa"/>
          <w:left w:w="0" w:type="dxa"/>
          <w:bottom w:w="0" w:type="dxa"/>
          <w:right w:w="0" w:type="dxa"/>
        </w:tblCellMar>
      </w:tblPr>
      <w:tblGrid>
        <w:gridCol w:w="7956"/>
        <w:gridCol w:w="109"/>
        <w:gridCol w:w="211"/>
        <w:gridCol w:w="781"/>
        <w:gridCol w:w="109"/>
        <w:gridCol w:w="211"/>
        <w:gridCol w:w="828"/>
      </w:tblGrid>
      <w:tr>
        <w:trPr/>
        <w:tc>
          <w:tcPr>
            <w:tcW w:w="7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052060" cy="175260"/>
                      <wp:effectExtent l="0" t="0" r="0" b="0"/>
                      <wp:wrapNone/>
                      <wp:docPr id="92" name="Frame92"/>
                      <a:graphic xmlns:a="http://schemas.openxmlformats.org/drawingml/2006/main">
                        <a:graphicData uri="http://schemas.microsoft.com/office/word/2010/wordprocessingShape">
                          <wps:wsp>
                            <wps:cNvSpPr txBox="1"/>
                            <wps:spPr>
                              <a:xfrm>
                                <a:off x="0" y="0"/>
                                <a:ext cx="5052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95935" cy="175260"/>
                      <wp:effectExtent l="0" t="0" r="0" b="0"/>
                      <wp:wrapNone/>
                      <wp:docPr id="95" name="Frame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25780" cy="175260"/>
                      <wp:effectExtent l="0" t="0" r="0" b="0"/>
                      <wp:wrapNone/>
                      <wp:docPr id="98" name="Frame98"/>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SUPPLEMENTARY DISCLOSURES OF CASH FLOW INFORMATION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during the period for: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r>
      <w:tr>
        <w:trPr/>
        <w:tc>
          <w:tcPr>
            <w:tcW w:w="7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deposits and borrowings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15,183</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2,962</w:t>
            </w:r>
          </w:p>
        </w:tc>
      </w:tr>
      <w:tr>
        <w:trPr/>
        <w:tc>
          <w:tcPr>
            <w:tcW w:w="7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5,985</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r>
      <w:tr>
        <w:trPr/>
        <w:tc>
          <w:tcPr>
            <w:tcW w:w="79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SUPPLEMENTARY DISCLOSURES OF NONCASH</w:t>
            </w:r>
            <w:r>
              <w:rPr>
                <w:rFonts w:ascii="Times New Roman;Times;serif" w:hAnsi="Times New Roman;Times;serif"/>
                <w:sz w:val="20"/>
              </w:rPr>
              <w:t xml:space="preserve"> </w:t>
            </w:r>
            <w:r>
              <w:rPr>
                <w:rFonts w:ascii="Times New Roman;Times;serif" w:hAnsi="Times New Roman;Times;serif"/>
                <w:b/>
                <w:sz w:val="20"/>
              </w:rPr>
              <w:t>OPERATING,</w:t>
            </w:r>
            <w:r>
              <w:rPr>
                <w:rFonts w:ascii="Times New Roman;Times;serif" w:hAnsi="Times New Roman;Times;serif"/>
                <w:sz w:val="20"/>
              </w:rPr>
              <w:t xml:space="preserve"> </w:t>
            </w:r>
            <w:r>
              <w:rPr>
                <w:rFonts w:ascii="Times New Roman;Times;serif" w:hAnsi="Times New Roman;Times;serif"/>
                <w:b/>
                <w:sz w:val="20"/>
              </w:rPr>
              <w:t>INVESTING AND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r>
      <w:tr>
        <w:trPr/>
        <w:tc>
          <w:tcPr>
            <w:tcW w:w="7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(loss) on available-for-sale investment securities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(32,479)</w:t>
            </w:r>
          </w:p>
        </w:tc>
      </w:tr>
      <w:tr>
        <w:trPr/>
        <w:tc>
          <w:tcPr>
            <w:tcW w:w="7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unrealized gain on fair value and cash flow hedges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4,590</w:t>
            </w:r>
          </w:p>
        </w:tc>
      </w:tr>
      <w:tr>
        <w:trPr/>
        <w:tc>
          <w:tcPr>
            <w:tcW w:w="7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Retention in gross mortgage servicing rights from loan sales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w:t>
            </w:r>
          </w:p>
        </w:tc>
      </w:tr>
      <w:tr>
        <w:trPr/>
        <w:tc>
          <w:tcPr>
            <w:tcW w:w="7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OREO received in settlement of loans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7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in exchange for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w:t>
            </w:r>
          </w:p>
        </w:tc>
      </w:tr>
      <w:tr>
        <w:trPr/>
        <w:tc>
          <w:tcPr>
            <w:tcW w:w="7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w:t>
            </w:r>
          </w:p>
        </w:tc>
      </w:tr>
      <w:tr>
        <w:trPr/>
        <w:tc>
          <w:tcPr>
            <w:tcW w:w="7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assets acquired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87,512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liabilities assumed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bookmarkStart w:id="1016" w:name="Cashflowsend"/>
      <w:bookmarkEnd w:id="1016"/>
      <w:r>
        <w:rPr>
          <w:rFonts w:ascii="Times New Roman;Times;serif" w:hAnsi="Times New Roman;Times;serif"/>
          <w:i/>
          <w:sz w:val="20"/>
        </w:rPr>
        <w:t>See accompanying notes to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017" w:name="NOTE1BASISOFPRESENTATION_751825"/>
      <w:bookmarkEnd w:id="1017"/>
      <w:r>
        <w:rPr>
          <w:rFonts w:ascii="Times New Roman;Times;serif" w:hAnsi="Times New Roman;Times;serif"/>
          <w:b/>
          <w:sz w:val="20"/>
        </w:rPr>
        <w:t xml:space="preserve">FS BANCORP, INC. AND SUBSIDIARY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(Unaudited)</w:t>
      </w:r>
    </w:p>
    <w:p>
      <w:pPr>
        <w:pStyle w:val="TextBody"/>
        <w:bidi w:val="0"/>
        <w:spacing w:before="0" w:after="0"/>
        <w:ind w:left="0" w:right="0" w:hanging="0"/>
        <w:jc w:val="center"/>
        <w:rPr>
          <w:rFonts w:ascii="Times New Roman;Times;serif" w:hAnsi="Times New Roman;Times;serif"/>
          <w:b w:val="false"/>
          <w:sz w:val="20"/>
        </w:rPr>
      </w:pPr>
      <w:r>
        <w:rPr>
          <w:rFonts w:ascii="Times New Roman;Times;serif" w:hAnsi="Times New Roman;Times;serif"/>
          <w:b w:val="false"/>
          <w:sz w:val="20"/>
        </w:rPr>
        <w:t>(Table Dollar Amounts in Thousands, Except Per Share Amounts)</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 – BASIS OF PRESENTATION AND SUMMARY OF SIGNIFICANT ACCOUNTING POLICIES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Nature of Operations </w:t>
      </w:r>
      <w:r>
        <w:rPr>
          <w:rFonts w:ascii="Times New Roman;Times;serif" w:hAnsi="Times New Roman;Times;serif"/>
          <w:sz w:val="20"/>
        </w:rPr>
        <w:t xml:space="preserve">– FS Bancorp, Inc. (the “Company”) was incorporated in September 2011 as the holding company for 1st Security Bank of Washington (the “Bank” or “1st Security Bank”) in connection with the Bank’s conversion from the mutual to stock form of ownership which was completed on July 9, 2012. The Bank is a community-based savings bank with 27 full-service bank branches, </w:t>
      </w: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Bank’s branches located in the communities of Goldendale and White Salmon, Washington and Manzanita, Newport, Ontario, Tillamook, and Waldport, Oregon were acquired from Columbia State Bank on February 24, 2023, and opened as 1st Security Bank branches on February 27, 2023.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Financial Statement Presentation </w:t>
      </w:r>
      <w:r>
        <w:rPr>
          <w:rFonts w:ascii="Times New Roman;Times;serif" w:hAnsi="Times New Roman;Times;serif"/>
          <w:sz w:val="20"/>
        </w:rPr>
        <w:t>– The accompanying unaudited interim consolidated financial statements have been prepared in accordance with accounting principles generally accepted in the United States (“U.S. GAAP”) for interim financial information and in accordance with the instructions to Form 10-Q and Article 10 of Regulation S-X as promulgated by the Securities and Exchange Commission (“SEC”). It is recommended that these unaudited interim consolidated financial statements be read in conjunction with the Company’s Annual Report on Form 10-K with all of the audited financial statements and footnotes required by U.S. GAAP for complete financial statements for the year ended December 31, 2022, as filed with the SEC on March 16, 2023. In the opinion of management, all normal adjustments and recurring accruals considered necessary for a fair presentation of the financial position and results of operations for the periods presented have been included.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results for the three and six months ended June 30, 2023, are not necessarily indicative of the results that may be expected for the year ending December 31, 2023, or any other future period. The preparation of financial statements, in conformity with U.S. GAAP, requires management to make estimates and assumptions that affect amounts reported in the financial statements. Actual results could differ from these estimates. Material estimates that are particularly susceptible to significant change relate to the determination of the allowance for credit losses (“ACL”), fair value of financial instruments, the valuation of servicing rights, business combinations, deferred income taxes, and if needed, a deferred tax asset valuation allowance.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Amounts presented in the consolidated financial statements and footnote tables are rounded and presented to the nearest thousands of dollars except per share amounts. If the amounts are above $1.0 million, they are rounded one decimal point, and if they are above $1.0 billion, they are rounded two decimal points.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Principles of Consolidation </w:t>
      </w:r>
      <w:r>
        <w:rPr>
          <w:rFonts w:ascii="Times New Roman;Times;serif" w:hAnsi="Times New Roman;Times;serif"/>
          <w:sz w:val="20"/>
        </w:rPr>
        <w:t>– The consolidated financial statements include the accounts of FS Bancorp and its wholly owned subsidiary, 1st Security Bank. All material intercompany accounts have been eliminated in consolidation.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Segment Reporting </w:t>
      </w:r>
      <w:r>
        <w:rPr>
          <w:rFonts w:ascii="Times New Roman;Times;serif" w:hAnsi="Times New Roman;Times;serif"/>
          <w:sz w:val="20"/>
        </w:rPr>
        <w:t>– The Company operates in two business segments through the Bank: commercial and consumer banking and home lending. The Company’s business segments are determined based on the products and services provided, as well as the nature of the related business activities, and they reflect the manner in which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15 – Business Segments.”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Subsequent Events </w:t>
      </w:r>
      <w:r>
        <w:rPr>
          <w:rFonts w:ascii="Times New Roman;Times;serif" w:hAnsi="Times New Roman;Times;serif"/>
          <w:sz w:val="20"/>
        </w:rPr>
        <w:t>– The Company has evaluated events and transactions subsequent to June 30, 2023, for potential recognition or disclosure.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2020, the Financial Accounting Standards Board (“FASB”) issued Accounting Standards Update (“ASU”) No. 2020-04, “</w:t>
      </w:r>
      <w:r>
        <w:rPr>
          <w:rFonts w:ascii="Times New Roman;Times;serif" w:hAnsi="Times New Roman;Times;serif"/>
          <w:i/>
          <w:sz w:val="20"/>
        </w:rPr>
        <w:t>Reference Rate Reform” (“Topic 848”)</w:t>
      </w:r>
      <w:r>
        <w:rPr>
          <w:rFonts w:ascii="Times New Roman;Times;serif" w:hAnsi="Times New Roman;Times;serif"/>
          <w:sz w:val="20"/>
        </w:rPr>
        <w:t xml:space="preserve">. This ASU provides optional guidance for a limited period of time to ease the potential burden in accounting for (or recognizing the effects of) reference rate reform on financial reporting. The amendments in this ASU apply to modifications to agreements (e.g., loans, debt securities, derivatives, borrowings) that replace a reference rate affected by reference rate reform (including rates referenced in fallback provisions) and contemporaneous modifications of other contract terms related to the replacement of the reference rate (including contract modifications to add or change fallback provisions). The following optional expedients for applying the requirements of certain Topics or Industry Subtopics in the Codification are permitted for contracts that are modified because of reference rate reform and that meet certain scope guidance: 1) Modifications of contracts within the scope of Topics 310, Receivables, and 470, Debt, should be accounted for by prospectively adjusting the effective interest rate; 2) Modifications of contracts within the scope of Topics 840, Leases, and 842, Leases, should be accounted for as a continuation of the existing contracts with no reassessments of the lease classification and the discount rate (for example, the incremental borrowing rate) or remeasurements of lease payments that otherwise would be required under those Topics for modifications not accounted for as separate contracts; and 3) Modifications of contracts do not require an entity to reassess its original conclusion about whether that contract contains an embedded derivative that is clearly and closely related to the economic characteristics and risks of the host contract under Subtopic 815–15, Derivatives and Hedging –  Embedded Derivatives. In January 2021, ASU 2021–01 updated amendments in the new ASU to clarify that certain optional expedients and exceptions in Topic 848 for contract modifications and hedge accounting apply to derivative instruments that use an interest rate for margining, discounting, or contract price alignment that is modified as a result of reference rate reform. Amendments in this ASU  and the expedients and exceptions in Topic 848 capture the incremental consequences of the scope clarification and tailor the existing guidance to derivative instruments affected by the discounting transition. An entity may elect to apply the amendments in this ASU on a full retrospective basis as of any date from the effective dates.  The amendments in this ASU have differing effective dates, beginning with an interim period including and subsequent to March 12, 2020 through December 31, 2022, deferred now until December 31, 2024. The Company does not expect the adoption of ASU 2020–04 to have a material impact on its consolidated financial statements.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Application of New Accounting Guidance Adopted in 2023</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1, 2023, the Company adopted  ASU No. 2022-02, </w:t>
      </w:r>
      <w:r>
        <w:rPr>
          <w:rFonts w:ascii="Times New Roman;Times;serif" w:hAnsi="Times New Roman;Times;serif"/>
          <w:i/>
          <w:sz w:val="20"/>
        </w:rPr>
        <w:t>Financial Instruments – Credit Losses (Topic 326)</w:t>
      </w:r>
      <w:r>
        <w:rPr>
          <w:rFonts w:ascii="Times New Roman;Times;serif" w:hAnsi="Times New Roman;Times;serif"/>
          <w:sz w:val="20"/>
        </w:rPr>
        <w:t>: Troubled Debt Restructurings and Vintage Disclosures. This ASU eliminates the accounting guidance for troubled debt restructurings (“TDRs”) for creditors, requires new disclosures for creditors for certain loan refinancings and restructurings when a borrower is experiencing financial difficulty, and requires public business entities to include current-period gross write-offs in the vintage disclosure tables. The amendments in this ASU are effective for fiscal years beginning after December 15, 2022, including interim periods within those fiscal years. The adoption of ASU 2022–02 did not have a material impact on the Company’s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 xml:space="preserve">NOTE 2 </w:t>
      </w:r>
      <w:r>
        <w:rPr>
          <w:rFonts w:ascii="Times New Roman;Times;serif" w:hAnsi="Times New Roman;Times;serif"/>
          <w:sz w:val="20"/>
        </w:rPr>
        <w:t xml:space="preserve">– </w:t>
      </w:r>
      <w:r>
        <w:rPr>
          <w:rFonts w:ascii="Times New Roman;Times;serif" w:hAnsi="Times New Roman;Times;serif"/>
          <w:b/>
          <w:sz w:val="20"/>
        </w:rPr>
        <w:t>BUSINESS COMBINATION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February 24, 2023, the Company’s wholly-owned subsidiary, 1st Security Bank, completed the purchase of seven branches (“Branch Purchase”) from Columbia State Bank to expand its franchise in Washington and Oregon.  The Branch Purchase included seven retail bank branches located in the communities of Goldendale and White Salmon, Washington and Manzanita, Newport, Ontario, Tillamook, and Waldport, Oregon. In accordance with the Purchase and Assumption Agreement, dated as of November 7, 2022, between Columbia State Bank and 1st Security Bank, the Bank acquired $425.5 million of deposits, a portfolio of performing loans, six owned bank branches, one lease associated with the bank branches and certain other assets of the branches.  In consideration of the purchased assets and transferred liabilities, 1st Security Bank paid (a) the unpaid principal balance and accrued interest of $66.6 million for the loans acquired, (b) the fair value, or approximately $6.3 million, for the bank facilities and certain other assets associated with the acquired branches, and (c) a deposit premium of 4.15% for core deposits and 2.5% for public funds on substantially all of the deposits assumed, which equated to approximately $16.4 million.  The transaction was settled with Columbia State Bank paying cash of $334.7 million to 1st Security Bank for the difference between the total assets purchased and the total liabilities assumed.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bookmarkStart w:id="1018" w:name="Tc_mcoRLDL4y0WkHzuDsIaR5A_19_8"/>
      <w:bookmarkStart w:id="1019" w:name="Tc_59JsLMb7nkSv8wRXaDDx8g_19_5"/>
      <w:bookmarkStart w:id="1020" w:name="Tc_oiyUovzigUmQQXaylnN-rg_19_2"/>
      <w:bookmarkStart w:id="1021" w:name="Tc_76PJQ_kr6EmiVn6LENEomg_19_0"/>
      <w:bookmarkStart w:id="1022" w:name="Tc_yzSTh3vS30C4RR7RnZ8gxw_18_6"/>
      <w:bookmarkStart w:id="1023" w:name="Tc_X08mCtn5h0-JL96XIJ5XQA_18_0"/>
      <w:bookmarkStart w:id="1024" w:name="Tc_NpUNLbvNIUWYIKhjfuVOWQ_17_6"/>
      <w:bookmarkStart w:id="1025" w:name="Tc_5ccquUbOM0S77QKuARvFMA_17_0"/>
      <w:bookmarkStart w:id="1026" w:name="Tc_v9ZCiiTKQ0i6MkgiPrs5Kg_16_0"/>
      <w:bookmarkStart w:id="1027" w:name="Tc_nAtUaqSIrk6lm01kuW3EBw_15_7"/>
      <w:bookmarkStart w:id="1028" w:name="Tc_3xBRCFhdP0ake38aoeSWVg_15_0"/>
      <w:bookmarkStart w:id="1029" w:name="Tc_mXjNq6s-l06ZigMSAnH3LA_14_8"/>
      <w:bookmarkStart w:id="1030" w:name="Tc_GMTDrzEIiUGVDlcgO5uk4A_14_6"/>
      <w:bookmarkStart w:id="1031" w:name="Tc_AhHkzoG3KUGl69eWb1Taqg_14_5"/>
      <w:bookmarkStart w:id="1032" w:name="Tc_uzSaD5WibUWDULc6I1kqPg_14_2"/>
      <w:bookmarkStart w:id="1033" w:name="Tc_CXF-ccPyqkWrsCp0d4gunA_14_0"/>
      <w:bookmarkStart w:id="1034" w:name="Tc_KSoXWaOylkGNuBlkUKIqCw_13_0"/>
      <w:bookmarkStart w:id="1035" w:name="Tc_mIwxGurG5EmW_HxD4irm2Q_12_0"/>
      <w:bookmarkStart w:id="1036" w:name="Tc_jA1iv-PO5EaWb63CyYvR4Q_11_8"/>
      <w:bookmarkStart w:id="1037" w:name="Tc_2IscLZ2HjUiqxoPVhv0z5w_11_5"/>
      <w:bookmarkStart w:id="1038" w:name="Tc_avbt4z1zqEmfejRUgwnwXQ_11_2"/>
      <w:bookmarkStart w:id="1039" w:name="Tc_Ot0p5f8-t0mry-YBNMsJ8w_11_0"/>
      <w:bookmarkStart w:id="1040" w:name="Tc_cpPjimHab0mPJGTzJ5Rw9A_10_6"/>
      <w:bookmarkStart w:id="1041" w:name="Tc_-0_S-NOntk-6aHLMpq39mw_10_0"/>
      <w:bookmarkStart w:id="1042" w:name="Tc_NiVxe8RNE0a3d_9pP9xk_Q_9_7"/>
      <w:bookmarkStart w:id="1043" w:name="Tc_GuopPE2aHUa4iMBfVaDgqw_9_3"/>
      <w:bookmarkStart w:id="1044" w:name="Tc_n9slE71-W0uGU5aOpE7P-Q_9_0"/>
      <w:bookmarkStart w:id="1045" w:name="Tc_781q1lX_9EacGJwhUyBk6Q_8_7"/>
      <w:bookmarkStart w:id="1046" w:name="Tc_Abow8lFOG0mw6qdhgi4A7w_8_3"/>
      <w:bookmarkStart w:id="1047" w:name="Tc_hkO3ppcUXEGoULX3d_xB1Q_8_0"/>
      <w:bookmarkStart w:id="1048" w:name="Tc_WUIroq83QUqJwyAgbKBx-Q_7_6"/>
      <w:bookmarkStart w:id="1049" w:name="Tc_YhvlNxC7d0-xew6_PXrh_w_7_0"/>
      <w:bookmarkStart w:id="1050" w:name="Tc_ALSibFx0YEm3msSeQozDFQ_6_6"/>
      <w:bookmarkStart w:id="1051" w:name="Tc_aFRzKlzFAESqNaRHtCKw-A_6_0"/>
      <w:bookmarkStart w:id="1052" w:name="Tc_MlrtQohyiEu5kd76iW2kuQ_5_7"/>
      <w:bookmarkStart w:id="1053" w:name="Tc_-4YWDE854ECRMZCigjMT8g_5_0"/>
      <w:bookmarkStart w:id="1054" w:name="Tc_egWXSKhhpE2Lvb0PS4Hovw_4_8"/>
      <w:bookmarkStart w:id="1055" w:name="Tc_-l9hm96ugEyPkDp77ESsPQ_4_6"/>
      <w:bookmarkStart w:id="1056" w:name="Tc_F7q88IDNjUexRFn4Vc-J8g_4_5"/>
      <w:bookmarkStart w:id="1057" w:name="Tc_VvJsBLz-pk2eZeZjNvRuug_4_2"/>
      <w:bookmarkStart w:id="1058" w:name="Tc_TMq4MCIwVESeNPt05ei4Xg_4_0"/>
      <w:bookmarkStart w:id="1059" w:name="Tc_81Ryd7s-60CLKB_t3vB4iw_3_0"/>
      <w:bookmarkStart w:id="1060" w:name="Tc_u6ZCFKOIQUWykua0L1aKYQ_2_8"/>
      <w:bookmarkStart w:id="1061" w:name="Tc_1nJhm_AH0EqQq1co2xqPLA_2_5"/>
      <w:bookmarkStart w:id="1062" w:name="Tc_CV_VariJ2EeRfgrGNCPtVA_2_2"/>
      <w:bookmarkStart w:id="1063" w:name="Tc_JFv6LhxtskCrWbpvklN64g_2_0"/>
      <w:bookmarkStart w:id="1064" w:name="Tc__kzn1DlGEESoeyeCSCsVsw_1_8"/>
      <w:bookmarkStart w:id="1065" w:name="Tc_r8Q1dAPbEUarZGgmyvEMHA_1_5"/>
      <w:bookmarkStart w:id="1066" w:name="Tc_eAdSPmczEUOBqvd7qnpkVA_1_2"/>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Branch Purchase was accounted for under the acquisition method of accounting and accordingly, the assets and liabilities were recorded at fair values on February 24, 2023, the date of acquisition.  Determining the fair value of assets and liabilities is a complicated process involving significant judgement regarding methods and assumptions used to calculate estimated fair values.  Fair values are preliminary and subject to refinement for up to one year after the closing date of the acquisition as information relative to closing date fair values become available.  Due to the timing of the data conversion and the integration of operations of the branches onto the Company’s existing operations, historical reporting of the acquired branches is impracticable, and therefore, disclosure of the amounts of revenue and expenses attributable to the acquired branches since the acquisition date are not available.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estimated fair values of assets acquired and liabilities assumed at the date of acquisition:</w:t>
      </w:r>
    </w:p>
    <w:p>
      <w:pPr>
        <w:pStyle w:val="TextBody"/>
        <w:bidi w:val="0"/>
        <w:spacing w:before="0" w:after="0"/>
        <w:ind w:left="0" w:right="0" w:hanging="0"/>
        <w:jc w:val="both"/>
        <w:rPr/>
      </w:pPr>
      <w:r>
        <w:rPr/>
        <w:t>​</w:t>
      </w:r>
    </w:p>
    <w:tbl>
      <w:tblPr>
        <w:tblW w:w="7238" w:type="dxa"/>
        <w:jc w:val="left"/>
        <w:tblInd w:w="0" w:type="dxa"/>
        <w:tblLayout w:type="fixed"/>
        <w:tblCellMar>
          <w:top w:w="0" w:type="dxa"/>
          <w:left w:w="0" w:type="dxa"/>
          <w:bottom w:w="0" w:type="dxa"/>
          <w:right w:w="0" w:type="dxa"/>
        </w:tblCellMar>
      </w:tblPr>
      <w:tblGrid>
        <w:gridCol w:w="2686"/>
        <w:gridCol w:w="326"/>
        <w:gridCol w:w="287"/>
        <w:gridCol w:w="1064"/>
        <w:gridCol w:w="326"/>
        <w:gridCol w:w="267"/>
        <w:gridCol w:w="859"/>
        <w:gridCol w:w="326"/>
        <w:gridCol w:w="211"/>
        <w:gridCol w:w="886"/>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705610" cy="175260"/>
                      <wp:effectExtent l="0" t="0" r="0" b="0"/>
                      <wp:wrapNone/>
                      <wp:docPr id="99" name="Frame99"/>
                      <a:graphic xmlns:a="http://schemas.openxmlformats.org/drawingml/2006/main">
                        <a:graphicData uri="http://schemas.microsoft.com/office/word/2010/wordprocessingShape">
                          <wps:wsp>
                            <wps:cNvSpPr txBox="1"/>
                            <wps:spPr>
                              <a:xfrm>
                                <a:off x="0" y="0"/>
                                <a:ext cx="170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82245" cy="175260"/>
                      <wp:effectExtent l="0" t="0" r="0" b="0"/>
                      <wp:wrapNone/>
                      <wp:docPr id="101" name="Frame10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75640" cy="175260"/>
                      <wp:effectExtent l="0" t="0" r="0" b="0"/>
                      <wp:wrapNone/>
                      <wp:docPr id="102" name="Frame102"/>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9545" cy="175260"/>
                      <wp:effectExtent l="0" t="0" r="0" b="0"/>
                      <wp:wrapNone/>
                      <wp:docPr id="104" name="Frame10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45465" cy="175260"/>
                      <wp:effectExtent l="0" t="0" r="0" b="0"/>
                      <wp:wrapNone/>
                      <wp:docPr id="105" name="Frame105"/>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2610" cy="175260"/>
                      <wp:effectExtent l="0" t="0" r="0" b="0"/>
                      <wp:wrapNone/>
                      <wp:docPr id="108" name="Frame1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Acquired Book</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24, 2023</w:t>
            </w:r>
          </w:p>
        </w:tc>
        <w:tc>
          <w:tcPr>
            <w:tcW w:w="326" w:type="dxa"/>
            <w:tcBorders/>
            <w:vAlign w:val="center"/>
          </w:tcPr>
          <w:p>
            <w:pPr>
              <w:pStyle w:val="TableContents"/>
              <w:bidi w:val="0"/>
              <w:spacing w:before="0" w:after="0"/>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Adjustments</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Recorded</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  </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336,157</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336,157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66,093</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(2,902)</w:t>
            </w:r>
          </w:p>
        </w:tc>
        <w:tc>
          <w:tcPr>
            <w:tcW w:w="326" w:type="dxa"/>
            <w:tcBorders/>
            <w:vAlign w:val="center"/>
          </w:tcPr>
          <w:p>
            <w:pPr>
              <w:pStyle w:val="TableContents"/>
              <w:bidi w:val="0"/>
              <w:spacing w:lineRule="auto" w:line="240" w:before="0" w:after="0"/>
              <w:ind w:left="0" w:right="0" w:hanging="0"/>
              <w:jc w:val="left"/>
              <w:rPr>
                <w:rFonts w:ascii="Times New Roman;Times;serif" w:hAnsi="Times New Roman;Times;serif"/>
                <w:sz w:val="15"/>
              </w:rPr>
            </w:pPr>
            <w:r>
              <w:rPr>
                <w:rFonts w:ascii="Times New Roman;Times;serif" w:hAnsi="Times New Roman;Times;serif"/>
                <w:sz w:val="15"/>
              </w:rPr>
              <w:t>(1)</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63,191</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Premises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6,342</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deposit intangible ("CDI")</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17,438</w:t>
            </w:r>
          </w:p>
        </w:tc>
        <w:tc>
          <w:tcPr>
            <w:tcW w:w="3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5"/>
              </w:rPr>
            </w:pPr>
            <w:r>
              <w:rPr>
                <w:rFonts w:ascii="Times New Roman;Times;serif" w:hAnsi="Times New Roman;Times;serif"/>
                <w:sz w:val="15"/>
              </w:rPr>
              <w:t>(2)</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17,438</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326" w:type="dxa"/>
            <w:tcBorders/>
            <w:vAlign w:val="center"/>
          </w:tcPr>
          <w:p>
            <w:pPr>
              <w:pStyle w:val="TableContents"/>
              <w:bidi w:val="0"/>
              <w:spacing w:lineRule="auto" w:line="240" w:before="0" w:after="0"/>
              <w:ind w:left="0" w:right="0" w:hanging="0"/>
              <w:jc w:val="left"/>
              <w:rPr>
                <w:rFonts w:ascii="Times New Roman;Times;serif" w:hAnsi="Times New Roman;Times;serif"/>
                <w:sz w:val="15"/>
              </w:rPr>
            </w:pPr>
            <w:r>
              <w:rPr>
                <w:rFonts w:ascii="Times New Roman;Times;serif" w:hAnsi="Times New Roman;Times;serif"/>
                <w:sz w:val="15"/>
              </w:rPr>
              <w:t>(3)</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acquired</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409,133</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424,949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85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225,567</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225,567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accounts</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199,898</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vAlign w:val="center"/>
          </w:tcPr>
          <w:p>
            <w:pPr>
              <w:pStyle w:val="TableContents"/>
              <w:bidi w:val="0"/>
              <w:spacing w:lineRule="auto" w:line="240" w:before="0" w:after="0"/>
              <w:ind w:left="0" w:right="0" w:hanging="0"/>
              <w:jc w:val="left"/>
              <w:rPr>
                <w:rFonts w:ascii="Times New Roman;Times;serif" w:hAnsi="Times New Roman;Times;serif"/>
                <w:sz w:val="15"/>
              </w:rPr>
            </w:pPr>
            <w:r>
              <w:rPr>
                <w:rFonts w:ascii="Times New Roman;Times;serif" w:hAnsi="Times New Roman;Times;serif"/>
                <w:sz w:val="15"/>
              </w:rPr>
              <w:t>(4)</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199,350</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deposits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425,465</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424,917</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payable</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assumed</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425,497</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424,949</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(1) The fair value discount for acquired loans was determined by separate adjustments to reflect a credit risk and marketability component and a yield component reflecting the differential between portfolio and market yields.  The discount on acquired loans will be accreted back into interest income using the effective yield method. None of the loans acquired are purchased financial assets with credit deterioration.  The fair value of the loans is $63.2 million and the gross amount due is $66.1 million, none of which is expected to be uncollectable.</w:t>
      </w:r>
    </w:p>
    <w:p>
      <w:pPr>
        <w:pStyle w:val="TextBody"/>
        <w:pBdr/>
        <w:bidi w:val="0"/>
        <w:spacing w:before="0" w:after="0"/>
        <w:ind w:left="0" w:right="0" w:hanging="36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(2)  The fair value adjustment represents the value of the core deposit base assumed in the Branch Purchase based on a study performed by an independent consulting firm.  This amount was recorded by the Company as an identifiable intangible asset and will be amortized as an expense on an accelerated basis over the average life of the core deposit base, which is estimated to be 10 years.</w:t>
      </w:r>
    </w:p>
    <w:p>
      <w:pPr>
        <w:pStyle w:val="TextBody"/>
        <w:pBdr/>
        <w:bidi w:val="0"/>
        <w:spacing w:before="0" w:after="0"/>
        <w:ind w:left="0" w:right="0" w:hanging="36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(3)  The fair value adjustment represents the value of the goodwill calculated from the purchase based on the purchase price, less the fair value of assets acquired net of liabilities assumed. The goodwill of $1.3 million is attributable to the workforce and customer relationships associated with the branches.  All of the goodwill is deductible for tax purposes and will be amortized over a 15-year period.  The goodwill was assigned to the Commercial and Consumer Banking segment.</w:t>
      </w:r>
    </w:p>
    <w:p>
      <w:pPr>
        <w:pStyle w:val="TextBody"/>
        <w:pBdr/>
        <w:bidi w:val="0"/>
        <w:spacing w:before="0" w:after="0"/>
        <w:ind w:left="0" w:right="0" w:hanging="36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xml:space="preserve">(4)  The fair value of time deposits was calculated using a discounted cash flow analysis that calculated the present value of the projected cash flows from the portfolio versus the present value of a similar portfolio with a similar maturity profile at current market rates. This adjustment represents a difference in interest rates from the time deposits acquired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and the estimated wholesale funding rates used in the application of fair value accounting. The discounted amount will be amortized into expense as an increase in interest expense over the maturity profile of the acquired time deposits.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disclosures regarding pro-forma data and the results of operations subsequent to the acquisition date are omitted as this information is not practical to obtain.  The branches’ financial information is not reported on a stand-alone basis.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bookmarkStart w:id="1067" w:name="Tc_YCH__ORgg0e081tK8m2ayQ_16_14"/>
      <w:bookmarkStart w:id="1068" w:name="Tc_A7Mc4a9m30-5ezIiPTPXhg_16_11"/>
      <w:bookmarkStart w:id="1069" w:name="Tc_FXSlzWcB706HIvWO9WXcKA_16_8"/>
      <w:bookmarkStart w:id="1070" w:name="Tc_jRjkELC4bUuOAIjjvYZjsA_16_5"/>
      <w:bookmarkStart w:id="1071" w:name="Tc__IUAio7-oEW2oYk_axo1wA_16_2"/>
      <w:bookmarkStart w:id="1072" w:name="Tc_QyWXe4tjrEeS7CEU79iLNg_16_0"/>
      <w:bookmarkStart w:id="1073" w:name="Tc_kNhB1KWkGUS4NnsRdFJrZQ_14_6"/>
      <w:bookmarkStart w:id="1074" w:name="Tc_fd5bxaQX40iBEJVrzXbvMg_14_0"/>
      <w:bookmarkStart w:id="1075" w:name="Tc_1WqWXp24lECjtz3jWvQOkA_13_6"/>
      <w:bookmarkStart w:id="1076" w:name="Tc_UvBTk4UkTEumZk2ZVGDYAw_13_0"/>
      <w:bookmarkStart w:id="1077" w:name="Tc_YNeFjHJp4U6IwOoe3JmFyA_12_0"/>
      <w:bookmarkStart w:id="1078" w:name="Tc_oPPK4_eizEWadQxwVGTgZA_10_15"/>
      <w:bookmarkStart w:id="1079" w:name="Tc_5ORiQH90JEqfvkj0PVL2_Q_10_0"/>
      <w:bookmarkStart w:id="1080" w:name="Tc_itSIYJ9370WQRlVInoe1tg_9_15"/>
      <w:bookmarkStart w:id="1081" w:name="Tc_Z4IkhBjNt0yvPcXCqsdyLg_9_6"/>
      <w:bookmarkStart w:id="1082" w:name="Tc_JrMW80cZm06GtgiBtUn_iA_9_0"/>
      <w:bookmarkStart w:id="1083" w:name="Tc_ow5EXJh3wkWNhDjY_OFL3A_8_15"/>
      <w:bookmarkStart w:id="1084" w:name="Tc_J9E4iAVrs0W_6Ou3Eg19WQ_8_6"/>
      <w:bookmarkStart w:id="1085" w:name="Tc__SuVYzF-vk6g2lUTLaCyGQ_8_0"/>
      <w:bookmarkStart w:id="1086" w:name="Tc_HDx-o1gjyUqSh8xSW0XTUA_7_15"/>
      <w:bookmarkStart w:id="1087" w:name="Tc_oo3-hBb4FkKqovy4qAOmYg_7_0"/>
      <w:bookmarkStart w:id="1088" w:name="Tc_JC4FIAjJl0KYn1tzpSO6eQ_6_15"/>
      <w:bookmarkStart w:id="1089" w:name="Tc_WvaNrjPgP0-5Zje2ZdB9DA_6_0"/>
      <w:bookmarkStart w:id="1090" w:name="Tc_d15CaF7Fakmx12AX0lDe6A_5_15"/>
      <w:bookmarkStart w:id="1091" w:name="Tc_ndnewN-7U0ayqdHJje_Nmw_5_14"/>
      <w:bookmarkStart w:id="1092" w:name="Tc_M4lWr7FkXkeQ-gxUM2fh4A_5_11"/>
      <w:bookmarkStart w:id="1093" w:name="Tc_aGE2zHfn00a93ag1HNPupw_5_8"/>
      <w:bookmarkStart w:id="1094" w:name="Tc_TfScSNx3QkqcmeRPK5Bs2Q_5_6"/>
      <w:bookmarkStart w:id="1095" w:name="Tc_8S1BeK3pjEK_CnK6fNsCSg_5_5"/>
      <w:bookmarkStart w:id="1096" w:name="Tc_HBwOubFz8UyxE1_ezRkxEQ_5_2"/>
      <w:bookmarkStart w:id="1097" w:name="Tc_SpUNbpgPI021LTKr6vPKEg_5_0"/>
      <w:bookmarkStart w:id="1098" w:name="Tc_8krKSRo5wUO9eAhYpN_UjQ_4_14"/>
      <w:bookmarkStart w:id="1099" w:name="Tc_Zy4SiBe7WUGYmUv6mHh1yg_4_11"/>
      <w:bookmarkStart w:id="1100" w:name="Tc_TvZeQkD0vEe6dF9EL3lRTg_4_8"/>
      <w:bookmarkStart w:id="1101" w:name="Tc_Js2FM7dKa0-_a3nJKvaSpA_4_5"/>
      <w:bookmarkStart w:id="1102" w:name="Tc_ULXaihtNQkmq9OfD9KpZQg_4_2"/>
      <w:bookmarkStart w:id="1103" w:name="Tc_mtvh8Sn0KEWKc8RVe6yQCA_4_0"/>
      <w:bookmarkStart w:id="1104" w:name="Tc_4ppiCwlvL0qM9Kj1XaXOwA_3_11"/>
      <w:bookmarkStart w:id="1105" w:name="Tc_h0mhepTo3EG9ngjNYzJqMw_3_8"/>
      <w:bookmarkStart w:id="1106" w:name="Tc_APXD77tTcUWKqZwRH3dICA_3_5"/>
      <w:bookmarkStart w:id="1107" w:name="Tc_n9ahdg0i0EmgG1yYDOT-_w_3_2"/>
      <w:bookmarkStart w:id="1108" w:name="Tc_amaisCB5IkmB-wpinWkbGw_2_11"/>
      <w:bookmarkStart w:id="1109" w:name="Tc_D-kG7xK2T0KVLte5AdAxsg_1_2"/>
      <w:bookmarkStart w:id="1110" w:name="_deacb2c3_3331_4ab6_9797_eb3bd6ed8681"/>
      <w:bookmarkStart w:id="1111" w:name="Tc_qGhK52mRgUSk9hJXZAhyEg_16_14"/>
      <w:bookmarkStart w:id="1112" w:name="Tc_SLgQIbn0RUSqToZNKNXVNQ_16_11"/>
      <w:bookmarkStart w:id="1113" w:name="Tc_KXzyjQt9wUWTgSOT9UrI4w_16_8"/>
      <w:bookmarkStart w:id="1114" w:name="Tc_L7020vuAkEWLdm9BJGCMYA_16_5"/>
      <w:bookmarkStart w:id="1115" w:name="Tc_tOJQj7cdm0K00FiBOzqkQw_16_2"/>
      <w:bookmarkStart w:id="1116" w:name="Tc_jyXbwWthvEeOdyhj8Hv2Kg_16_0"/>
      <w:bookmarkStart w:id="1117" w:name="Tc_VxEWJNFnhkWMEkei5ivj6Q_14_6"/>
      <w:bookmarkStart w:id="1118" w:name="Tc_VSGw2HwFjE6bTCcQmAA5HA_14_0"/>
      <w:bookmarkStart w:id="1119" w:name="Tc_wukrByz_jEGJz_8bFzyzcA_13_6"/>
      <w:bookmarkStart w:id="1120" w:name="Tc_XulDY2FmB0C5cSfWcrZN7Q_13_0"/>
      <w:bookmarkStart w:id="1121" w:name="Tc_dT0eX_YZYkKHaGlWNgLt5g_12_0"/>
      <w:bookmarkStart w:id="1122" w:name="Tc_bTanM12pKkeJytj5nKRUZw_10_15"/>
      <w:bookmarkStart w:id="1123" w:name="Tc_a1GVb3qSIEGGMCZfaOzGwA_10_0"/>
      <w:bookmarkStart w:id="1124" w:name="Tc_KSdQilE3AEKQVCvCd1XwtQ_9_15"/>
      <w:bookmarkStart w:id="1125" w:name="Tc_41RrRQq_G0Oc2MHP2zDKog_9_0"/>
      <w:bookmarkStart w:id="1126" w:name="Tc_HZkQiUf-YUuZRLczbaBTrQ_8_15"/>
      <w:bookmarkStart w:id="1127" w:name="Tc_JajFeBagTESuBQMrxSQ6tQ_8_6"/>
      <w:bookmarkStart w:id="1128" w:name="Tc_FK_QwGphMUuyLFBSpo-xkA_8_0"/>
      <w:bookmarkStart w:id="1129" w:name="Tc_HIa7yyxtlEmp1fJMNZ5Ayw_7_15"/>
      <w:bookmarkStart w:id="1130" w:name="Tc_qIDfm4XXRE2C-t3Q5sHN4w_7_0"/>
      <w:bookmarkStart w:id="1131" w:name="Tc_I_K3EQHPL0mg2Sb2eH9jcA_6_15"/>
      <w:bookmarkStart w:id="1132" w:name="Tc_9mVjzQpnqEWHIxH9J0hd9g_6_0"/>
      <w:bookmarkStart w:id="1133" w:name="Tc_AZ1RKAg5DE6R0-f9M3ebGg_5_15"/>
      <w:bookmarkStart w:id="1134" w:name="Tc_631tKpRO4EOALlGWq1GWZw_5_14"/>
      <w:bookmarkStart w:id="1135" w:name="Tc_gQAU3IX0vEakKlcDv0Wsgg_5_11"/>
      <w:bookmarkStart w:id="1136" w:name="Tc_7uackF7dmEqj-GhwCnuc9w_5_8"/>
      <w:bookmarkStart w:id="1137" w:name="Tc_YiVww-0UCEygBfgedRNhOQ_5_5"/>
      <w:bookmarkStart w:id="1138" w:name="Tc_Yv0VYWCcbUW1wQOoJE7A5g_5_2"/>
      <w:bookmarkStart w:id="1139" w:name="Tc_KdkQzMCaEkKE-XAhai3HUw_5_0"/>
      <w:bookmarkStart w:id="1140" w:name="Tc_uN6dTSPsFEiMMUbt8o23tw_4_14"/>
      <w:bookmarkStart w:id="1141" w:name="Tc_RydeooAvNUyHRR51zmQDbQ_4_11"/>
      <w:bookmarkStart w:id="1142" w:name="Tc_ukGB7xlbBUyr4Z041hw3QQ_4_8"/>
      <w:bookmarkStart w:id="1143" w:name="Tc_jwnUw_vW1U-Ai5TanFGaPA_4_5"/>
      <w:bookmarkStart w:id="1144" w:name="Tc_6UH0N-nc8kOENNtFTKA_Cg_4_2"/>
      <w:bookmarkStart w:id="1145" w:name="Tc_GHmw8Pf3jkWzenR3RgTpuQ_4_0"/>
      <w:bookmarkStart w:id="1146" w:name="Tc_141czs27JkelEX_1Y45qyA_3_11"/>
      <w:bookmarkStart w:id="1147" w:name="Tc_Ctcu6QnmfEKfBpvJEjwVOw_3_8"/>
      <w:bookmarkStart w:id="1148" w:name="Tc_Jv9JnIlpcUie67NELgLvOA_3_5"/>
      <w:bookmarkStart w:id="1149" w:name="Tc_ApdghKfBNUWd8i0Pr0lvSA_3_2"/>
      <w:bookmarkStart w:id="1150" w:name="Tc_mzIv11ll1UeIfwcsKrAZpA_2_11"/>
      <w:bookmarkStart w:id="1151" w:name="Tc_6pv5YFtFrkqwL2eoBtzxmw_1_2"/>
      <w:bookmarkStart w:id="1152" w:name="_6ebbbaa0_9ae6_4d7c_be07_6957bca946fd"/>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r>
        <w:rPr>
          <w:rFonts w:ascii="Times New Roman;Times;serif" w:hAnsi="Times New Roman;Times;serif"/>
          <w:b/>
          <w:sz w:val="20"/>
        </w:rPr>
        <w:t>NOTE 3 </w:t>
      </w:r>
      <w:r>
        <w:rPr>
          <w:rFonts w:ascii="Times New Roman;Times;serif" w:hAnsi="Times New Roman;Times;serif"/>
          <w:sz w:val="20"/>
        </w:rPr>
        <w:t xml:space="preserve">– </w:t>
      </w:r>
      <w:r>
        <w:rPr>
          <w:rFonts w:ascii="Times New Roman;Times;serif" w:hAnsi="Times New Roman;Times;serif"/>
          <w:b/>
          <w:sz w:val="20"/>
        </w:rPr>
        <w:t>INVESTMENTS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present the amortized costs, unrealized gains, unrealized losses, estimated fair values of securities available-for-sale and held-to-maturity, and ACL for securities held-to-maturity at June 30, 2023 and December 31, 2022:</w:t>
      </w:r>
    </w:p>
    <w:p>
      <w:pPr>
        <w:pStyle w:val="TextBody"/>
        <w:bidi w:val="0"/>
        <w:spacing w:before="0" w:after="0"/>
        <w:ind w:left="0" w:right="0" w:hanging="0"/>
        <w:jc w:val="left"/>
        <w:rPr/>
      </w:pPr>
      <w:r>
        <w:rPr/>
        <w:t>​</w:t>
      </w:r>
    </w:p>
    <w:tbl>
      <w:tblPr>
        <w:tblW w:w="9963" w:type="dxa"/>
        <w:jc w:val="left"/>
        <w:tblInd w:w="0" w:type="dxa"/>
        <w:tblLayout w:type="fixed"/>
        <w:tblCellMar>
          <w:top w:w="0" w:type="dxa"/>
          <w:left w:w="0" w:type="dxa"/>
          <w:bottom w:w="0" w:type="dxa"/>
          <w:right w:w="0" w:type="dxa"/>
        </w:tblCellMar>
      </w:tblPr>
      <w:tblGrid>
        <w:gridCol w:w="3811"/>
        <w:gridCol w:w="326"/>
        <w:gridCol w:w="213"/>
        <w:gridCol w:w="793"/>
        <w:gridCol w:w="326"/>
        <w:gridCol w:w="392"/>
        <w:gridCol w:w="644"/>
        <w:gridCol w:w="326"/>
        <w:gridCol w:w="230"/>
        <w:gridCol w:w="806"/>
        <w:gridCol w:w="326"/>
        <w:gridCol w:w="211"/>
        <w:gridCol w:w="781"/>
        <w:gridCol w:w="146"/>
        <w:gridCol w:w="211"/>
        <w:gridCol w:w="421"/>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419985" cy="175260"/>
                      <wp:effectExtent l="0" t="0" r="0" b="0"/>
                      <wp:wrapNone/>
                      <wp:docPr id="109" name="Frame109"/>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5255" cy="175260"/>
                      <wp:effectExtent l="0" t="0" r="0" b="0"/>
                      <wp:wrapNone/>
                      <wp:docPr id="111" name="Frame11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03555" cy="175260"/>
                      <wp:effectExtent l="0" t="0" r="0" b="0"/>
                      <wp:wrapNone/>
                      <wp:docPr id="112" name="Frame11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48920" cy="175260"/>
                      <wp:effectExtent l="0" t="0" r="0" b="0"/>
                      <wp:wrapNone/>
                      <wp:docPr id="114" name="Frame11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08940" cy="175260"/>
                      <wp:effectExtent l="0" t="0" r="0" b="0"/>
                      <wp:wrapNone/>
                      <wp:docPr id="115" name="Frame115"/>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6050" cy="175260"/>
                      <wp:effectExtent l="0" t="0" r="0" b="0"/>
                      <wp:wrapNone/>
                      <wp:docPr id="117" name="Frame11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11810" cy="175260"/>
                      <wp:effectExtent l="0" t="0" r="0" b="0"/>
                      <wp:wrapNone/>
                      <wp:docPr id="118" name="Frame118"/>
                      <a:graphic xmlns:a="http://schemas.openxmlformats.org/drawingml/2006/main">
                        <a:graphicData uri="http://schemas.microsoft.com/office/word/2010/wordprocessingShape">
                          <wps:wsp>
                            <wps:cNvSpPr txBox="1"/>
                            <wps:spPr>
                              <a:xfrm>
                                <a:off x="0" y="0"/>
                                <a:ext cx="51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5935" cy="175260"/>
                      <wp:effectExtent l="0" t="0" r="0" b="0"/>
                      <wp:wrapNone/>
                      <wp:docPr id="121" name="Frame1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92710" cy="175260"/>
                      <wp:effectExtent l="0" t="0" r="0" b="0"/>
                      <wp:wrapNone/>
                      <wp:docPr id="122" name="Frame12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67335" cy="175260"/>
                      <wp:effectExtent l="0" t="0" r="0" b="0"/>
                      <wp:wrapNone/>
                      <wp:docPr id="124" name="Frame12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82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Estimated</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w:t>
            </w:r>
          </w:p>
        </w:tc>
        <w:tc>
          <w:tcPr>
            <w:tcW w:w="326" w:type="dxa"/>
            <w:tcBorders/>
            <w:vAlign w:val="center"/>
          </w:tcPr>
          <w:p>
            <w:pPr>
              <w:pStyle w:val="TableContents"/>
              <w:bidi w:val="0"/>
              <w:spacing w:before="0" w:after="0"/>
              <w:ind w:left="0" w:right="0" w:hanging="0"/>
              <w:jc w:val="center"/>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w:t>
            </w:r>
          </w:p>
        </w:tc>
        <w:tc>
          <w:tcPr>
            <w:tcW w:w="326" w:type="dxa"/>
            <w:tcBorders/>
            <w:vAlign w:val="center"/>
          </w:tcPr>
          <w:p>
            <w:pPr>
              <w:pStyle w:val="TableContents"/>
              <w:bidi w:val="0"/>
              <w:spacing w:before="0" w:after="0"/>
              <w:ind w:left="0" w:right="0" w:hanging="0"/>
              <w:jc w:val="center"/>
              <w:rPr/>
            </w:pPr>
            <w:r>
              <w:rPr/>
              <w:t>​</w:t>
            </w:r>
          </w:p>
        </w:tc>
        <w:tc>
          <w:tcPr>
            <w:tcW w:w="103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 </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AVAILABLE-FOR-SALE</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center"/>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Values</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ACL</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21,152</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6,999</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6,193</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140,674</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 </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118,664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80,076</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 </w:t>
            </w:r>
          </w:p>
        </w:tc>
        <w:tc>
          <w:tcPr>
            <w:tcW w:w="6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8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67,597</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Small Business Administration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17,088</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securities available-for-sale</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265,989</w:t>
            </w:r>
          </w:p>
        </w:tc>
        <w:tc>
          <w:tcPr>
            <w:tcW w:w="32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225,869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HELD-TO-MATURITY</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securities held-to-maturity</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securities </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274,489</w:t>
            </w:r>
          </w:p>
        </w:tc>
        <w:tc>
          <w:tcPr>
            <w:tcW w:w="326" w:type="dxa"/>
            <w:tcBorders/>
            <w:vAlign w:val="center"/>
          </w:tcPr>
          <w:p>
            <w:pPr>
              <w:pStyle w:val="TableContents"/>
              <w:bidi w:val="0"/>
              <w:spacing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233,344</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889" w:type="dxa"/>
        <w:jc w:val="left"/>
        <w:tblInd w:w="0" w:type="dxa"/>
        <w:tblLayout w:type="fixed"/>
        <w:tblCellMar>
          <w:top w:w="0" w:type="dxa"/>
          <w:left w:w="0" w:type="dxa"/>
          <w:bottom w:w="0" w:type="dxa"/>
          <w:right w:w="0" w:type="dxa"/>
        </w:tblCellMar>
      </w:tblPr>
      <w:tblGrid>
        <w:gridCol w:w="3811"/>
        <w:gridCol w:w="326"/>
        <w:gridCol w:w="213"/>
        <w:gridCol w:w="793"/>
        <w:gridCol w:w="326"/>
        <w:gridCol w:w="375"/>
        <w:gridCol w:w="616"/>
        <w:gridCol w:w="326"/>
        <w:gridCol w:w="211"/>
        <w:gridCol w:w="796"/>
        <w:gridCol w:w="326"/>
        <w:gridCol w:w="211"/>
        <w:gridCol w:w="781"/>
        <w:gridCol w:w="146"/>
        <w:gridCol w:w="211"/>
        <w:gridCol w:w="421"/>
      </w:tblGrid>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Estimated</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Amortized </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AVAILABLE-FOR-SALE</w:t>
            </w:r>
          </w:p>
        </w:tc>
        <w:tc>
          <w:tcPr>
            <w:tcW w:w="326"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0"/>
              <w:ind w:left="0" w:right="0" w:hanging="0"/>
              <w:jc w:val="center"/>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Values</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ACL</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21,153</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9,497</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144,200</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120,602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82,424</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69,966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Small Business Administration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14,519</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securities available-for-sale</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271,793</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229,252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SECURITIES HELD-TO-MATURITY</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securities held-to-maturity</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securities </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280,293</w:t>
            </w:r>
          </w:p>
        </w:tc>
        <w:tc>
          <w:tcPr>
            <w:tcW w:w="326" w:type="dxa"/>
            <w:tcBorders/>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237,181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153" w:name="Tc_o4A_NhTbpUSK97RxqI7wOA_6_8"/>
      <w:bookmarkStart w:id="1154" w:name="Tc_nED-Xb7RakCj23hvA13JiA_6_5"/>
      <w:bookmarkStart w:id="1155" w:name="Tc_klloEZKEbkOIAT9-7WT00g_6_2"/>
      <w:bookmarkStart w:id="1156" w:name="Tc_WilfiyRC-k2XQdjVd84obQ_6_0"/>
      <w:bookmarkStart w:id="1157" w:name="Tc_PsYBt4XBLEeKML_9Y6S_Hw_5_0"/>
      <w:bookmarkStart w:id="1158" w:name="Tc_Vz6xuAiXx0qe5a6ZaBHLgw_4_0"/>
      <w:bookmarkStart w:id="1159" w:name="Tc_QoXgpgwuE0eTRSkbKmWuGg_3_8"/>
      <w:bookmarkStart w:id="1160" w:name="Tc_F_L_gBd2nE6PMkzV2-4S9g_3_5"/>
      <w:bookmarkStart w:id="1161" w:name="Tc_vb1D4T12lECsvJJXdc_Qww_3_2"/>
      <w:bookmarkStart w:id="1162" w:name="Tc_QwTvPeYGs0G8y1aTcRUQZA_3_0"/>
      <w:bookmarkStart w:id="1163" w:name="Tc_qqFf1hOo4E-ZzcUNzckaMQ_2_8"/>
      <w:bookmarkStart w:id="1164" w:name="Tc_AgfAM4ZfPkKbeDDc4h2_3g_2_5"/>
      <w:bookmarkStart w:id="1165" w:name="Tc_sP8BdF-lE0mdlIF0Z3iEQQ_2_2"/>
      <w:bookmarkStart w:id="1166" w:name="Tc_b4vV9_r6JEqSr2sZuHEwSw_2_0"/>
      <w:bookmarkStart w:id="1167" w:name="Tc_uqgV6aaECUakudaVn16DGw_1_2"/>
      <w:bookmarkStart w:id="1168" w:name="Tc_rr3EogsD6UC71gNk3J_bNg_5_5"/>
      <w:bookmarkStart w:id="1169" w:name="Tc_dc1CZBIaiES7UewjOrXGNQ_5_2"/>
      <w:bookmarkStart w:id="1170" w:name="Tc_fi3H7MUFGUyNXcpg23kSHA_5_0"/>
      <w:bookmarkStart w:id="1171" w:name="Tc_h6gtLVvYfk2jCbmGW0Rgtw_4_6"/>
      <w:bookmarkStart w:id="1172" w:name="Tc_irqGUwR8wUmzAfM6XYiMUA_4_0"/>
      <w:bookmarkStart w:id="1173" w:name="Tc_AtmAUfof9ked8XoHc0E_6Q_3_5"/>
      <w:bookmarkStart w:id="1174" w:name="Tc_NCzrHu5un063xrI-_L-HIg_3_2"/>
      <w:bookmarkStart w:id="1175" w:name="Tc_P77p2bZOr0e9Bdq3aa8dtg_3_0"/>
      <w:bookmarkStart w:id="1176" w:name="Tc_rAxHTgaDL0CLJ55SVS3xKw_2_5"/>
      <w:bookmarkStart w:id="1177" w:name="Tc_VRALxPbIZUWCHASWTY1tHQ_2_2"/>
      <w:bookmarkStart w:id="1178" w:name="Tc_zm-AwfiqVkCwgQMRbXbzHg_2_0"/>
      <w:bookmarkStart w:id="1179" w:name="Tc_Jq9xGfry9Eyon7-QueOchA_1_5"/>
      <w:bookmarkStart w:id="1180" w:name="Tc_LAwnQCCO4EmHrDeKwbH-ng_1_2"/>
      <w:bookmarkStart w:id="1181" w:name="Tc_6Y_jjW46RUe8DYyW1Aga1A_8_5"/>
      <w:bookmarkStart w:id="1182" w:name="Tc_FBQnxxQiNk2mjpoKN6Q1Yg_8_2"/>
      <w:bookmarkStart w:id="1183" w:name="Tc_enH2OwYDVEKb6gC2rV2vdQ_8_0"/>
      <w:bookmarkStart w:id="1184" w:name="Tc_R5tnXNOieUCFjZKQIp2Rww_7_0"/>
      <w:bookmarkStart w:id="1185" w:name="Tc_wm5TPF4zW0SzcK-ZrW2Waw_6_0"/>
      <w:bookmarkStart w:id="1186" w:name="Tc_tek4Y7P5wk-uPqPD0wDa1g_5_0"/>
      <w:bookmarkStart w:id="1187" w:name="Tc_qMjNByf7I0uGht0OzLoR7A_4_0"/>
      <w:bookmarkStart w:id="1188" w:name="Tc_zmsIEm7g4kygdfH4mYkFow_3_6"/>
      <w:bookmarkStart w:id="1189" w:name="Tc_q6ntgi5LEUK6a8EMX4gSFw_3_5"/>
      <w:bookmarkStart w:id="1190" w:name="Tc_95XiQ5JJy0q3UxE3lz67Uw_3_2"/>
      <w:bookmarkStart w:id="1191" w:name="Tc_5XDwV3zFBU6IiNd7UZScYw_3_0"/>
      <w:bookmarkStart w:id="1192" w:name="Tc_3nwRTOsBqU6Dml79SEbEuw_2_5"/>
      <w:bookmarkStart w:id="1193" w:name="Tc_jt6w0gtsk0Of82tP8e2ecg_2_2"/>
      <w:bookmarkStart w:id="1194" w:name="Tc_x1SoOKysOEikeY92Dybb2g_2_0"/>
      <w:bookmarkStart w:id="1195" w:name="Tc_FDfDTBVxX0OnXUmRE5s5zQ_1_2"/>
      <w:bookmarkStart w:id="1196" w:name="Tc_OWLb122jOkGbkwcIWmvLUw_1_0"/>
      <w:bookmarkStart w:id="1197" w:name="_d4e7c1d4_f786_42bb_a91f_f5fad39156cc"/>
      <w:bookmarkStart w:id="1198" w:name="Tc_ry_FDYh4bk-UfdUb_j5Ftw_7_5"/>
      <w:bookmarkStart w:id="1199" w:name="Tc_c2b3Z5Zf1Ea-S2enkDVxQQ_7_2"/>
      <w:bookmarkStart w:id="1200" w:name="Tc_f5g8SHkr3ESD4SCxBhKSmw_7_0"/>
      <w:bookmarkStart w:id="1201" w:name="Tc_AZ4zusSIu0yYoE4siIA5vg_6_0"/>
      <w:bookmarkStart w:id="1202" w:name="Tc_Srvbdk7_y0GHckEPBVwJjA_5_0"/>
      <w:bookmarkStart w:id="1203" w:name="Tc_ic8_yKD8KUqQTTGbSuNEMw_4_0"/>
      <w:bookmarkStart w:id="1204" w:name="Tc_Y3oQuDbNyUSbdGp8oseCRw_3_5"/>
      <w:bookmarkStart w:id="1205" w:name="Tc_bt1e-TtppkyA7F1AS_lShg_3_2"/>
      <w:bookmarkStart w:id="1206" w:name="Tc_NGH5JnPlSkSj3s7rpM7y_w_3_0"/>
      <w:bookmarkStart w:id="1207" w:name="Tc_pTWz5zqT6EeJS60gJA01og_2_5"/>
      <w:bookmarkStart w:id="1208" w:name="Tc_X0GJ3pE8VEyXQY_3h9pnFw_2_2"/>
      <w:bookmarkStart w:id="1209" w:name="Tc_D4Q4wtgr5ke2rcYcp6n0ow_2_0"/>
      <w:bookmarkStart w:id="1210" w:name="Tc_xHWoDTaNl02dk0OyxUk_sw_1_2"/>
      <w:bookmarkStart w:id="1211" w:name="Tc_1oj2bcTq_kKRqPZRiCk6RA_1_0"/>
      <w:bookmarkStart w:id="1212" w:name="_bcd050ba_1162_4754_820a_16c481e77476"/>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r>
        <w:rPr>
          <w:rFonts w:ascii="Times New Roman;Times;serif" w:hAnsi="Times New Roman;Times;serif"/>
          <w:sz w:val="20"/>
        </w:rPr>
        <w:t xml:space="preserve">The </w:t>
      </w:r>
      <w:r>
        <w:rPr>
          <w:rFonts w:ascii="Times New Roman;Times;serif" w:hAnsi="Times New Roman;Times;serif"/>
          <w:sz w:val="20"/>
          <w:shd w:fill="FFFFFF" w:val="clear"/>
        </w:rPr>
        <w:t>following table presents the activity in the ACL for securities held-to-maturity by major security type for the three and six months ended June 30, 2023 and 2022:</w:t>
      </w:r>
    </w:p>
    <w:p>
      <w:pPr>
        <w:pStyle w:val="TextBody"/>
        <w:bidi w:val="0"/>
        <w:spacing w:before="0" w:after="200"/>
        <w:ind w:left="0" w:right="0" w:hanging="0"/>
        <w:jc w:val="both"/>
        <w:rPr/>
      </w:pPr>
      <w:r>
        <w:rPr/>
        <w:t>​</w:t>
      </w:r>
    </w:p>
    <w:tbl>
      <w:tblPr>
        <w:tblW w:w="6822" w:type="dxa"/>
        <w:jc w:val="left"/>
        <w:tblInd w:w="0" w:type="dxa"/>
        <w:tblLayout w:type="fixed"/>
        <w:tblCellMar>
          <w:top w:w="0" w:type="dxa"/>
          <w:left w:w="0" w:type="dxa"/>
          <w:bottom w:w="0" w:type="dxa"/>
          <w:right w:w="0" w:type="dxa"/>
        </w:tblCellMar>
      </w:tblPr>
      <w:tblGrid>
        <w:gridCol w:w="3361"/>
        <w:gridCol w:w="266"/>
        <w:gridCol w:w="428"/>
        <w:gridCol w:w="702"/>
        <w:gridCol w:w="661"/>
        <w:gridCol w:w="428"/>
        <w:gridCol w:w="97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34235" cy="175260"/>
                      <wp:effectExtent l="0" t="0" r="0" b="0"/>
                      <wp:wrapNone/>
                      <wp:docPr id="125" name="Frame125"/>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8910" cy="175260"/>
                      <wp:effectExtent l="0" t="0" r="0" b="0"/>
                      <wp:wrapNone/>
                      <wp:docPr id="126" name="Frame126"/>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71780" cy="175260"/>
                      <wp:effectExtent l="0" t="0" r="0" b="0"/>
                      <wp:wrapNone/>
                      <wp:docPr id="127" name="Frame127"/>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45770" cy="175260"/>
                      <wp:effectExtent l="0" t="0" r="0" b="0"/>
                      <wp:wrapNone/>
                      <wp:docPr id="128" name="Frame128"/>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19735" cy="175260"/>
                      <wp:effectExtent l="0" t="0" r="0" b="0"/>
                      <wp:wrapNone/>
                      <wp:docPr id="129" name="Frame129"/>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71780" cy="175260"/>
                      <wp:effectExtent l="0" t="0" r="0" b="0"/>
                      <wp:wrapNone/>
                      <wp:docPr id="130" name="Frame130"/>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19760" cy="175260"/>
                      <wp:effectExtent l="0" t="0" r="0" b="0"/>
                      <wp:wrapNone/>
                      <wp:docPr id="131" name="Frame13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SECURITIES HELD-TO-MATURITY</w:t>
            </w:r>
          </w:p>
        </w:tc>
        <w:tc>
          <w:tcPr>
            <w:tcW w:w="266" w:type="dxa"/>
            <w:tcBorders/>
            <w:vAlign w:val="center"/>
          </w:tcPr>
          <w:p>
            <w:pPr>
              <w:pStyle w:val="TableContents"/>
              <w:bidi w:val="0"/>
              <w:spacing w:before="0" w:after="1"/>
              <w:ind w:left="0" w:right="0" w:hanging="0"/>
              <w:jc w:val="left"/>
              <w:rPr/>
            </w:pPr>
            <w:r>
              <w:rPr/>
              <w:t>   </w:t>
            </w:r>
          </w:p>
        </w:tc>
        <w:tc>
          <w:tcPr>
            <w:tcW w:w="3195"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For the Three Months Ended June 30,</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266" w:type="dxa"/>
            <w:tcBorders/>
            <w:vAlign w:val="center"/>
          </w:tcPr>
          <w:p>
            <w:pPr>
              <w:pStyle w:val="TableContents"/>
              <w:bidi w:val="0"/>
              <w:spacing w:before="0" w:after="1"/>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4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allowance balance</w:t>
            </w:r>
          </w:p>
        </w:tc>
        <w:tc>
          <w:tcPr>
            <w:tcW w:w="266"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661"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Recapture for credit losses</w:t>
            </w:r>
          </w:p>
        </w:tc>
        <w:tc>
          <w:tcPr>
            <w:tcW w:w="266"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 </w:t>
            </w:r>
          </w:p>
        </w:tc>
        <w:tc>
          <w:tcPr>
            <w:tcW w:w="702"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661" w:type="dxa"/>
            <w:tcBorders/>
            <w:vAlign w:val="center"/>
          </w:tcPr>
          <w:p>
            <w:pPr>
              <w:pStyle w:val="TableContents"/>
              <w:bidi w:val="0"/>
              <w:spacing w:before="0" w:after="1"/>
              <w:ind w:left="0" w:right="0" w:hanging="0"/>
              <w:jc w:val="left"/>
              <w:rPr/>
            </w:pPr>
            <w:r>
              <w:rPr/>
              <w:t>​</w:t>
            </w:r>
          </w:p>
        </w:tc>
        <w:tc>
          <w:tcPr>
            <w:tcW w:w="428"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charged-off</w:t>
            </w:r>
          </w:p>
        </w:tc>
        <w:tc>
          <w:tcPr>
            <w:tcW w:w="266"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pPr>
            <w:r>
              <w:rPr/>
              <w:t> </w:t>
            </w:r>
          </w:p>
        </w:tc>
        <w:tc>
          <w:tcPr>
            <w:tcW w:w="702"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661" w:type="dxa"/>
            <w:tcBorders/>
            <w:shd w:fill="CCEEFF" w:val="clear"/>
            <w:vAlign w:val="center"/>
          </w:tcPr>
          <w:p>
            <w:pPr>
              <w:pStyle w:val="TableContents"/>
              <w:bidi w:val="0"/>
              <w:spacing w:before="0" w:after="1"/>
              <w:ind w:left="0" w:right="0" w:hanging="0"/>
              <w:jc w:val="left"/>
              <w:rPr/>
            </w:pPr>
            <w:r>
              <w:rPr/>
              <w:t>​</w:t>
            </w:r>
          </w:p>
        </w:tc>
        <w:tc>
          <w:tcPr>
            <w:tcW w:w="428"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266" w:type="dxa"/>
            <w:tcBorders/>
            <w:vAlign w:val="center"/>
          </w:tcPr>
          <w:p>
            <w:pPr>
              <w:pStyle w:val="TableContents"/>
              <w:bidi w:val="0"/>
              <w:spacing w:before="0" w:after="1"/>
              <w:ind w:left="0" w:right="0" w:hanging="0"/>
              <w:jc w:val="left"/>
              <w:rPr/>
            </w:pPr>
            <w:r>
              <w:rPr/>
              <w:t>​</w:t>
            </w:r>
          </w:p>
        </w:tc>
        <w:tc>
          <w:tcPr>
            <w:tcW w:w="4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ending allowance balance</w:t>
            </w:r>
          </w:p>
        </w:tc>
        <w:tc>
          <w:tcPr>
            <w:tcW w:w="266" w:type="dxa"/>
            <w:tcBorders/>
            <w:shd w:fill="CCEEFF" w:val="clear"/>
            <w:vAlign w:val="center"/>
          </w:tcPr>
          <w:p>
            <w:pPr>
              <w:pStyle w:val="TableContents"/>
              <w:bidi w:val="0"/>
              <w:spacing w:before="0" w:after="1"/>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66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200"/>
        <w:ind w:left="0" w:right="0" w:hanging="0"/>
        <w:jc w:val="both"/>
        <w:rPr/>
      </w:pPr>
      <w:r>
        <w:rPr/>
        <w:t>​</w:t>
      </w:r>
    </w:p>
    <w:tbl>
      <w:tblPr>
        <w:tblW w:w="6627" w:type="dxa"/>
        <w:jc w:val="left"/>
        <w:tblInd w:w="0" w:type="dxa"/>
        <w:tblLayout w:type="fixed"/>
        <w:tblCellMar>
          <w:top w:w="0" w:type="dxa"/>
          <w:left w:w="0" w:type="dxa"/>
          <w:bottom w:w="0" w:type="dxa"/>
          <w:right w:w="0" w:type="dxa"/>
        </w:tblCellMar>
      </w:tblPr>
      <w:tblGrid>
        <w:gridCol w:w="3361"/>
        <w:gridCol w:w="266"/>
        <w:gridCol w:w="402"/>
        <w:gridCol w:w="659"/>
        <w:gridCol w:w="621"/>
        <w:gridCol w:w="402"/>
        <w:gridCol w:w="91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34235" cy="175260"/>
                      <wp:effectExtent l="0" t="0" r="0" b="0"/>
                      <wp:wrapNone/>
                      <wp:docPr id="132" name="Frame132"/>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68910" cy="175260"/>
                      <wp:effectExtent l="0" t="0" r="0" b="0"/>
                      <wp:wrapNone/>
                      <wp:docPr id="133" name="Frame133"/>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55270" cy="175260"/>
                      <wp:effectExtent l="0" t="0" r="0" b="0"/>
                      <wp:wrapNone/>
                      <wp:docPr id="134" name="Frame134"/>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18465" cy="175260"/>
                      <wp:effectExtent l="0" t="0" r="0" b="0"/>
                      <wp:wrapNone/>
                      <wp:docPr id="135" name="Frame135"/>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94335" cy="175260"/>
                      <wp:effectExtent l="0" t="0" r="0" b="0"/>
                      <wp:wrapNone/>
                      <wp:docPr id="136" name="Frame136"/>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55270" cy="175260"/>
                      <wp:effectExtent l="0" t="0" r="0" b="0"/>
                      <wp:wrapNone/>
                      <wp:docPr id="137" name="Frame137"/>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81660" cy="175260"/>
                      <wp:effectExtent l="0" t="0" r="0" b="0"/>
                      <wp:wrapNone/>
                      <wp:docPr id="138" name="Frame13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SECURITIES HELD-TO-MATURITY</w:t>
            </w:r>
          </w:p>
        </w:tc>
        <w:tc>
          <w:tcPr>
            <w:tcW w:w="266" w:type="dxa"/>
            <w:tcBorders/>
            <w:vAlign w:val="center"/>
          </w:tcPr>
          <w:p>
            <w:pPr>
              <w:pStyle w:val="TableContents"/>
              <w:bidi w:val="0"/>
              <w:spacing w:before="0" w:after="1"/>
              <w:ind w:left="0" w:right="0" w:hanging="0"/>
              <w:jc w:val="left"/>
              <w:rPr/>
            </w:pPr>
            <w:r>
              <w:rPr/>
              <w:t>   </w:t>
            </w:r>
          </w:p>
        </w:tc>
        <w:tc>
          <w:tcPr>
            <w:tcW w:w="3000"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For the Six Months Ended June 30,</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266" w:type="dxa"/>
            <w:tcBorders/>
            <w:vAlign w:val="center"/>
          </w:tcPr>
          <w:p>
            <w:pPr>
              <w:pStyle w:val="TableContents"/>
              <w:bidi w:val="0"/>
              <w:spacing w:before="0" w:after="1"/>
              <w:ind w:left="0" w:right="0" w:hanging="0"/>
              <w:jc w:val="lef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62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13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allowance balance</w:t>
            </w:r>
          </w:p>
        </w:tc>
        <w:tc>
          <w:tcPr>
            <w:tcW w:w="26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621"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1"/>
              <w:ind w:left="0" w:right="0" w:hanging="0"/>
              <w:jc w:val="right"/>
              <w:rPr/>
            </w:pPr>
            <w:r>
              <w:rPr/>
              <w:t>—</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Impact of adopting ASU 2016-13</w:t>
            </w:r>
          </w:p>
        </w:tc>
        <w:tc>
          <w:tcPr>
            <w:tcW w:w="26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65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621"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Recapture for credit losses</w:t>
            </w:r>
          </w:p>
        </w:tc>
        <w:tc>
          <w:tcPr>
            <w:tcW w:w="266"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 </w:t>
            </w:r>
          </w:p>
        </w:tc>
        <w:tc>
          <w:tcPr>
            <w:tcW w:w="659"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621" w:type="dxa"/>
            <w:tcBorders/>
            <w:shd w:fill="CCEEFF" w:val="clear"/>
            <w:vAlign w:val="center"/>
          </w:tcPr>
          <w:p>
            <w:pPr>
              <w:pStyle w:val="TableContents"/>
              <w:bidi w:val="0"/>
              <w:spacing w:before="0" w:after="1"/>
              <w:ind w:left="0" w:right="0" w:hanging="0"/>
              <w:jc w:val="left"/>
              <w:rPr/>
            </w:pPr>
            <w:r>
              <w:rPr/>
              <w:t>​</w:t>
            </w:r>
          </w:p>
        </w:tc>
        <w:tc>
          <w:tcPr>
            <w:tcW w:w="402"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Securities charged-off</w:t>
            </w:r>
          </w:p>
        </w:tc>
        <w:tc>
          <w:tcPr>
            <w:tcW w:w="266"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 </w:t>
            </w:r>
          </w:p>
        </w:tc>
        <w:tc>
          <w:tcPr>
            <w:tcW w:w="65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621"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266" w:type="dxa"/>
            <w:tcBorders/>
            <w:shd w:fill="CCEEFF" w:val="clear"/>
            <w:vAlign w:val="center"/>
          </w:tcPr>
          <w:p>
            <w:pPr>
              <w:pStyle w:val="TableContents"/>
              <w:bidi w:val="0"/>
              <w:spacing w:before="0" w:after="1"/>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6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ending allowance balance</w:t>
            </w:r>
          </w:p>
        </w:tc>
        <w:tc>
          <w:tcPr>
            <w:tcW w:w="266" w:type="dxa"/>
            <w:tcBorders/>
            <w:vAlign w:val="center"/>
          </w:tcPr>
          <w:p>
            <w:pPr>
              <w:pStyle w:val="TableContents"/>
              <w:bidi w:val="0"/>
              <w:spacing w:before="0" w:after="1"/>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62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20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Management measures expected credit losses on held-to-maturity debt securities on an individual basis. The estimate of expected credit losses considers historical credit loss information that is adjusted for current conditions and reasonable and supportable forecasts. Accrued interest receivable on held-to-maturity debt securities totaled $116,000 as of both June 30, 2023 and December 31, 2022, and was $1.1 million and $1.2 million on available-for-sale debt securities as of June 30, 2023 and December 31, 2022, respectively.  Accrued interest receivable on securities is reported in “Accrued interest receivable” on the Consolidated Balance Sheets and is excluded from the calculation of the ACL.</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Bank monitors the credit quality of debt securities held-to-maturity quarterly through the use of credit rating, material event notices, and changes in market value. The following table summarizes the amortized cost of debt securities held-to-maturity at the dates indicated, aggregated by credit quality indicator:</w:t>
      </w:r>
    </w:p>
    <w:p>
      <w:pPr>
        <w:pStyle w:val="TextBody"/>
        <w:bidi w:val="0"/>
        <w:spacing w:before="0" w:after="0"/>
        <w:ind w:left="0" w:right="0" w:hanging="0"/>
        <w:jc w:val="left"/>
        <w:rPr/>
      </w:pPr>
      <w:r>
        <w:rPr/>
        <w:t>​</w:t>
      </w:r>
    </w:p>
    <w:tbl>
      <w:tblPr>
        <w:tblW w:w="4435" w:type="dxa"/>
        <w:jc w:val="left"/>
        <w:tblInd w:w="0" w:type="dxa"/>
        <w:tblLayout w:type="fixed"/>
        <w:tblCellMar>
          <w:top w:w="0" w:type="dxa"/>
          <w:left w:w="0" w:type="dxa"/>
          <w:bottom w:w="0" w:type="dxa"/>
          <w:right w:w="0" w:type="dxa"/>
        </w:tblCellMar>
      </w:tblPr>
      <w:tblGrid>
        <w:gridCol w:w="1741"/>
        <w:gridCol w:w="326"/>
        <w:gridCol w:w="211"/>
        <w:gridCol w:w="571"/>
        <w:gridCol w:w="326"/>
        <w:gridCol w:w="299"/>
        <w:gridCol w:w="961"/>
      </w:tblGrid>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w:t>
            </w:r>
          </w:p>
        </w:tc>
        <w:tc>
          <w:tcPr>
            <w:tcW w:w="326" w:type="dxa"/>
            <w:tcBorders/>
            <w:vAlign w:val="center"/>
          </w:tcPr>
          <w:p>
            <w:pPr>
              <w:pStyle w:val="TableContents"/>
              <w:bidi w:val="0"/>
              <w:spacing w:before="0" w:after="1"/>
              <w:ind w:left="0" w:right="0" w:hanging="0"/>
              <w:jc w:val="left"/>
              <w:rPr/>
            </w:pPr>
            <w:r>
              <w:rPr/>
              <w:t>​</w:t>
            </w:r>
          </w:p>
        </w:tc>
        <w:tc>
          <w:tcPr>
            <w:tcW w:w="1260"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left"/>
              <w:rPr/>
            </w:pPr>
            <w:r>
              <w:rPr/>
              <w:t>    </w:t>
            </w:r>
          </w:p>
        </w:tc>
        <w:tc>
          <w:tcPr>
            <w:tcW w:w="12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BBB/BBB-</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BB+</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8,500</w:t>
            </w:r>
          </w:p>
        </w:tc>
      </w:tr>
    </w:tbl>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At June 30, 2023, there were no debt securities held-to-maturity that were classified as either nonaccrual or 90 days or more past due and still accruing interest. </w:t>
      </w:r>
    </w:p>
    <w:p>
      <w:pPr>
        <w:pStyle w:val="TextBody"/>
        <w:bidi w:val="0"/>
        <w:spacing w:before="0" w:after="200"/>
        <w:ind w:left="0" w:right="0" w:hanging="0"/>
        <w:jc w:val="both"/>
        <w:rPr>
          <w:shd w:fill="FFFFFF" w:val="clear"/>
        </w:rPr>
      </w:pPr>
      <w:r>
        <w:rPr>
          <w:shd w:fill="FFFFFF" w:val="clear"/>
        </w:rPr>
        <w:t>​</w:t>
      </w:r>
    </w:p>
    <w:p>
      <w:pPr>
        <w:pStyle w:val="TextBody"/>
        <w:bidi w:val="0"/>
        <w:spacing w:before="0" w:after="12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presents, as of June 30, 2023, investment securities which were pledged to secure borrowings, public deposits or other obligations as permitted or required by law:</w:t>
      </w:r>
    </w:p>
    <w:p>
      <w:pPr>
        <w:pStyle w:val="TextBody"/>
        <w:bidi w:val="0"/>
        <w:spacing w:before="0" w:after="0"/>
        <w:ind w:left="0" w:right="0" w:hanging="0"/>
        <w:jc w:val="left"/>
        <w:rPr/>
      </w:pPr>
      <w:r>
        <w:rPr/>
        <w:t>​</w:t>
      </w:r>
    </w:p>
    <w:tbl>
      <w:tblPr>
        <w:tblW w:w="9831" w:type="dxa"/>
        <w:jc w:val="left"/>
        <w:tblInd w:w="0" w:type="dxa"/>
        <w:tblLayout w:type="fixed"/>
        <w:tblCellMar>
          <w:top w:w="0" w:type="dxa"/>
          <w:left w:w="0" w:type="dxa"/>
          <w:bottom w:w="0" w:type="dxa"/>
          <w:right w:w="0" w:type="dxa"/>
        </w:tblCellMar>
      </w:tblPr>
      <w:tblGrid>
        <w:gridCol w:w="5026"/>
        <w:gridCol w:w="326"/>
        <w:gridCol w:w="287"/>
        <w:gridCol w:w="1063"/>
        <w:gridCol w:w="326"/>
        <w:gridCol w:w="293"/>
        <w:gridCol w:w="1087"/>
        <w:gridCol w:w="326"/>
        <w:gridCol w:w="211"/>
        <w:gridCol w:w="886"/>
      </w:tblGrid>
      <w:tr>
        <w:trPr/>
        <w:tc>
          <w:tcPr>
            <w:tcW w:w="5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191510" cy="175260"/>
                      <wp:effectExtent l="0" t="0" r="0" b="0"/>
                      <wp:wrapNone/>
                      <wp:docPr id="139" name="Frame139"/>
                      <a:graphic xmlns:a="http://schemas.openxmlformats.org/drawingml/2006/main">
                        <a:graphicData uri="http://schemas.microsoft.com/office/word/2010/wordprocessingShape">
                          <wps:wsp>
                            <wps:cNvSpPr txBox="1"/>
                            <wps:spPr>
                              <a:xfrm>
                                <a:off x="0" y="0"/>
                                <a:ext cx="3191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82245" cy="175260"/>
                      <wp:effectExtent l="0" t="0" r="0" b="0"/>
                      <wp:wrapNone/>
                      <wp:docPr id="141" name="Frame141"/>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75005" cy="175260"/>
                      <wp:effectExtent l="0" t="0" r="0" b="0"/>
                      <wp:wrapNone/>
                      <wp:docPr id="142" name="Frame142"/>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6055" cy="175260"/>
                      <wp:effectExtent l="0" t="0" r="0" b="0"/>
                      <wp:wrapNone/>
                      <wp:docPr id="144" name="Frame144"/>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90245" cy="175260"/>
                      <wp:effectExtent l="0" t="0" r="0" b="0"/>
                      <wp:wrapNone/>
                      <wp:docPr id="145" name="Frame145"/>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62610" cy="175260"/>
                      <wp:effectExtent l="0" t="0" r="0" b="0"/>
                      <wp:wrapNone/>
                      <wp:docPr id="148" name="Frame1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47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2023</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Purpose or beneficiary</w:t>
            </w:r>
          </w:p>
        </w:tc>
        <w:tc>
          <w:tcPr>
            <w:tcW w:w="326" w:type="dxa"/>
            <w:tcBorders/>
            <w:vAlign w:val="center"/>
          </w:tcPr>
          <w:p>
            <w:pPr>
              <w:pStyle w:val="TableContents"/>
              <w:bidi w:val="0"/>
              <w:spacing w:before="0" w:after="1"/>
              <w:ind w:left="0" w:right="0" w:hanging="0"/>
              <w:jc w:val="left"/>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Carrying Value</w:t>
            </w:r>
          </w:p>
        </w:tc>
        <w:tc>
          <w:tcPr>
            <w:tcW w:w="326" w:type="dxa"/>
            <w:tcBorders/>
            <w:vAlign w:val="center"/>
          </w:tcPr>
          <w:p>
            <w:pPr>
              <w:pStyle w:val="TableContents"/>
              <w:bidi w:val="0"/>
              <w:spacing w:before="0" w:after="1"/>
              <w:ind w:left="0" w:right="0" w:hanging="0"/>
              <w:jc w:val="left"/>
              <w:rPr/>
            </w:pPr>
            <w:r>
              <w:rPr/>
              <w:t>    </w:t>
            </w:r>
          </w:p>
        </w:tc>
        <w:tc>
          <w:tcPr>
            <w:tcW w:w="13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and local government public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39,482</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39,482</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 counterparties</w:t>
            </w:r>
          </w:p>
        </w:tc>
        <w:tc>
          <w:tcPr>
            <w:tcW w:w="32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center"/>
              <w:rPr/>
            </w:pPr>
            <w:r>
              <w:rPr/>
              <w:t>​</w:t>
            </w:r>
          </w:p>
        </w:tc>
        <w:tc>
          <w:tcPr>
            <w:tcW w:w="10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2,776</w:t>
            </w:r>
          </w:p>
        </w:tc>
        <w:tc>
          <w:tcPr>
            <w:tcW w:w="326" w:type="dxa"/>
            <w:tcBorders/>
            <w:vAlign w:val="center"/>
          </w:tcPr>
          <w:p>
            <w:pPr>
              <w:pStyle w:val="TableContents"/>
              <w:bidi w:val="0"/>
              <w:spacing w:before="0" w:after="1"/>
              <w:ind w:left="0" w:right="0" w:hanging="0"/>
              <w:jc w:val="left"/>
              <w:rPr/>
            </w:pPr>
            <w:r>
              <w:rPr/>
              <w:t>​</w:t>
            </w:r>
          </w:p>
        </w:tc>
        <w:tc>
          <w:tcPr>
            <w:tcW w:w="293" w:type="dxa"/>
            <w:tcBorders/>
            <w:vAlign w:val="center"/>
          </w:tcPr>
          <w:p>
            <w:pPr>
              <w:pStyle w:val="TableContents"/>
              <w:bidi w:val="0"/>
              <w:spacing w:before="0" w:after="1"/>
              <w:ind w:left="0" w:right="0" w:hanging="0"/>
              <w:jc w:val="left"/>
              <w:rPr/>
            </w:pPr>
            <w:r>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2,776</w:t>
            </w:r>
          </w:p>
        </w:tc>
      </w:tr>
      <w:tr>
        <w:trPr/>
        <w:tc>
          <w:tcPr>
            <w:tcW w:w="50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Reserve Bank - Bank Term Funding Program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10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77,113</w:t>
            </w:r>
          </w:p>
        </w:tc>
        <w:tc>
          <w:tcPr>
            <w:tcW w:w="326" w:type="dxa"/>
            <w:tcBorders/>
            <w:shd w:fill="CCEEFF" w:val="clear"/>
            <w:vAlign w:val="center"/>
          </w:tcPr>
          <w:p>
            <w:pPr>
              <w:pStyle w:val="TableContents"/>
              <w:bidi w:val="0"/>
              <w:spacing w:before="0" w:after="1"/>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91,520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77,113</w:t>
            </w:r>
          </w:p>
        </w:tc>
      </w:tr>
      <w:tr>
        <w:trPr/>
        <w:tc>
          <w:tcPr>
            <w:tcW w:w="50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pledged securities</w:t>
            </w:r>
          </w:p>
        </w:tc>
        <w:tc>
          <w:tcPr>
            <w:tcW w:w="326" w:type="dxa"/>
            <w:tcBorders/>
            <w:vAlign w:val="center"/>
          </w:tcPr>
          <w:p>
            <w:pPr>
              <w:pStyle w:val="TableContents"/>
              <w:bidi w:val="0"/>
              <w:spacing w:before="0" w:after="1"/>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119,371</w:t>
            </w:r>
          </w:p>
        </w:tc>
        <w:tc>
          <w:tcPr>
            <w:tcW w:w="326" w:type="dxa"/>
            <w:tcBorders/>
            <w:vAlign w:val="center"/>
          </w:tcPr>
          <w:p>
            <w:pPr>
              <w:pStyle w:val="TableContents"/>
              <w:bidi w:val="0"/>
              <w:spacing w:before="0" w:after="1"/>
              <w:ind w:left="0" w:right="0" w:hanging="0"/>
              <w:jc w:val="left"/>
              <w:rPr/>
            </w:pPr>
            <w:r>
              <w:rPr/>
              <w:t>​</w:t>
            </w:r>
          </w:p>
        </w:tc>
        <w:tc>
          <w:tcPr>
            <w:tcW w:w="29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140,386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119,371</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1213" w:name="Tc_ZgPvEvEgZ0eOtZjHSzoxSg_16_17"/>
      <w:bookmarkStart w:id="1214" w:name="Tc_l_ucRNwXgE6JCY1KLQgUTg_16_14"/>
      <w:bookmarkStart w:id="1215" w:name="Tc_bY0JPbvMI0WA2NJNN6a31Q_16_11"/>
      <w:bookmarkStart w:id="1216" w:name="Tc_0MK3AOhA7EqUFtu3WTKPFQ_16_8"/>
      <w:bookmarkStart w:id="1217" w:name="Tc_7DPj-7XA2UCM54Z1fHCliw_16_5"/>
      <w:bookmarkStart w:id="1218" w:name="Tc_Ih4-bGHMZkWdX-Ki1If1lw_16_2"/>
      <w:bookmarkStart w:id="1219" w:name="Tc_e7eXCV_aqkeRuoKSqZN-vg_16_0"/>
      <w:bookmarkStart w:id="1220" w:name="Tc_AiRPXKWtE0eOoK7Kt-dzLQ_14_12"/>
      <w:bookmarkStart w:id="1221" w:name="Tc_q2LtFY1Ku0qC1DnuSwiFBw_14_9"/>
      <w:bookmarkStart w:id="1222" w:name="Tc_KA-UsVj48Em7xnugQq_kag_14_0"/>
      <w:bookmarkStart w:id="1223" w:name="Tc_kypA1YF3kUOr_ods0TqylA_13_12"/>
      <w:bookmarkStart w:id="1224" w:name="Tc_61REl35tlUWQp0fp0cilEA_13_9"/>
      <w:bookmarkStart w:id="1225" w:name="Tc_1rAP5dS7X0C7RBuxK5W9Jg_13_0"/>
      <w:bookmarkStart w:id="1226" w:name="Tc_W0OwOEq-oEKjC0FvzS6zlw_12_0"/>
      <w:bookmarkStart w:id="1227" w:name="Tc_qAKA1ZftBESQ_6efp9BPeA_10_0"/>
      <w:bookmarkStart w:id="1228" w:name="Tc_eEM0NLUT8UWd3BoHlOQcYA_9_0"/>
      <w:bookmarkStart w:id="1229" w:name="Tc_1-PNpGnft0SPvsUjyCoaZA_8_0"/>
      <w:bookmarkStart w:id="1230" w:name="Tc_2UKMOfu6dUOj94yqzKdSpg_7_0"/>
      <w:bookmarkStart w:id="1231" w:name="Tc_GYtxOS-eBEG5oa6-OfLhgQ_6_0"/>
      <w:bookmarkStart w:id="1232" w:name="Tc_-VOI5KjN3E6JseHDRx3hmw_5_17"/>
      <w:bookmarkStart w:id="1233" w:name="Tc_C6VmRDM7CEWTvHNeBIq9DA_5_14"/>
      <w:bookmarkStart w:id="1234" w:name="Tc_CyXsaVYKo0qCQJ_FoP-dNQ_5_11"/>
      <w:bookmarkStart w:id="1235" w:name="Tc_IqjTqy_BDUGRqZfObtSxyg_5_8"/>
      <w:bookmarkStart w:id="1236" w:name="Tc_vOKP2OltNUa6ZhlDFGfvmQ_5_5"/>
      <w:bookmarkStart w:id="1237" w:name="Tc_MJ_CuPYLaEeQUVQtPELM-g_5_2"/>
      <w:bookmarkStart w:id="1238" w:name="Tc_Kot3MGLbOkSysJrEljKVyA_5_0"/>
      <w:bookmarkStart w:id="1239" w:name="Tc_sThhuA4ZbU-UDAnytY9RGA_4_17"/>
      <w:bookmarkStart w:id="1240" w:name="Tc_i1giw-oGDEa4MgUzfkcJqw_4_14"/>
      <w:bookmarkStart w:id="1241" w:name="Tc_ynJpZzeN80uKF4DrPGiNGw_4_11"/>
      <w:bookmarkStart w:id="1242" w:name="Tc_lfv6uo_T3UWDKj6NEqTM6Q_4_8"/>
      <w:bookmarkStart w:id="1243" w:name="Tc_0SjTU47LaE-ehu-LI4xEJg_4_5"/>
      <w:bookmarkStart w:id="1244" w:name="Tc_l--aP6qvBkukRgEfBqCpkg_4_2"/>
      <w:bookmarkStart w:id="1245" w:name="Tc_Qqgc_qS-8EK_NhzyfQMTag_4_0"/>
      <w:bookmarkStart w:id="1246" w:name="Tc_5HV60_sYi0Kre6ev8s3DFA_3_17"/>
      <w:bookmarkStart w:id="1247" w:name="Tc_wj6GR9_n9k2HUTeYIwMtVA_3_14"/>
      <w:bookmarkStart w:id="1248" w:name="Tc_ZPjF4hrE2U6IHww1FdHiLw_3_11"/>
      <w:bookmarkStart w:id="1249" w:name="Tc_lpl_Yj5W8USyS6xO86PwiQ_3_8"/>
      <w:bookmarkStart w:id="1250" w:name="Tc_bJsunQ8ipEGPxmtFgQUVew_3_5"/>
      <w:bookmarkStart w:id="1251" w:name="Tc_512e2mw9N0KJkQk6nJJx2g_3_2"/>
      <w:bookmarkStart w:id="1252" w:name="Tc_kFb68mzx7kqVO0NDg7WX_w_2_14"/>
      <w:bookmarkStart w:id="1253" w:name="Tc_9Q25jgQ5O0yNHU8Xi-3v2Q_2_8"/>
      <w:bookmarkStart w:id="1254" w:name="Tc_QAlvVgmR2ket-OdXGZv32Q_2_2"/>
      <w:bookmarkStart w:id="1255" w:name="Tc_G_ijODXsTk2u5_I4fPZmiw_1_2"/>
      <w:bookmarkStart w:id="1256" w:name="_d7fde6fa_ef77_4063_88c7_98b148c583ab"/>
      <w:bookmarkStart w:id="1257" w:name="Tc_6bi5psca5UeTD3geiCp5DQ_16_17"/>
      <w:bookmarkStart w:id="1258" w:name="Tc_ihLdPfLgW0WIlrPxY0Nlkw_16_14"/>
      <w:bookmarkStart w:id="1259" w:name="Tc_ByfqDaFjhkuf3eLWxFPTtg_16_11"/>
      <w:bookmarkStart w:id="1260" w:name="Tc_JbUhntQpokuveK5V65NoOw_16_8"/>
      <w:bookmarkStart w:id="1261" w:name="Tc_nkjLPlVMq0ai2JGVRMsYIQ_16_5"/>
      <w:bookmarkStart w:id="1262" w:name="Tc_Nmj8XBaUGE-D-8QtTo1khg_16_2"/>
      <w:bookmarkStart w:id="1263" w:name="Tc_GWmx_ON4ikCAJE4_bksYkQ_16_0"/>
      <w:bookmarkStart w:id="1264" w:name="Tc_bVLPfhWuikSoNBQ0Suvxtw_14_0"/>
      <w:bookmarkStart w:id="1265" w:name="Tc_OChihCl2K02k-p90x79aJg_13_0"/>
      <w:bookmarkStart w:id="1266" w:name="Tc_HroFWK_3eE-V1qBrfBFn1A_12_0"/>
      <w:bookmarkStart w:id="1267" w:name="Tc_q6yNl8KS-k6HE6Mey5zGRQ_10_0"/>
      <w:bookmarkStart w:id="1268" w:name="Tc_uWseBGJMz0CwBVf3fdAChg_9_6"/>
      <w:bookmarkStart w:id="1269" w:name="Tc_5jei8OG_d02VlCmnagPfhg_9_0"/>
      <w:bookmarkStart w:id="1270" w:name="Tc_NPqBF90kwE6F2beBixmEcA_8_0"/>
      <w:bookmarkStart w:id="1271" w:name="Tc_CknCyapi70q4saUNwdp75Q_7_0"/>
      <w:bookmarkStart w:id="1272" w:name="Tc_RuYExgDfp0WuY4YzRKh-kA_6_6"/>
      <w:bookmarkStart w:id="1273" w:name="Tc_bzWtNdhVEkWpRWrEjlpyyQ_6_3"/>
      <w:bookmarkStart w:id="1274" w:name="Tc_Lr00Fmm-JkGuHxW6V-k4ag_6_0"/>
      <w:bookmarkStart w:id="1275" w:name="Tc_MR2AOw8c8UiOW4tqLSNlwQ_5_17"/>
      <w:bookmarkStart w:id="1276" w:name="Tc_09Z1aJGOBUe9gPxAPsC-Zg_5_14"/>
      <w:bookmarkStart w:id="1277" w:name="Tc_Oo8YFV-npUWqctwQS8emKQ_5_11"/>
      <w:bookmarkStart w:id="1278" w:name="Tc_TwGdUd1qqUWWuIzS2eyGfA_5_8"/>
      <w:bookmarkStart w:id="1279" w:name="Tc_EDFci7pYvUOnKSMKMize6A_5_6"/>
      <w:bookmarkStart w:id="1280" w:name="Tc_-_PtfbJ6PkyMlbHC0gVELw_5_5"/>
      <w:bookmarkStart w:id="1281" w:name="Tc_asQx-PKCUE2ya3_4VZFnnQ_5_3"/>
      <w:bookmarkStart w:id="1282" w:name="Tc_XS6Xha0OqUasL_FbEuoBHg_5_2"/>
      <w:bookmarkStart w:id="1283" w:name="Tc_z00-sS9HgUWRYV1-VFpbtA_5_0"/>
      <w:bookmarkStart w:id="1284" w:name="Tc_DNMvroJFkkuI5uHWAz9Now_4_17"/>
      <w:bookmarkStart w:id="1285" w:name="Tc_-OZZddR7VkumX4eEiQdDMg_4_14"/>
      <w:bookmarkStart w:id="1286" w:name="Tc_5k2NR5Ml2Eib2qNWn3sSjQ_4_11"/>
      <w:bookmarkStart w:id="1287" w:name="Tc_UsdNSqPgrkObWRlIk_lNtw_4_8"/>
      <w:bookmarkStart w:id="1288" w:name="Tc_NJXvf-k2zkWaMlu7a6anLw_4_5"/>
      <w:bookmarkStart w:id="1289" w:name="Tc_Wr7m29-1p0Wa45bjWwksUA_4_2"/>
      <w:bookmarkStart w:id="1290" w:name="Tc_C5HzxOGfLkOLDSpVe4FcpQ_4_0"/>
      <w:bookmarkStart w:id="1291" w:name="Tc_BRn8ivTc_UuFjL3NIuYYQg_3_17"/>
      <w:bookmarkStart w:id="1292" w:name="Tc_vHNULUtxJ0WP1L-ViZxZoA_3_14"/>
      <w:bookmarkStart w:id="1293" w:name="Tc_EcPHAc1hXUimnJaK39NhJQ_3_11"/>
      <w:bookmarkStart w:id="1294" w:name="Tc_3aMj5XWYG0GOuyoNHtJ7hg_3_8"/>
      <w:bookmarkStart w:id="1295" w:name="Tc_VzXTewDpX0aq2icUi__Phg_3_5"/>
      <w:bookmarkStart w:id="1296" w:name="Tc_OJPrnOB_pUOsWtqrHAlgeA_3_2"/>
      <w:bookmarkStart w:id="1297" w:name="Tc_oBWR49bov0WmA-fWAxGiiA_2_14"/>
      <w:bookmarkStart w:id="1298" w:name="Tc_HI9jV_N_kUOKVO_sP474Ag_2_8"/>
      <w:bookmarkStart w:id="1299" w:name="Tc_RZRYMh0FC06coQBb2GWjmg_2_2"/>
      <w:bookmarkStart w:id="1300" w:name="Tc_cenV94T_2Uyu8NPqbPEphw_1_2"/>
      <w:bookmarkStart w:id="1301" w:name="_893c1669_1901_473a_a6ff_bfa1790f7054"/>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r>
        <w:rPr>
          <w:rFonts w:ascii="Times New Roman;Times;serif" w:hAnsi="Times New Roman;Times;serif"/>
          <w:sz w:val="20"/>
        </w:rPr>
        <w:t xml:space="preserve">Investment securities that were in an unrealized loss position at the dates indicated are presented in the following tables, based on the length of time individual securities have been in an unrealized loss position.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58"/>
        <w:gridCol w:w="326"/>
        <w:gridCol w:w="211"/>
        <w:gridCol w:w="676"/>
        <w:gridCol w:w="326"/>
        <w:gridCol w:w="302"/>
        <w:gridCol w:w="689"/>
        <w:gridCol w:w="326"/>
        <w:gridCol w:w="211"/>
        <w:gridCol w:w="781"/>
        <w:gridCol w:w="326"/>
        <w:gridCol w:w="211"/>
        <w:gridCol w:w="780"/>
        <w:gridCol w:w="326"/>
        <w:gridCol w:w="211"/>
        <w:gridCol w:w="781"/>
        <w:gridCol w:w="326"/>
        <w:gridCol w:w="211"/>
        <w:gridCol w:w="827"/>
      </w:tblGrid>
      <w:tr>
        <w:trPr/>
        <w:tc>
          <w:tcPr>
            <w:tcW w:w="23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497330" cy="175260"/>
                      <wp:effectExtent l="0" t="0" r="0" b="0"/>
                      <wp:wrapNone/>
                      <wp:docPr id="149" name="Frame149"/>
                      <a:graphic xmlns:a="http://schemas.openxmlformats.org/drawingml/2006/main">
                        <a:graphicData uri="http://schemas.microsoft.com/office/word/2010/wordprocessingShape">
                          <wps:wsp>
                            <wps:cNvSpPr txBox="1"/>
                            <wps:spPr>
                              <a:xfrm>
                                <a:off x="0" y="0"/>
                                <a:ext cx="1497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29260" cy="175260"/>
                      <wp:effectExtent l="0" t="0" r="0" b="0"/>
                      <wp:wrapNone/>
                      <wp:docPr id="152" name="Frame15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91770" cy="175260"/>
                      <wp:effectExtent l="0" t="0" r="0" b="0"/>
                      <wp:wrapNone/>
                      <wp:docPr id="154" name="Frame15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37515" cy="175260"/>
                      <wp:effectExtent l="0" t="0" r="0" b="0"/>
                      <wp:wrapNone/>
                      <wp:docPr id="155" name="Frame155"/>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95935" cy="175260"/>
                      <wp:effectExtent l="0" t="0" r="0" b="0"/>
                      <wp:wrapNone/>
                      <wp:docPr id="158" name="Frame1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5300" cy="175260"/>
                      <wp:effectExtent l="0" t="0" r="0" b="0"/>
                      <wp:wrapNone/>
                      <wp:docPr id="161" name="Frame161"/>
                      <a:graphic xmlns:a="http://schemas.openxmlformats.org/drawingml/2006/main">
                        <a:graphicData uri="http://schemas.microsoft.com/office/word/2010/wordprocessingShape">
                          <wps:wsp>
                            <wps:cNvSpPr txBox="1"/>
                            <wps:spPr>
                              <a:xfrm>
                                <a:off x="0" y="0"/>
                                <a:ext cx="495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95935" cy="175260"/>
                      <wp:effectExtent l="0" t="0" r="0" b="0"/>
                      <wp:wrapNone/>
                      <wp:docPr id="164" name="Frame16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25145" cy="175260"/>
                      <wp:effectExtent l="0" t="0" r="0" b="0"/>
                      <wp:wrapNone/>
                      <wp:docPr id="167" name="Frame167"/>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21"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June 30, 2023</w:t>
            </w:r>
          </w:p>
        </w:tc>
      </w:tr>
      <w:tr>
        <w:trPr/>
        <w:tc>
          <w:tcPr>
            <w:tcW w:w="23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Less than 12 Months</w:t>
            </w:r>
          </w:p>
        </w:tc>
        <w:tc>
          <w:tcPr>
            <w:tcW w:w="326" w:type="dxa"/>
            <w:tcBorders/>
            <w:vAlign w:val="center"/>
          </w:tcPr>
          <w:p>
            <w:pPr>
              <w:pStyle w:val="TableContents"/>
              <w:bidi w:val="0"/>
              <w:spacing w:before="0" w:after="1"/>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12 Months or Longer</w:t>
            </w:r>
          </w:p>
        </w:tc>
        <w:tc>
          <w:tcPr>
            <w:tcW w:w="326" w:type="dxa"/>
            <w:tcBorders/>
            <w:vAlign w:val="center"/>
          </w:tcPr>
          <w:p>
            <w:pPr>
              <w:pStyle w:val="TableContents"/>
              <w:bidi w:val="0"/>
              <w:spacing w:before="0" w:after="1"/>
              <w:ind w:left="0" w:right="0" w:hanging="0"/>
              <w:jc w:val="center"/>
              <w:rPr/>
            </w:pPr>
            <w:r>
              <w:rPr/>
              <w:t>​</w:t>
            </w:r>
          </w:p>
        </w:tc>
        <w:tc>
          <w:tcPr>
            <w:tcW w:w="23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Total</w:t>
            </w:r>
          </w:p>
        </w:tc>
      </w:tr>
      <w:tr>
        <w:trPr/>
        <w:tc>
          <w:tcPr>
            <w:tcW w:w="23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Unrealized</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 xml:space="preserve">Fair </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Unrealized</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vAlign w:val="center"/>
          </w:tcPr>
          <w:p>
            <w:pPr>
              <w:pStyle w:val="TableContents"/>
              <w:bidi w:val="0"/>
              <w:spacing w:before="0" w:after="1"/>
              <w:ind w:left="0" w:right="0" w:hanging="0"/>
              <w:jc w:val="left"/>
              <w:rPr/>
            </w:pPr>
            <w:r>
              <w:rPr/>
              <w:t>    </w:t>
            </w:r>
          </w:p>
        </w:tc>
        <w:tc>
          <w:tcPr>
            <w:tcW w:w="1038" w:type="dxa"/>
            <w:gridSpan w:val="2"/>
            <w:tcBorders/>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Unrealized</w:t>
            </w:r>
          </w:p>
        </w:tc>
      </w:tr>
      <w:tr>
        <w:trPr/>
        <w:tc>
          <w:tcPr>
            <w:tcW w:w="2358"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SECURITIES AVAILABLE-FOR-SALE</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vAlign w:val="center"/>
          </w:tcPr>
          <w:p>
            <w:pPr>
              <w:pStyle w:val="TableContents"/>
              <w:bidi w:val="0"/>
              <w:spacing w:before="0" w:after="1"/>
              <w:ind w:left="0" w:right="0" w:hanging="0"/>
              <w:jc w:val="left"/>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r>
      <w:tr>
        <w:trPr/>
        <w:tc>
          <w:tcPr>
            <w:tcW w:w="2358"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U.S. agency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15,631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15,631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(3,522)</w:t>
            </w:r>
          </w:p>
        </w:tc>
      </w:tr>
      <w:tr>
        <w:trPr/>
        <w:tc>
          <w:tcPr>
            <w:tcW w:w="2358"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Corporate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(842)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(842)</w:t>
            </w:r>
          </w:p>
        </w:tc>
      </w:tr>
      <w:tr>
        <w:trPr/>
        <w:tc>
          <w:tcPr>
            <w:tcW w:w="2358"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Municipal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5,394</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111,803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(21,980)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117,197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(22,027)</w:t>
            </w:r>
          </w:p>
        </w:tc>
      </w:tr>
      <w:tr>
        <w:trPr/>
        <w:tc>
          <w:tcPr>
            <w:tcW w:w="2358"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Mortgage-backed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6,814</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60,783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(12,167)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67,597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(12,479)</w:t>
            </w:r>
          </w:p>
        </w:tc>
      </w:tr>
      <w:tr>
        <w:trPr/>
        <w:tc>
          <w:tcPr>
            <w:tcW w:w="2358"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U.S. Small Business Administration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4,879</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8,507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13,386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(1,316)</w:t>
            </w:r>
          </w:p>
        </w:tc>
      </w:tr>
      <w:tr>
        <w:trPr/>
        <w:tc>
          <w:tcPr>
            <w:tcW w:w="2358"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securities available-for-sale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17,087</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200,882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(39,827)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217,969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(40,186)</w:t>
            </w:r>
          </w:p>
        </w:tc>
      </w:tr>
      <w:tr>
        <w:trPr/>
        <w:tc>
          <w:tcPr>
            <w:tcW w:w="23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27" w:type="dxa"/>
            <w:tcBorders/>
            <w:shd w:fill="CCEEFF" w:val="clear"/>
            <w:vAlign w:val="center"/>
          </w:tcPr>
          <w:p>
            <w:pPr>
              <w:pStyle w:val="TableContents"/>
              <w:bidi w:val="0"/>
              <w:spacing w:before="0" w:after="1"/>
              <w:ind w:left="0" w:right="0" w:hanging="0"/>
              <w:jc w:val="right"/>
              <w:rPr/>
            </w:pPr>
            <w:r>
              <w:rPr/>
              <w:t>​</w:t>
            </w:r>
          </w:p>
        </w:tc>
      </w:tr>
      <w:tr>
        <w:trPr/>
        <w:tc>
          <w:tcPr>
            <w:tcW w:w="2358"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SECURITIES HELD-TO-MATURITY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right"/>
              <w:rPr/>
            </w:pPr>
            <w:r>
              <w:rPr/>
              <w:t>​</w:t>
            </w:r>
          </w:p>
        </w:tc>
      </w:tr>
      <w:tr>
        <w:trPr/>
        <w:tc>
          <w:tcPr>
            <w:tcW w:w="23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800</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(1,025)</w:t>
            </w:r>
          </w:p>
        </w:tc>
      </w:tr>
      <w:tr>
        <w:trPr/>
        <w:tc>
          <w:tcPr>
            <w:tcW w:w="2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securities held-to-maturity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800</w:t>
            </w:r>
          </w:p>
        </w:tc>
        <w:tc>
          <w:tcPr>
            <w:tcW w:w="326"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0"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(1,025)</w:t>
            </w:r>
          </w:p>
        </w:tc>
      </w:tr>
      <w:tr>
        <w:trPr/>
        <w:tc>
          <w:tcPr>
            <w:tcW w:w="23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0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3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17,887</w:t>
            </w:r>
          </w:p>
        </w:tc>
        <w:tc>
          <w:tcPr>
            <w:tcW w:w="326" w:type="dxa"/>
            <w:tcBorders/>
            <w:vAlign w:val="center"/>
          </w:tcPr>
          <w:p>
            <w:pPr>
              <w:pStyle w:val="TableContents"/>
              <w:bidi w:val="0"/>
              <w:spacing w:before="0" w:after="1"/>
              <w:ind w:left="0" w:right="0" w:hanging="0"/>
              <w:jc w:val="left"/>
              <w:rPr/>
            </w:pPr>
            <w:r>
              <w:rPr/>
              <w:t>​</w:t>
            </w:r>
          </w:p>
        </w:tc>
        <w:tc>
          <w:tcPr>
            <w:tcW w:w="30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(559)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207,557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(40,652)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225,444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(41,211)</w:t>
            </w:r>
          </w:p>
        </w:tc>
      </w:tr>
    </w:tbl>
    <w:p>
      <w:pPr>
        <w:pStyle w:val="TextBody"/>
        <w:bidi w:val="0"/>
        <w:spacing w:before="0" w:after="200"/>
        <w:ind w:left="0" w:right="0" w:hanging="0"/>
        <w:jc w:val="both"/>
        <w:rPr/>
      </w:pPr>
      <w:r>
        <w:rPr/>
        <w:t>​</w:t>
      </w:r>
    </w:p>
    <w:tbl>
      <w:tblPr>
        <w:tblW w:w="10531" w:type="dxa"/>
        <w:jc w:val="left"/>
        <w:tblInd w:w="0" w:type="dxa"/>
        <w:tblLayout w:type="fixed"/>
        <w:tblCellMar>
          <w:top w:w="0" w:type="dxa"/>
          <w:left w:w="0" w:type="dxa"/>
          <w:bottom w:w="0" w:type="dxa"/>
          <w:right w:w="0" w:type="dxa"/>
        </w:tblCellMar>
      </w:tblPr>
      <w:tblGrid>
        <w:gridCol w:w="2311"/>
        <w:gridCol w:w="326"/>
        <w:gridCol w:w="211"/>
        <w:gridCol w:w="676"/>
        <w:gridCol w:w="326"/>
        <w:gridCol w:w="257"/>
        <w:gridCol w:w="899"/>
        <w:gridCol w:w="326"/>
        <w:gridCol w:w="211"/>
        <w:gridCol w:w="781"/>
        <w:gridCol w:w="326"/>
        <w:gridCol w:w="244"/>
        <w:gridCol w:w="852"/>
        <w:gridCol w:w="326"/>
        <w:gridCol w:w="211"/>
        <w:gridCol w:w="781"/>
        <w:gridCol w:w="326"/>
        <w:gridCol w:w="242"/>
        <w:gridCol w:w="899"/>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467485" cy="175260"/>
                      <wp:effectExtent l="0" t="0" r="0" b="0"/>
                      <wp:wrapNone/>
                      <wp:docPr id="168" name="Frame168"/>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29260" cy="175260"/>
                      <wp:effectExtent l="0" t="0" r="0" b="0"/>
                      <wp:wrapNone/>
                      <wp:docPr id="171" name="Frame1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63195" cy="175260"/>
                      <wp:effectExtent l="0" t="0" r="0" b="0"/>
                      <wp:wrapNone/>
                      <wp:docPr id="173" name="Frame173"/>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70865" cy="175260"/>
                      <wp:effectExtent l="0" t="0" r="0" b="0"/>
                      <wp:wrapNone/>
                      <wp:docPr id="174" name="Frame17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495935" cy="175260"/>
                      <wp:effectExtent l="0" t="0" r="0" b="0"/>
                      <wp:wrapNone/>
                      <wp:docPr id="177" name="Frame1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4940" cy="175260"/>
                      <wp:effectExtent l="0" t="0" r="0" b="0"/>
                      <wp:wrapNone/>
                      <wp:docPr id="179" name="Frame179"/>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41020" cy="175260"/>
                      <wp:effectExtent l="0" t="0" r="0" b="0"/>
                      <wp:wrapNone/>
                      <wp:docPr id="180" name="Frame180"/>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33985" cy="175260"/>
                      <wp:effectExtent l="0" t="0" r="0" b="0"/>
                      <wp:wrapNone/>
                      <wp:docPr id="182"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95935" cy="175260"/>
                      <wp:effectExtent l="0" t="0" r="0" b="0"/>
                      <wp:wrapNone/>
                      <wp:docPr id="183" name="Frame1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53670" cy="175260"/>
                      <wp:effectExtent l="0" t="0" r="0" b="0"/>
                      <wp:wrapNone/>
                      <wp:docPr id="185" name="Frame18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570865" cy="175260"/>
                      <wp:effectExtent l="0" t="0" r="0" b="0"/>
                      <wp:wrapNone/>
                      <wp:docPr id="186" name="Frame186"/>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94" w:type="dxa"/>
            <w:gridSpan w:val="1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December 31, 2022</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Less than 12 Months</w:t>
            </w:r>
          </w:p>
        </w:tc>
        <w:tc>
          <w:tcPr>
            <w:tcW w:w="326" w:type="dxa"/>
            <w:tcBorders/>
            <w:vAlign w:val="center"/>
          </w:tcPr>
          <w:p>
            <w:pPr>
              <w:pStyle w:val="TableContents"/>
              <w:bidi w:val="0"/>
              <w:spacing w:before="0" w:after="1"/>
              <w:ind w:left="0" w:right="0" w:hanging="0"/>
              <w:jc w:val="center"/>
              <w:rPr/>
            </w:pPr>
            <w:r>
              <w:rPr/>
              <w:t>​</w:t>
            </w:r>
          </w:p>
        </w:tc>
        <w:tc>
          <w:tcPr>
            <w:tcW w:w="24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12 Months or Longer</w:t>
            </w:r>
          </w:p>
        </w:tc>
        <w:tc>
          <w:tcPr>
            <w:tcW w:w="326" w:type="dxa"/>
            <w:tcBorders/>
            <w:vAlign w:val="center"/>
          </w:tcPr>
          <w:p>
            <w:pPr>
              <w:pStyle w:val="TableContents"/>
              <w:bidi w:val="0"/>
              <w:spacing w:before="0" w:after="1"/>
              <w:ind w:left="0" w:right="0" w:hanging="0"/>
              <w:jc w:val="center"/>
              <w:rPr/>
            </w:pPr>
            <w:r>
              <w:rPr/>
              <w:t>​</w:t>
            </w:r>
          </w:p>
        </w:tc>
        <w:tc>
          <w:tcPr>
            <w:tcW w:w="24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Total</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sz w:val="19"/>
              </w:rPr>
              <w:t>Unrealized</w:t>
            </w:r>
            <w:r>
              <w:rPr>
                <w:rFonts w:ascii="Times New Roman;Times;serif" w:hAnsi="Times New Roman;Times;serif"/>
                <w:sz w:val="18"/>
              </w:rPr>
              <w:t> </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sz w:val="19"/>
              </w:rPr>
              <w:t>Unrealized</w:t>
            </w:r>
            <w:r>
              <w:rPr>
                <w:rFonts w:ascii="Times New Roman;Times;serif" w:hAnsi="Times New Roman;Times;serif"/>
                <w:sz w:val="18"/>
              </w:rPr>
              <w:t> </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Fair</w:t>
            </w:r>
          </w:p>
        </w:tc>
        <w:tc>
          <w:tcPr>
            <w:tcW w:w="326" w:type="dxa"/>
            <w:tcBorders/>
            <w:vAlign w:val="center"/>
          </w:tcPr>
          <w:p>
            <w:pPr>
              <w:pStyle w:val="TableContents"/>
              <w:bidi w:val="0"/>
              <w:spacing w:before="0" w:after="1"/>
              <w:ind w:left="0" w:right="0" w:hanging="0"/>
              <w:jc w:val="left"/>
              <w:rPr/>
            </w:pPr>
            <w:r>
              <w:rPr/>
              <w:t>    </w:t>
            </w:r>
          </w:p>
        </w:tc>
        <w:tc>
          <w:tcPr>
            <w:tcW w:w="1141" w:type="dxa"/>
            <w:gridSpan w:val="2"/>
            <w:tcBorders/>
            <w:vAlign w:val="center"/>
          </w:tcPr>
          <w:p>
            <w:pPr>
              <w:pStyle w:val="TableContents"/>
              <w:bidi w:val="0"/>
              <w:spacing w:before="0" w:after="1"/>
              <w:ind w:left="0" w:right="0" w:hanging="0"/>
              <w:jc w:val="center"/>
              <w:rPr/>
            </w:pPr>
            <w:r>
              <w:rPr/>
              <w:t> </w:t>
            </w:r>
            <w:r>
              <w:rPr>
                <w:rFonts w:ascii="Times New Roman;Times;serif" w:hAnsi="Times New Roman;Times;serif"/>
                <w:sz w:val="19"/>
              </w:rPr>
              <w:t>Unrealized</w:t>
            </w:r>
            <w:r>
              <w:rPr>
                <w:rFonts w:ascii="Times New Roman;Times;serif" w:hAnsi="Times New Roman;Times;serif"/>
                <w:sz w:val="18"/>
              </w:rPr>
              <w:t> </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SECURITIES AVAILABLE-FOR-SALE</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vAlign w:val="center"/>
          </w:tcPr>
          <w:p>
            <w:pPr>
              <w:pStyle w:val="TableContents"/>
              <w:bidi w:val="0"/>
              <w:spacing w:before="0" w:after="1"/>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Value</w:t>
            </w:r>
          </w:p>
        </w:tc>
        <w:tc>
          <w:tcPr>
            <w:tcW w:w="326"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9"/>
              </w:rPr>
            </w:pPr>
            <w:r>
              <w:rPr>
                <w:rFonts w:ascii="Times New Roman;Times;serif" w:hAnsi="Times New Roman;Times;serif"/>
                <w:sz w:val="19"/>
              </w:rPr>
              <w:t>Losses</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U.S. agency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3,823</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13,465</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(3,747)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17,288</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(3,865)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Corporate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2,494</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4,026</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6,520</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(979)</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Municipal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44,261</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(5,794)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73,990</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(17,825)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118,251</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(23,619)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Mortgage-backed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29,791</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40,175</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(9,270)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69,966</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(12,458)</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U.S. Small Business Administration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10,807</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2,044</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12,851</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(1,668)</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securities available-for-sale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91,176</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(10,266)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133,700</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(32,323)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224,876</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(42,589)</w:t>
            </w:r>
          </w:p>
        </w:tc>
      </w:tr>
      <w:tr>
        <w:trPr/>
        <w:tc>
          <w:tcPr>
            <w:tcW w:w="23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shd w:fill="CCEEFF" w:val="clear"/>
            <w:vAlign w:val="center"/>
          </w:tcPr>
          <w:p>
            <w:pPr>
              <w:pStyle w:val="TableContents"/>
              <w:bidi w:val="0"/>
              <w:spacing w:before="0" w:after="1"/>
              <w:ind w:left="0" w:right="0" w:hanging="0"/>
              <w:jc w:val="left"/>
              <w:rPr/>
            </w:pPr>
            <w:r>
              <w:rPr/>
              <w:t>​</w:t>
            </w:r>
          </w:p>
        </w:tc>
        <w:tc>
          <w:tcPr>
            <w:tcW w:w="85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SECURITIES HELD-TO-MATURITY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Corporate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7,929</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7,929</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 securities held-to-maturity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7,929</w:t>
            </w:r>
          </w:p>
        </w:tc>
        <w:tc>
          <w:tcPr>
            <w:tcW w:w="32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4"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7,929</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(571)</w:t>
            </w:r>
          </w:p>
        </w:tc>
      </w:tr>
      <w:tr>
        <w:trPr/>
        <w:tc>
          <w:tcPr>
            <w:tcW w:w="231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99,105</w:t>
            </w:r>
          </w:p>
        </w:tc>
        <w:tc>
          <w:tcPr>
            <w:tcW w:w="326" w:type="dxa"/>
            <w:tcBorders/>
            <w:vAlign w:val="center"/>
          </w:tcPr>
          <w:p>
            <w:pPr>
              <w:pStyle w:val="TableContents"/>
              <w:bidi w:val="0"/>
              <w:spacing w:before="0" w:after="1"/>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(10,837)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133,700</w:t>
            </w:r>
          </w:p>
        </w:tc>
        <w:tc>
          <w:tcPr>
            <w:tcW w:w="326" w:type="dxa"/>
            <w:tcBorders/>
            <w:vAlign w:val="center"/>
          </w:tcPr>
          <w:p>
            <w:pPr>
              <w:pStyle w:val="TableContents"/>
              <w:bidi w:val="0"/>
              <w:spacing w:before="0" w:after="1"/>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(32,323)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232,805</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8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(43,160)</w:t>
            </w:r>
          </w:p>
        </w:tc>
      </w:tr>
    </w:tbl>
    <w:p>
      <w:pPr>
        <w:pStyle w:val="TextBody"/>
        <w:bidi w:val="0"/>
        <w:spacing w:before="0" w:after="20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was one held-to-maturity debt security in an unrealized loss position of less than one year and six held-to-maturity debt securities in an unrealized loss position of more than one year at June 30, 2023.  There were seven held-to-maturity debt securities in an unrealized loss position of less than one year and none in an unrealized loss position of more than one year at December 31, 2022.</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There were 13 available-for-sale securities in an unrealized loss position of less than one year, and 175 available-for-sale securities in an unrealized loss position of more than one year at June 30, 2023. There were 88 available-for-sale securities in an unrealized loss position of less than one year, and 106 available-for-sale securities in an unrealized loss  position of more than one year at December 31, 2022. The unrealized losses associated with these securities are believed to be caused by changing market conditions that are considered to be temporary and the Company does not intend to sell the securities, and it is not likely to be required to sell these securities prior to maturity.  Management monitors the published credit ratings of the issuers of the debt securities for material ratings or outlook changes.  Substantially, all of the Company’s municipal bond portfolio is comprised of obligations of states and political subdivisions located within the Company’s geographic footprint that are monitored through quarterly or annual financial review utilizing published credit ratings.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All of the available-for-sale mortgage-backed securities and U.S. Small Business Administration securities in an unrealized loss position are issued or guaranteed by government-sponsored enterprises, and the available-for-sale corporate securities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bookmarkStart w:id="1302" w:name="Tc_yAYcFpwLXkuCeROcGLkUag_39_11"/>
      <w:bookmarkStart w:id="1303" w:name="Tc_1lbG7e2870ucppDpEMfWGg_39_8"/>
      <w:bookmarkStart w:id="1304" w:name="Tc_DWhbiuiUV0m50-5PTKiKXA_39_5"/>
      <w:bookmarkStart w:id="1305" w:name="Tc_lX9y8WW0s0y4cB_ZBggRTw_39_2"/>
      <w:bookmarkStart w:id="1306" w:name="Tc_3DaE4SzJI0u5qgXKkioe0Q_39_0"/>
      <w:bookmarkStart w:id="1307" w:name="Tc_zdp2DLQJ9EGXj0ar89Pdjg_38_0"/>
      <w:bookmarkStart w:id="1308" w:name="Tc_2sqQM6dr40u6FNn3X3AphA_37_0"/>
      <w:bookmarkStart w:id="1309" w:name="Tc_ZdxeHmYlGUScpmHlDAPBRA_36_0"/>
      <w:bookmarkStart w:id="1310" w:name="Tc_sCoP2DXk8UeoLyyRbw_1rA_35_0"/>
      <w:bookmarkStart w:id="1311" w:name="Tc_91nv2qaFeUmWCeI31X6VCg_33_0"/>
      <w:bookmarkStart w:id="1312" w:name="Tc_sDhlos8h-0GIbyAWUD5pjQ_32_0"/>
      <w:bookmarkStart w:id="1313" w:name="Tc_YrUPdVkk_kqNM-c8rBo1OA_31_0"/>
      <w:bookmarkStart w:id="1314" w:name="Tc_65QkAwB1PEu4eJHRuM5NRw_30_0"/>
      <w:bookmarkStart w:id="1315" w:name="Tc_IcMH8_-iTk6w5sC_bJTHHw_29_0"/>
      <w:bookmarkStart w:id="1316" w:name="Tc_ngZ4YBlEnUWuab50_BM3KQ_28_0"/>
      <w:bookmarkStart w:id="1317" w:name="Tc_Vl1wGbW6qUuQ8qgMoltLaw_27_0"/>
      <w:bookmarkStart w:id="1318" w:name="Tc_ayHDtHfXQUCHIaKLRBDxgA_26_0"/>
      <w:bookmarkStart w:id="1319" w:name="Tc_lQsnqY-3X06tRfUu6Y8T5w_25_0"/>
      <w:bookmarkStart w:id="1320" w:name="Tc_1_9Dvqok40yAhX0ivPTDBw_24_0"/>
      <w:bookmarkStart w:id="1321" w:name="Tc_hNdvJhf_O0imdZcyYGSNyw_23_0"/>
      <w:bookmarkStart w:id="1322" w:name="Tc_53ZIir6YK0ODWRIl7J7dOg_22_0"/>
      <w:bookmarkStart w:id="1323" w:name="Tc_zwx13biOMUiPFkbrTw5I0A_21_0"/>
      <w:bookmarkStart w:id="1324" w:name="Tc_8jVsRl_zU02w-ivoxY14Nw_20_0"/>
      <w:bookmarkStart w:id="1325" w:name="Tc_ambiM15L90iASh9nxPRqNw_19_0"/>
      <w:bookmarkStart w:id="1326" w:name="Tc_JT92GCnPYkePCduzK45i3g_18_0"/>
      <w:bookmarkStart w:id="1327" w:name="Tc_lhGbiGp6yEOZffXH8djNxA_17_0"/>
      <w:bookmarkStart w:id="1328" w:name="Tc_WyOgYc7rsESxMim87Ap3lg_16_0"/>
      <w:bookmarkStart w:id="1329" w:name="Tc_uSZiK-irYU6VjbW5Cnw0cg_15_0"/>
      <w:bookmarkStart w:id="1330" w:name="Tc_V0SL9WdmMkCoSJN1SCpBHw_14_0"/>
      <w:bookmarkStart w:id="1331" w:name="Tc_sE-NNi3880epFdAIKzqnEQ_13_0"/>
      <w:bookmarkStart w:id="1332" w:name="Tc_zLg8sk3EmE-RNNPz7uBjSg_12_0"/>
      <w:bookmarkStart w:id="1333" w:name="Tc_jo1K4sKQOkGq4y_8Br2cFQ_11_0"/>
      <w:bookmarkStart w:id="1334" w:name="Tc_foaygM5A30mFSY8aQclglA_10_0"/>
      <w:bookmarkStart w:id="1335" w:name="Tc_Q3-23sWAvk2T5QS-BnKylQ_9_0"/>
      <w:bookmarkStart w:id="1336" w:name="Tc_RN1R7x3oHkezJIPALid3Ww_8_0"/>
      <w:bookmarkStart w:id="1337" w:name="Tc_cEntWHulJkSQgcbZDdUPEQ_7_0"/>
      <w:bookmarkStart w:id="1338" w:name="Tc_fYcgWKlVm0KStYPdfmrjxw_6_0"/>
      <w:bookmarkStart w:id="1339" w:name="Tc_eBmEMNfXD0-05IqCv15DDQ_5_11"/>
      <w:bookmarkStart w:id="1340" w:name="Tc_yyTSEwoUPEW4-g3Nwi-gzg_5_8"/>
      <w:bookmarkStart w:id="1341" w:name="Tc_9ixeo4UGBEm4pxKBNbAxPg_5_5"/>
      <w:bookmarkStart w:id="1342" w:name="Tc_b50XC7yTf0OfT2jXVqHSkA_5_2"/>
      <w:bookmarkStart w:id="1343" w:name="Tc_e5BpdXXjM0SkQ8yQRYz9RQ_5_0"/>
      <w:bookmarkStart w:id="1344" w:name="Tc_WHlIfPfWfkmLlKb00OB0rw_4_11"/>
      <w:bookmarkStart w:id="1345" w:name="Tc_k_QCAR0TnUWF6wKOrCnBiQ_4_8"/>
      <w:bookmarkStart w:id="1346" w:name="Tc_Geq_u5XCw0GY9OoNkKEKww_4_5"/>
      <w:bookmarkStart w:id="1347" w:name="Tc_CueezzCH4U2F8AoXTy-eSQ_4_2"/>
      <w:bookmarkStart w:id="1348" w:name="Tc_DQ4_cFKGjUuYAsH0YlB6mg_4_0"/>
      <w:bookmarkStart w:id="1349" w:name="Tc_d-73E9i8Pk23HkrBDNDnsg_3_11"/>
      <w:bookmarkStart w:id="1350" w:name="Tc_pdjYFckbuky13nkvBoQaig_3_8"/>
      <w:bookmarkStart w:id="1351" w:name="Tc_XoTEo3F1y02QyfDIFeVIwQ_3_5"/>
      <w:bookmarkStart w:id="1352" w:name="Tc_Uqk1hoIcJkqRStClGeLhXQ_3_2"/>
      <w:bookmarkStart w:id="1353" w:name="Tc_WZ36P631A0GSsvJd1nqS3w_3_0"/>
      <w:bookmarkStart w:id="1354" w:name="Tc_UOHmdin0o0qpUHUlBTomlw_2_8"/>
      <w:bookmarkStart w:id="1355" w:name="Tc_JQr1HQxhMUmabSO-et2MAQ_2_2"/>
      <w:bookmarkStart w:id="1356" w:name="Tc_JH7LIn957EeHqewDVmqCqg_1_8"/>
      <w:bookmarkStart w:id="1357" w:name="Tc_3oeWoQpW0Eq7nEfTYuImNw_1_2"/>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r>
        <w:rPr>
          <w:rFonts w:ascii="Times New Roman;Times;serif" w:hAnsi="Times New Roman;Times;serif"/>
          <w:sz w:val="20"/>
        </w:rPr>
        <w:t xml:space="preserve">are all investment grade and monitored for rating or outlook changes. Based on the Company’s evaluation of these securities, no credit impairment was recorded for the six months ended June 30, 2023, or for the year ended December 31, 2022.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contractual maturities of securities available-for-sale and held-to-maturity at the dates indicated are listed below. Expected maturities of mortgage-backed securities may differ from contractual maturities because borrowers may have the right to call or prepay the obligations; therefore, these securities are classified separately with no specific maturity date.</w:t>
      </w:r>
    </w:p>
    <w:p>
      <w:pPr>
        <w:pStyle w:val="TextBody"/>
        <w:bidi w:val="0"/>
        <w:spacing w:before="0" w:after="0"/>
        <w:ind w:left="0" w:right="0" w:hanging="0"/>
        <w:jc w:val="left"/>
        <w:rPr/>
      </w:pPr>
      <w:r>
        <w:rPr/>
        <w:t>​</w:t>
      </w:r>
    </w:p>
    <w:tbl>
      <w:tblPr>
        <w:tblW w:w="10028" w:type="dxa"/>
        <w:jc w:val="left"/>
        <w:tblInd w:w="0" w:type="dxa"/>
        <w:tblLayout w:type="fixed"/>
        <w:tblCellMar>
          <w:top w:w="0" w:type="dxa"/>
          <w:left w:w="0" w:type="dxa"/>
          <w:bottom w:w="0" w:type="dxa"/>
          <w:right w:w="0" w:type="dxa"/>
        </w:tblCellMar>
      </w:tblPr>
      <w:tblGrid>
        <w:gridCol w:w="4651"/>
        <w:gridCol w:w="326"/>
        <w:gridCol w:w="211"/>
        <w:gridCol w:w="781"/>
        <w:gridCol w:w="326"/>
        <w:gridCol w:w="211"/>
        <w:gridCol w:w="781"/>
        <w:gridCol w:w="326"/>
        <w:gridCol w:w="211"/>
        <w:gridCol w:w="781"/>
        <w:gridCol w:w="326"/>
        <w:gridCol w:w="211"/>
        <w:gridCol w:w="886"/>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953385" cy="175260"/>
                      <wp:effectExtent l="0" t="0" r="0" b="0"/>
                      <wp:wrapNone/>
                      <wp:docPr id="187" name="Frame187"/>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95935" cy="175260"/>
                      <wp:effectExtent l="0" t="0" r="0" b="0"/>
                      <wp:wrapNone/>
                      <wp:docPr id="190" name="Frame1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95935" cy="175260"/>
                      <wp:effectExtent l="0" t="0" r="0" b="0"/>
                      <wp:wrapNone/>
                      <wp:docPr id="193" name="Frame1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95935" cy="175260"/>
                      <wp:effectExtent l="0" t="0" r="0" b="0"/>
                      <wp:wrapNone/>
                      <wp:docPr id="196" name="Frame1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62610" cy="175260"/>
                      <wp:effectExtent l="0" t="0" r="0" b="0"/>
                      <wp:wrapNone/>
                      <wp:docPr id="199" name="Frame1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1"/>
              <w:ind w:left="0" w:right="0" w:hanging="0"/>
              <w:jc w:val="left"/>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6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center"/>
              <w:rPr/>
            </w:pPr>
            <w:r>
              <w:rPr/>
              <w:t>​</w:t>
            </w:r>
          </w:p>
        </w:tc>
        <w:tc>
          <w:tcPr>
            <w:tcW w:w="24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SECURITIES AVAILABLE-FOR-SALE</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Fair</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 agency securities</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vAlign w:val="center"/>
          </w:tcPr>
          <w:p>
            <w:pPr>
              <w:pStyle w:val="TableContents"/>
              <w:bidi w:val="0"/>
              <w:spacing w:before="0" w:after="1"/>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Value</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within one year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931</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4,321</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5,963</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ten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7,004</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17,638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17,288</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within one year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997</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2,519</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3,763</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ten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1,266</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8,545</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Municipal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within one year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2,644</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5,771</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ten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111,880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134,161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111,175</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140,674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118,664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120,602</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Mortgage-backed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  </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National Mortgage Association (“FNMA”)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66,597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57,358</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Home Loan Mortgage Corporation (“FHLMC”)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8,424</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National Mortgage Association (“GNMA”)</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4,184</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69,966</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 Small Business Administration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  </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within one year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one year through five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2,407</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3,996</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ten years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9,945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6,448</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12,851</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securities available-for-sale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265,989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225,869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271,793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229,252</w:t>
            </w:r>
          </w:p>
        </w:tc>
      </w:tr>
      <w:tr>
        <w:trPr/>
        <w:tc>
          <w:tcPr>
            <w:tcW w:w="46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SECURITIES HELD-TO-MATURITY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Corporate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Due after five years through ten years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r>
      <w:tr>
        <w:trPr/>
        <w:tc>
          <w:tcPr>
            <w:tcW w:w="46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securities held-to-maturity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r>
      <w:tr>
        <w:trPr/>
        <w:tc>
          <w:tcPr>
            <w:tcW w:w="46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274,489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280,293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237,181</w:t>
            </w:r>
          </w:p>
        </w:tc>
      </w:tr>
    </w:tbl>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sales proceeds, gains or losses from the sale of securities available-for-sale for the three and six months ended June 30, 2023 and 2022.</w:t>
      </w:r>
    </w:p>
    <w:p>
      <w:pPr>
        <w:pStyle w:val="TextBody"/>
        <w:bidi w:val="0"/>
        <w:spacing w:before="0" w:after="20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358" w:name="_a834a769_2cdf_4d44_b383_fb71cea6fd36_3"/>
      <w:bookmarkStart w:id="1359" w:name="_a834a769_2cdf_4d44_b383_fb71cea6fd36_2"/>
      <w:bookmarkStart w:id="1360" w:name="_a834a769_2cdf_4d44_b383_fb71cea6fd36"/>
      <w:bookmarkStart w:id="1361" w:name="Tc_cy9zgV2wBUy-uAl4wGr75Q_20_5"/>
      <w:bookmarkStart w:id="1362" w:name="Tc_RIixb-H98kW0jfI9Q-jw4Q_20_2"/>
      <w:bookmarkStart w:id="1363" w:name="Tc_5VZIlHwJh0exp5qCNnlnpA_20_0"/>
      <w:bookmarkStart w:id="1364" w:name="Tc_yGyqw93hkUGdgesyEkUXZQ_19_0"/>
      <w:bookmarkStart w:id="1365" w:name="Tc_jKys3IrAOEOOPcmcifxkxw_18_0"/>
      <w:bookmarkStart w:id="1366" w:name="Tc_0QeBslNnVkKSUYnL0OOt-A_17_0"/>
      <w:bookmarkStart w:id="1367" w:name="Tc_k_pwZtishUCVV01UPKSiGA_16_0"/>
      <w:bookmarkStart w:id="1368" w:name="Tc_KV6ySSQydEOWMVXfE358CQ_15_0"/>
      <w:bookmarkStart w:id="1369" w:name="Tc_g9siM6Tn90uSFPZmFKgdtw_14_0"/>
      <w:bookmarkStart w:id="1370" w:name="Tc_TfAS7fTCPkG2SFIQ6YjAxg_13_0"/>
      <w:bookmarkStart w:id="1371" w:name="Tc_V1ufODTnok69cbkZ755moQ_12_0"/>
      <w:bookmarkStart w:id="1372" w:name="Tc_Nt7YOce9A0-kxvVMWwXVsw_11_0"/>
      <w:bookmarkStart w:id="1373" w:name="Tc_VLndpYBwm0OqIrs-MAHZsw_10_0"/>
      <w:bookmarkStart w:id="1374" w:name="Tc_U9oYtUMRfU-9aWye2U116A_9_0"/>
      <w:bookmarkStart w:id="1375" w:name="Tc_3c9icobAVE6jH0pKd1djpA_8_0"/>
      <w:bookmarkStart w:id="1376" w:name="Tc_6H2_dc8cOkCrZkRM4zIjuA_7_0"/>
      <w:bookmarkStart w:id="1377" w:name="Tc_ngTccdX2qEaAYdgowgpglQ_6_0"/>
      <w:bookmarkStart w:id="1378" w:name="Tc_W76mTJWmiUOOy2tDJT-yDw_5_0"/>
      <w:bookmarkStart w:id="1379" w:name="Tc_O6MQ5DJimE6vYc8wTgz93Q_4_0"/>
      <w:bookmarkStart w:id="1380" w:name="Tc_UoW1r2YSRUune0CanRPJzQ_3_5"/>
      <w:bookmarkStart w:id="1381" w:name="Tc_xIorkYOF6U6-5kD8BHjYgw_3_2"/>
      <w:bookmarkStart w:id="1382" w:name="Tc_ofu-UfgK2kWaz6-8NTnHtA_3_0"/>
      <w:bookmarkStart w:id="1383" w:name="Tc_GFPTxBi-zkaPG1r4b5T0tw_2_5"/>
      <w:bookmarkStart w:id="1384" w:name="Tc_O2lQ4Yt20UGQ4fgOX73gsA_2_2"/>
      <w:bookmarkStart w:id="1385" w:name="Tc_IIG_cN1Yn0WMm3n_kmg6ug_2_0"/>
      <w:bookmarkStart w:id="1386" w:name="Tc_IeOI9n5S_Uarg66w10N60g_1_5"/>
      <w:bookmarkStart w:id="1387" w:name="Tc_edZowARxvEyOztJJ3l_csA_1_2"/>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r>
        <w:rPr>
          <w:rFonts w:ascii="Times New Roman;Times;serif" w:hAnsi="Times New Roman;Times;serif"/>
          <w:b/>
          <w:sz w:val="20"/>
        </w:rPr>
        <w:t>NOTE 4 – LOANS RECEIVABLE AND ALLOWANCE FOR CREDIT LOSSES – LOANS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composition of the loan portfolio was as follows at the dates indicated:</w:t>
      </w:r>
    </w:p>
    <w:p>
      <w:pPr>
        <w:pStyle w:val="TextBody"/>
        <w:bidi w:val="0"/>
        <w:spacing w:before="0" w:after="0"/>
        <w:ind w:left="0" w:right="0" w:hanging="0"/>
        <w:jc w:val="left"/>
        <w:rPr/>
      </w:pPr>
      <w:r>
        <w:rPr/>
        <w:t>​</w:t>
      </w:r>
    </w:p>
    <w:tbl>
      <w:tblPr>
        <w:tblW w:w="7150" w:type="dxa"/>
        <w:jc w:val="left"/>
        <w:tblInd w:w="0" w:type="dxa"/>
        <w:tblLayout w:type="fixed"/>
        <w:tblCellMar>
          <w:top w:w="0" w:type="dxa"/>
          <w:left w:w="0" w:type="dxa"/>
          <w:bottom w:w="0" w:type="dxa"/>
          <w:right w:w="0" w:type="dxa"/>
        </w:tblCellMar>
      </w:tblPr>
      <w:tblGrid>
        <w:gridCol w:w="4051"/>
        <w:gridCol w:w="326"/>
        <w:gridCol w:w="211"/>
        <w:gridCol w:w="931"/>
        <w:gridCol w:w="326"/>
        <w:gridCol w:w="220"/>
        <w:gridCol w:w="1085"/>
      </w:tblGrid>
      <w:tr>
        <w:trPr/>
        <w:tc>
          <w:tcPr>
            <w:tcW w:w="40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1085" w:type="dxa"/>
            <w:tcBorders/>
            <w:vAlign w:val="center"/>
          </w:tcPr>
          <w:p>
            <w:pPr>
              <w:pStyle w:val="TableContents"/>
              <w:bidi w:val="0"/>
              <w:spacing w:before="0" w:after="1"/>
              <w:ind w:left="0" w:right="0" w:hanging="0"/>
              <w:jc w:val="left"/>
              <w:rPr/>
            </w:pPr>
            <w:r>
              <w:rPr/>
              <w:t>​</w:t>
            </w:r>
          </w:p>
        </w:tc>
      </w:tr>
      <w:tr>
        <w:trPr/>
        <w:tc>
          <w:tcPr>
            <w:tcW w:w="4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REAL ESTATE LOANS</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343,008</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334,059</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312,093</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342,591</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Home equity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62,304</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55,387</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One-to-four-family (excludes loans held for sale)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521,734</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469,485</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231,675</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219,738</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real estate loans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1,470,814</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1,421,260</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CONSUMER LOANS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pPr>
            <w:r>
              <w:rPr/>
              <w:t>​</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Indirect home improvement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557,818</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495,941</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Marine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72,484</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70,567</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consumer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3,606</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3,064</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consumer loans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633,908</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569,572</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COMMERCIAL BUSINESS LOANS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pPr>
            <w:r>
              <w:rPr/>
              <w:t>​</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Commercial and industrial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237,403</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196,791</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Warehouse lending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30,649</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31,229</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commercial business loans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268,052</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228,020</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loans receivable, gross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2,372,774</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2,218,852</w:t>
            </w:r>
          </w:p>
        </w:tc>
      </w:tr>
      <w:tr>
        <w:trPr/>
        <w:tc>
          <w:tcPr>
            <w:tcW w:w="40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ACL for loans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(30,350)</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(27,992)</w:t>
            </w:r>
          </w:p>
        </w:tc>
      </w:tr>
      <w:tr>
        <w:trPr/>
        <w:tc>
          <w:tcPr>
            <w:tcW w:w="40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loans receivable,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2,342,424</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2,190,860</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Loan amounts are net of unearned loan fees in excess of unamortized costs and premiums of $8.3 million as of June 30, 2023 and $7.8 million as of December 31, 2022. Net loans include unamortized net discounts on acquired loans of $2.9 million and $437,000 as of June 30, 2023 and December 31, 2022, respectively. Net loans does not include accrued interest receivable. Accrued interest receivable on loans was $10.4 million and $9.6 million as of June 30, 2023 and December 31, 2022, respectively, and was reported in “Accrued interest receivable” on the Consolidated Balance Sheets.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Most of the Company’s commercial and multi-family real estate, construction, residential, and/or commercial business lending activities are with customers located in Western Washington, the Oregon Coast, and near our loan production offices in Vancouver, Washington and the Tri-Cities, Washington. The Company originates real estate, consumer, and commercial business loans and has concentrations in these areas, however, indirect home improvement loans, including solar-related home improvement loans, are originated through a network of home improvement contractors and dealers located throughout Washington, Oregon, California, Idaho, Colorado, Arizona, Minnesota,  Nevada,  Texas, Utah, Massachusetts, Montana, and recently New Hampshire.  Loans are generally secured by collateral and rights to collateral vary and are legally documented to the extent practicable. Local economic conditions may affect borrowers’ ability to meet the stated repayment terms.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June 30, 2023, the Bank held approximately $988.5 million in loans that are pledged as collateral for FHLB advances, compared to approximately $840.2 million at December 31, 2022. The Bank held approximately $618.8 million in loans that are pledged as collateral for the Federal Reserve Bank of San Francisco (the “FRB”) line of credit at June 30, 2023, compared to approximately $579.8 million at December 31, 2022.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defined its loan portfolio into three segments that reflect the structure of the lending function, the Company’s strategic plan and the manner in which management monitors performance and credit quality. The three loan portfolio segments are: (a) Real Estate Loans, (b) Consumer Loans, and (c) Commercial Business Loans. Each of these segments is disaggregated into classes based on the risk characteristics of the borrower and/or the collateral type securing the loan. The following is a summary of each of the Company’s loan portfolio segments and classes: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Real Estate Loans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Commercial Lending</w:t>
      </w:r>
      <w:r>
        <w:rPr>
          <w:rFonts w:ascii="Times New Roman;Times;serif" w:hAnsi="Times New Roman;Times;serif"/>
          <w:sz w:val="20"/>
        </w:rPr>
        <w:t>. Loans originated by the Company primarily secured by income-producing properties, including retail centers, warehouses, and office buildings located in our market areas.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Construction and Development Lending</w:t>
      </w:r>
      <w:r>
        <w:rPr>
          <w:rFonts w:ascii="Times New Roman;Times;serif" w:hAnsi="Times New Roman;Times;serif"/>
          <w:sz w:val="20"/>
        </w:rPr>
        <w:t>. Loans originated by the Company for the construction of, and secured by, commercial real estate, one-to-four-family, and multi-family residences and tracts of land for development that are not pre-sold. A portion of the one-to-four-family construction portfolio is custom construction loans to the intended occupant of the residence.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Home Equity Lending</w:t>
      </w:r>
      <w:r>
        <w:rPr>
          <w:rFonts w:ascii="Times New Roman;Times;serif" w:hAnsi="Times New Roman;Times;serif"/>
          <w:sz w:val="20"/>
        </w:rPr>
        <w:t>. Loans originated by the Company secured by second mortgages on one-to-four-family residences, including home equity lines of credit in our market areas.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One-to-Four-Family Real Estate Lending</w:t>
      </w:r>
      <w:r>
        <w:rPr>
          <w:rFonts w:ascii="Times New Roman;Times;serif" w:hAnsi="Times New Roman;Times;serif"/>
          <w:sz w:val="20"/>
        </w:rPr>
        <w:t>. One-to-four-family residential loans include owner occupied properties (including second homes), and non-owner-occupied properties with four or less units. These loans originated by the Company or periodically purchased from banks are secured by first mortgages on one-to-four-family residences in our market areas that the Company intends to hold (excludes loans held for sale).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Multi-Family Lending</w:t>
      </w:r>
      <w:r>
        <w:rPr>
          <w:rFonts w:ascii="Times New Roman;Times;serif" w:hAnsi="Times New Roman;Times;serif"/>
          <w:sz w:val="20"/>
        </w:rPr>
        <w:t>. Apartment term lending (five or more units) to current banking customers and community reinvestment loans for low to moderate income individuals in the Company’s footprint.</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Consumer Loans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Indirect Home Improvement</w:t>
      </w:r>
      <w:r>
        <w:rPr>
          <w:rFonts w:ascii="Times New Roman;Times;serif" w:hAnsi="Times New Roman;Times;serif"/>
          <w:sz w:val="20"/>
        </w:rPr>
        <w:t>. Fixture secured loans for home improvement are originated by the Company through its network of home improvement contractors and dealers and are secured by the personal property installed in, on, or at the borrower’s real property, and may be perfected with a UCC-2 financing statement filed in the county of the borrower’s residence. These indirect home improvement loans include replacement windows, siding, roofing, spas, and other home fixture installations, including solar related home improvement projects.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Marine</w:t>
      </w:r>
      <w:r>
        <w:rPr>
          <w:rFonts w:ascii="Times New Roman;Times;serif" w:hAnsi="Times New Roman;Times;serif"/>
          <w:sz w:val="20"/>
        </w:rPr>
        <w:t>. Loans originated by the Company, secured by boats, to borrowers primarily located in states where the Company originates consumer loans.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Other Consumer</w:t>
      </w:r>
      <w:r>
        <w:rPr>
          <w:rFonts w:ascii="Times New Roman;Times;serif" w:hAnsi="Times New Roman;Times;serif"/>
          <w:sz w:val="20"/>
        </w:rPr>
        <w:t>. Loans originated by the Company to consumers in our retail branch footprint, including automobiles, recreational vehicles, direct home improvement loans, loans on deposits, and other consumer loans, primarily consisting of personal lines of credit and credit cards.</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Commercial Business Loans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 xml:space="preserve">Commercial and Industrial (“C&amp;I”) Lending. </w:t>
      </w:r>
      <w:r>
        <w:rPr>
          <w:rFonts w:ascii="Times New Roman;Times;serif" w:hAnsi="Times New Roman;Times;serif"/>
          <w:sz w:val="20"/>
        </w:rPr>
        <w:t>Loans originated by the Company to local small- and mid-sized businesses in our Puget Sound market area are secured primarily by accounts receivable, inventory, or personal property, plant and equipment. Some of the C&amp;I loans purchased by the Company are outside of the greater Puget Sound market area.  C&amp;I loans are made on the basis of the borrower’s ability to make repayment from the cash flow of the borrower’s business.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i/>
          <w:sz w:val="20"/>
        </w:rPr>
        <w:t>Warehouse Lending</w:t>
      </w:r>
      <w:r>
        <w:rPr>
          <w:rFonts w:ascii="Times New Roman;Times;serif" w:hAnsi="Times New Roman;Times;serif"/>
          <w:sz w:val="20"/>
        </w:rPr>
        <w:t xml:space="preserve">. Loans originated to non-depository financial institutions and secured by notes originated by the non-depository financial institution.  The Company has two distinct warehouse lending divisions: commercial warehouse re-lending secured by notes on construction loans and mortgage warehouse re-lending secured by notes on one-to-four-family loans.  The Company’s commercial construction warehouse lines are secured by notes on construction loans and typically guaranteed by principals with experience in construction lending.  Mortgage warehouse lending loans are funded through third-party residential mortgage bankers.  Under this program the Company provides short-term funding to the mortgage banking companies for the purpose of originating residential mortgage loans for sale into the secondary market.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Allowance for Credit Losses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identifies loans in the Company’s portfolio that must be individually evaluated for loss due to disparate risk characteristics or information suggesting that the Company will be unable to collect all the principal and interest due. For loans individually evaluated, a specific reserve is estimated based on either the fair value of collateral or the discounted value of expected future cash flows. In estimating the fair value of real estate collateral, management utilizes appraisals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evaluations adjusted for costs to dispose and a distressed sale adjustment, if needed. Estimating the fair value of collateral other than real estate is also subjective in nature and sometimes requires difficult and complex judgements. Determining expected future cash flows can be more subjective than determining fair values. Expected future cash flows could differ significantly, both in timing and amount, from the cash flows actually received over the loan’s remaining life. Individually evaluated loans are excluded from the estimation of credit losses for the pooled portfolio.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Generally, collectively assessed loans are grouped by call report code and then risk-grade grouping. Risk grade is grouped within each call report code by pass, watch, special mention, substandard, and doubtful. Other loan types are separated into their own cohorts due to specific risk characteristics for that pool of loans.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elected a non-discounted cash flow methodology with probability of default (“PD”) and loss given default (“LGD”) for all call report code cohorts (“cohorts”), with the exception of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PD calculation looks at the historical loan portfolio at particular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LGD calculation looks at actual losses (net charge-offs) experienced over the entire lookback period for each cohort of loans. The aggregate loss amount is divided by the exposure at default to determine an LGD rate. All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very limited charge-off history, management uses index LGDs comprised of rates derived from the LGD experience of other community banks in place of the Company’s historical LGDs.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utilizes reasonable and supportable forecasts of future economic conditions when estimating the ACL for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very limited default history, management uses index PDs comprised of rates derived from the PD experience of other community banks in place of the Company’s historical PDs. The Company recognizes that all significant factors that affect the collectability of the loan portfolio must be considered to determine the estimated credit losses as of the evaluation date. Furthermore, the methodology, in and of itself and even 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Modifications to borrowers experiencing financial difficulty are included in loans collectively evaluated for credit loss. An assessment of whether a borrower is experiencing financial difficulty is made on the date of a modification. A charge to the allowance for credit losses is generally not recorded upon modification.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Management believes that the methods selected fairly reflect the historical loss component of expected losses inherent in the Company’s loan portfolio. However, since future losses could vary significantly from those experienced in the past, on a quarterly basis management adjusts its historical loss experience to reflect current and forecasted conditions. In doing so, management considers a variety of general qualitative and quantitative factors (“Q-factors”) and then subjectively determines the weight to assign to each in estimating losses. Qualitative characteristics include differences in underwriting standards, policies, lending staff and environmental risks. Management also considers whether further adjustments to historical loss information are needed to reflect the extent to which current conditions and reasonable and supportable forecasts over the forecasting horizon differ from the conditions that existed during the historical loss period. These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1388" w:name="Tc_r-c9husx-0mYXe-B7mNUZg_10_14"/>
      <w:bookmarkStart w:id="1389" w:name="Tc_wK8jkbTDMEWuHPrcaof_6w_10_12"/>
      <w:bookmarkStart w:id="1390" w:name="Tc_mG-d9mIRtE211UP1sBTZLA_10_11"/>
      <w:bookmarkStart w:id="1391" w:name="Tc_ACesTD2zRkeQo29nvzKgSg_10_8"/>
      <w:bookmarkStart w:id="1392" w:name="Tc_J8J6KJXZiEqCFI-3osWf7w_10_5"/>
      <w:bookmarkStart w:id="1393" w:name="Tc_uuzgIarlPE-v0toe5nRE9w_10_2"/>
      <w:bookmarkStart w:id="1394" w:name="Tc_SdIqtUKqckmyjNClZEejow_10_0"/>
      <w:bookmarkStart w:id="1395" w:name="Tc_SyT91TV7-UCXJXvxyhCgWQ_9_12"/>
      <w:bookmarkStart w:id="1396" w:name="Tc_qYbp7gwyM0GLE_Ix-rxERQ_9_9"/>
      <w:bookmarkStart w:id="1397" w:name="Tc_u3CgGaWpe0O6TZlGEw84Xw_9_3"/>
      <w:bookmarkStart w:id="1398" w:name="Tc_l3qzQJ-U3EWGPJ_nZZDVkA_9_0"/>
      <w:bookmarkStart w:id="1399" w:name="Tc_DENe_bHCQ0Wj5mZliMKtoA_8_12"/>
      <w:bookmarkStart w:id="1400" w:name="Tc_23mpY1dZlEupK0Uw9HV7qQ_8_9"/>
      <w:bookmarkStart w:id="1401" w:name="Tc_OBZeGPPzB0KLb_mOGpuJaw_8_3"/>
      <w:bookmarkStart w:id="1402" w:name="Tc_47K0k1WHn0ubq4xOUD_k2g_8_0"/>
      <w:bookmarkStart w:id="1403" w:name="Tc_14RHLWXGYkCliRQxCyPnDw_7_12"/>
      <w:bookmarkStart w:id="1404" w:name="Tc_XRGvMVFUXkqxI8jBVpMjdw_7_9"/>
      <w:bookmarkStart w:id="1405" w:name="Tc_tYSYFNTLfka1SaCgnJCRXA_7_3"/>
      <w:bookmarkStart w:id="1406" w:name="Tc_ufyRXCa9YkizWrrUVpfADg_7_0"/>
      <w:bookmarkStart w:id="1407" w:name="Tc_cO8WMCwOMEqJJEbGWHfN1Q_6_12"/>
      <w:bookmarkStart w:id="1408" w:name="Tc_uvrTnscC4Em_ufiNTxR_YQ_6_0"/>
      <w:bookmarkStart w:id="1409" w:name="Tc_pQFHbXGAdEeSINYzgMuZEQ_5_0"/>
      <w:bookmarkStart w:id="1410" w:name="Tc_ym58qoq_iUWcA4Rs_yyMHg_4_14"/>
      <w:bookmarkStart w:id="1411" w:name="Tc_y7h90o4zn0ajzCImyjBIXA_4_11"/>
      <w:bookmarkStart w:id="1412" w:name="Tc_FOano9xKBEazvYIMshLeDw_4_8"/>
      <w:bookmarkStart w:id="1413" w:name="Tc_TMdT0ZiLqUWSjBLAL8Zc2Q_4_5"/>
      <w:bookmarkStart w:id="1414" w:name="Tc_90DNGDYLxkmHHbtjtw2xww_4_2"/>
      <w:bookmarkStart w:id="1415" w:name="Tc_m2fouR7T5kC_EhcacA4OgQ_4_0"/>
      <w:bookmarkStart w:id="1416" w:name="Tc_lxJtGvhvXEyuzG7TjevCiQ_3_14"/>
      <w:bookmarkStart w:id="1417" w:name="Tc_Ce5D5KeYwkeU90fzTpXXLA_3_11"/>
      <w:bookmarkStart w:id="1418" w:name="Tc_Ca2z70A5LkSLx6ZCXhKnIQ_3_8"/>
      <w:bookmarkStart w:id="1419" w:name="Tc_ExIDBLHz-U63QKXQxoqZkw_3_5"/>
      <w:bookmarkStart w:id="1420" w:name="Tc_d3ZkLgdlEkWmaw9dGMTU0w_3_2"/>
      <w:bookmarkStart w:id="1421" w:name="Tc_pXgL3BGdVkCMo_-ARG2_Dg_3_0"/>
      <w:bookmarkStart w:id="1422" w:name="Tc_ruWMg49htka949G4-Cs29g_2_8"/>
      <w:bookmarkStart w:id="1423" w:name="Tc_qVnPpEx6CEuNSbzGH6HapQ_2_2"/>
      <w:bookmarkStart w:id="1424" w:name="Tc_CNV3p8Gk5kuc41jVYv6V_A_1_2"/>
      <w:bookmarkStart w:id="1425" w:name="_bff878c7_29fd_41ae_88c6_02cec1acf22c"/>
      <w:bookmarkStart w:id="1426" w:name="Tc_0TzOLIK950KL4TDSlBLcIA_9_14"/>
      <w:bookmarkStart w:id="1427" w:name="Tc_4pq8BUv1vUe-75KgV7CewQ_9_12"/>
      <w:bookmarkStart w:id="1428" w:name="Tc_-MIhjvhwvUO9-Irr3fwi2g_9_11"/>
      <w:bookmarkStart w:id="1429" w:name="Tc_4NNzVXmokUW48v3SsVl6eA_9_8"/>
      <w:bookmarkStart w:id="1430" w:name="Tc_FZN8Mfj1Tk23W41n2GJ_PQ_9_5"/>
      <w:bookmarkStart w:id="1431" w:name="Tc_6z0pPSvnwEWlB3_WONqPlg_9_2"/>
      <w:bookmarkStart w:id="1432" w:name="Tc_abr4dVvGuUukgDxgmEpo9A_9_0"/>
      <w:bookmarkStart w:id="1433" w:name="Tc_Ecihq2Q6a0m3osayvrluUQ_8_12"/>
      <w:bookmarkStart w:id="1434" w:name="Tc_b0EWJSlpr02ZjqbHMF3Amw_8_0"/>
      <w:bookmarkStart w:id="1435" w:name="Tc_vV7gSglsN0y3kKmvKigoBw_7_12"/>
      <w:bookmarkStart w:id="1436" w:name="Tc_TxKy8nDw3kqQGcpbSuPRPA_7_9"/>
      <w:bookmarkStart w:id="1437" w:name="Tc_MGl5kUc5h0SMoRL1dqyWRg_7_3"/>
      <w:bookmarkStart w:id="1438" w:name="Tc_jq-zQvc8A0OavwU8CxqoHA_7_0"/>
      <w:bookmarkStart w:id="1439" w:name="Tc_669OM5pnqUWfF8KED8c_dA_6_12"/>
      <w:bookmarkStart w:id="1440" w:name="Tc_UYmGod86XkSkLLgli329tA_6_0"/>
      <w:bookmarkStart w:id="1441" w:name="Tc_Q5dWOd51sEOXPgEiBsMEIQ_5_12"/>
      <w:bookmarkStart w:id="1442" w:name="Tc_QZ7k1lNXzUuJE-QCQBswQA_5_0"/>
      <w:bookmarkStart w:id="1443" w:name="Tc_E5FtbiIiI0aEIln17RtGXw_4_14"/>
      <w:bookmarkStart w:id="1444" w:name="Tc_fFwfEoFi8UK47TBQ1bVzZA_4_12"/>
      <w:bookmarkStart w:id="1445" w:name="Tc_PST1A5Jx70qQEHSk1FxuDw_4_11"/>
      <w:bookmarkStart w:id="1446" w:name="Tc_QotBU7x1F0KMfnfXyVkYrw_4_8"/>
      <w:bookmarkStart w:id="1447" w:name="Tc_MgJ8EyofFkuqYX8iaKBDBQ_4_5"/>
      <w:bookmarkStart w:id="1448" w:name="Tc_HLmuJMbPQ0iHLOTP5bmX4w_4_2"/>
      <w:bookmarkStart w:id="1449" w:name="Tc_w58xBVRODE2wnmpx_q2nDw_4_0"/>
      <w:bookmarkStart w:id="1450" w:name="Tc_Q2vGmQZkVEam8SOQzLCULA_3_14"/>
      <w:bookmarkStart w:id="1451" w:name="Tc_yvjuviAQS0qmepWnbjfSLg_3_11"/>
      <w:bookmarkStart w:id="1452" w:name="Tc_qFIQx0R07kWrRCkmeKBg1g_3_8"/>
      <w:bookmarkStart w:id="1453" w:name="Tc_tATe5bGxrUG0C7boqnRuvQ_3_5"/>
      <w:bookmarkStart w:id="1454" w:name="Tc_DrNxnfPogUChfw0LGj1CTQ_3_2"/>
      <w:bookmarkStart w:id="1455" w:name="Tc_PdZ03yQeS0iMRUxDdCudwA_3_0"/>
      <w:bookmarkStart w:id="1456" w:name="Tc_x5ZCQPOEOkap_c2cfdiXGw_2_8"/>
      <w:bookmarkStart w:id="1457" w:name="Tc_Yme54-Y8m0S3AR0N2kAfUg_2_2"/>
      <w:bookmarkStart w:id="1458" w:name="Tc_bsr1F3-PXUCNx8gWwDdDBg_1_2"/>
      <w:bookmarkStart w:id="1459" w:name="_83c69aa0_0264_45bb_a336_fb6eb856dc45"/>
      <w:bookmarkStart w:id="1460" w:name="Tc_CwyBkD-pbU-pgrchTkd3wQ_9_14"/>
      <w:bookmarkStart w:id="1461" w:name="Tc_0qKcJhYhEEiMbwQIPsjP5A_9_12"/>
      <w:bookmarkStart w:id="1462" w:name="Tc_NxVJhTxCG0OBd7TmhCJiwQ_9_11"/>
      <w:bookmarkStart w:id="1463" w:name="Tc_08C_97EAeESuyM89GpklTQ_9_8"/>
      <w:bookmarkStart w:id="1464" w:name="Tc_VD6no1-fCkWbrMWRzRTHLA_9_5"/>
      <w:bookmarkStart w:id="1465" w:name="Tc_d-qbIEasbkGbF6dnpDY2ZA_9_2"/>
      <w:bookmarkStart w:id="1466" w:name="Tc_59L9Nv3ocEak4RU9xomMpw_9_0"/>
      <w:bookmarkStart w:id="1467" w:name="Tc_pA_X1EOuTEuMxZ1zFkHHow_8_12"/>
      <w:bookmarkStart w:id="1468" w:name="Tc_6oxnbZX_XEaumW0nLz_WZQ_8_9"/>
      <w:bookmarkStart w:id="1469" w:name="Tc_fA_kwEP3I0udEdGVx5tpMg_8_3"/>
      <w:bookmarkStart w:id="1470" w:name="Tc_ZL4BFG6Lx0CDmj3MnKWRvw_8_0"/>
      <w:bookmarkStart w:id="1471" w:name="Tc_Xe7j7z6wgEmCuGh00inQsA_7_12"/>
      <w:bookmarkStart w:id="1472" w:name="Tc_v4CtH-dwvUef08Vv9uX00w_7_9"/>
      <w:bookmarkStart w:id="1473" w:name="Tc_720mv9Az_Uy5lnPU0ByUqw_7_3"/>
      <w:bookmarkStart w:id="1474" w:name="Tc_fbLXQOEbKE2tn7s_6QhgMw_7_0"/>
      <w:bookmarkStart w:id="1475" w:name="Tc_hgCFNWMJQEm840xf-KH5rQ_6_12"/>
      <w:bookmarkStart w:id="1476" w:name="Tc_VbzK6gas60Kx56GJM-H_Ug_6_9"/>
      <w:bookmarkStart w:id="1477" w:name="Tc_l20MZr_Oa0SEGqZPhBvWoQ_6_3"/>
      <w:bookmarkStart w:id="1478" w:name="Tc_fw8Z_00aTkm4l_oI4Tv-6g_6_0"/>
      <w:bookmarkStart w:id="1479" w:name="Tc_l0F09BCy7068Vww8ycdYHw_5_12"/>
      <w:bookmarkStart w:id="1480" w:name="Tc_jx6shr1SLUuKjhQZ2PA8yw_5_0"/>
      <w:bookmarkStart w:id="1481" w:name="Tc_4Xmqr9a9cUy8Yg2UP3QCwA_4_14"/>
      <w:bookmarkStart w:id="1482" w:name="Tc_AldtNt_YzEmzeRW57byEww_4_12"/>
      <w:bookmarkStart w:id="1483" w:name="Tc_dNfhPfNs-0G9wWELl_c6Pw_4_11"/>
      <w:bookmarkStart w:id="1484" w:name="Tc_8T8Ihjxb-kiJmtQkNQJsPA_4_8"/>
      <w:bookmarkStart w:id="1485" w:name="Tc_P-TYxrU0CkiRmaxgyPAWVg_4_5"/>
      <w:bookmarkStart w:id="1486" w:name="Tc_0wy1Owc09E2tbAllN5PXwQ_4_2"/>
      <w:bookmarkStart w:id="1487" w:name="Tc_w7dTu4fXW0ujQBnBWTjAUQ_4_0"/>
      <w:bookmarkStart w:id="1488" w:name="Tc_LpcZJkMh6keoUoAqKdTg7A_3_14"/>
      <w:bookmarkStart w:id="1489" w:name="Tc_nQiZW3hRdEeDfmP9_QaoJg_3_11"/>
      <w:bookmarkStart w:id="1490" w:name="Tc_YoxoP2ReUkycHNEmM8cz8w_3_8"/>
      <w:bookmarkStart w:id="1491" w:name="Tc_xBYJJ05KpkqN44T_zKe8ow_3_5"/>
      <w:bookmarkStart w:id="1492" w:name="Tc_CXpjrhJgm0K09UK4SNWezQ_3_2"/>
      <w:bookmarkStart w:id="1493" w:name="Tc_zKf_Xs-cIUqdkNrlDaY3kw_3_0"/>
      <w:bookmarkStart w:id="1494" w:name="Tc_r6dwowGe9keY2axn14jx0g_2_8"/>
      <w:bookmarkStart w:id="1495" w:name="Tc_6O0xgiE29EO70SETFI7vOA_2_2"/>
      <w:bookmarkStart w:id="1496" w:name="Tc_iLm2IfZ09Ei3Q8QNhH_1Tg_1_2"/>
      <w:bookmarkStart w:id="1497" w:name="_049a1968_fc0a_4521_bed7_2291adfe7f4a"/>
      <w:bookmarkStart w:id="1498" w:name="Tc_0tXempciDkSsIhBQ9Uu5-w_9_14"/>
      <w:bookmarkStart w:id="1499" w:name="Tc_xgmOLS-VuUqWXdV4Mpu9aA_9_12"/>
      <w:bookmarkStart w:id="1500" w:name="Tc_XyLFUgw670SzUlC4RaLM2Q_9_11"/>
      <w:bookmarkStart w:id="1501" w:name="Tc_cQN_U1UfrEmc1LeBibQVCw_9_8"/>
      <w:bookmarkStart w:id="1502" w:name="Tc_LwpSXUTlEkmMP6cC15H7Sw_9_5"/>
      <w:bookmarkStart w:id="1503" w:name="Tc_Tae57DDKK0ST4Mce-TSb5A_9_2"/>
      <w:bookmarkStart w:id="1504" w:name="Tc_h7swBJSYzUWkU68DqkukLQ_9_0"/>
      <w:bookmarkStart w:id="1505" w:name="Tc_blzIBBL0YEuNWWobeDc__A_8_12"/>
      <w:bookmarkStart w:id="1506" w:name="Tc_dzmGb3Wcw06DxN0Ti0SkOw_8_9"/>
      <w:bookmarkStart w:id="1507" w:name="Tc_GYHxdkCxskagQkOAw-sxbA_8_3"/>
      <w:bookmarkStart w:id="1508" w:name="Tc_l9lKp2GhX0uBPxF7d9FPOw_8_0"/>
      <w:bookmarkStart w:id="1509" w:name="Tc_0aox3FQmjk-9_zhk2guzwg_7_12"/>
      <w:bookmarkStart w:id="1510" w:name="Tc_E-_eAllZ106NfgP67SQM4A_7_9"/>
      <w:bookmarkStart w:id="1511" w:name="Tc_yKDGH1nEq0CWtNKeT8Kd9w_7_3"/>
      <w:bookmarkStart w:id="1512" w:name="Tc_Umysxn4AGkuFcfkdH1hMYg_7_0"/>
      <w:bookmarkStart w:id="1513" w:name="Tc_-HtZklHA1EmhZtNMHmZr6A_6_12"/>
      <w:bookmarkStart w:id="1514" w:name="Tc_9JeaXav810WY55q2u2lorA_6_9"/>
      <w:bookmarkStart w:id="1515" w:name="Tc_wgHpI1BJnE2fjSIobMMWNA_6_3"/>
      <w:bookmarkStart w:id="1516" w:name="Tc__1QF4zmTLkCpCvXvxg15Gw_6_0"/>
      <w:bookmarkStart w:id="1517" w:name="Tc_exDxJIq5V02x-mwjESP7-w_5_12"/>
      <w:bookmarkStart w:id="1518" w:name="Tc_k5A947WOz0GgdwCIdCLTNQ_5_0"/>
      <w:bookmarkStart w:id="1519" w:name="Tc_vB6By5G0Vkuro2-nUxEocw_4_14"/>
      <w:bookmarkStart w:id="1520" w:name="Tc_4ZsxeKCc9keX4l17-Zcddw_4_12"/>
      <w:bookmarkStart w:id="1521" w:name="Tc_bhtmTQjIe0iOhscCG8bbLg_4_11"/>
      <w:bookmarkStart w:id="1522" w:name="Tc_edP3Lff-k02a0gECTy1WpQ_4_8"/>
      <w:bookmarkStart w:id="1523" w:name="Tc_DNFRTLzjSkWweJgDJMqtZg_4_5"/>
      <w:bookmarkStart w:id="1524" w:name="Tc_ARvuq2EmdUiMnI5Ho6ZWOA_4_2"/>
      <w:bookmarkStart w:id="1525" w:name="Tc_JflgHW3EHEiZ_u3EMZQa3w_4_0"/>
      <w:bookmarkStart w:id="1526" w:name="Tc_zVTRt_cKZ0W3Jcx_NLPeYw_3_14"/>
      <w:bookmarkStart w:id="1527" w:name="Tc_MzWXzsZ8OUyhAAJnA4orbw_3_11"/>
      <w:bookmarkStart w:id="1528" w:name="Tc_-R1fbyrAnkS33xE0qac7dQ_3_8"/>
      <w:bookmarkStart w:id="1529" w:name="Tc_PENkSp3zx0-pePve-PUZwQ_3_5"/>
      <w:bookmarkStart w:id="1530" w:name="Tc_bcmjFm50y0K2VIpTipkLKA_3_2"/>
      <w:bookmarkStart w:id="1531" w:name="Tc_QojKXOrkcUmYTpIFXycTDQ_3_0"/>
      <w:bookmarkStart w:id="1532" w:name="Tc_yV3xUnTW0EyuYnLP3DDWAA_2_8"/>
      <w:bookmarkStart w:id="1533" w:name="Tc_LNTtoKjuFEuIkOon5cuD5w_2_2"/>
      <w:bookmarkStart w:id="1534" w:name="Tc_UZbiKVkVfU-HOBBDuWVEIg_1_2"/>
      <w:bookmarkStart w:id="1535" w:name="_2f0a12af_a2c8_4a30_9c1d_142e380cbd83"/>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r>
        <w:rPr>
          <w:rFonts w:ascii="Times New Roman;Times;serif" w:hAnsi="Times New Roman;Times;serif"/>
          <w:sz w:val="20"/>
        </w:rPr>
        <w:t>quantitative adjustments reflect changes to relevant data such as changes in unemployment rates, average growth in pools of loans, concentrations of credit, delinquencies or other factors associated with the financial assets. The reversion method is applied for periods beyond the forecasting horizon. The Company’s ACL allocable to pools of loans that are collectively evaluated for credit loss results primarily from these qualitative and quantitative adjustments to historical loss experience. Because of the nature of the Q-factors and the degree of judgement involved in assessing their impact, management’s resulting estimate of losses may not accurately reflect current and future losses in the portfolio.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main drivers of the credit provision recorded in the first six months of 2023 were increases in outstanding loans and net charge-offs, average growth rates and increases in specific reserves on individually evaluated loans. </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detail activity in the ACL for loans by loan categories at or for the three and six months ended June 30, 2023 and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73"/>
        <w:gridCol w:w="326"/>
        <w:gridCol w:w="211"/>
        <w:gridCol w:w="676"/>
        <w:gridCol w:w="326"/>
        <w:gridCol w:w="221"/>
        <w:gridCol w:w="710"/>
        <w:gridCol w:w="326"/>
        <w:gridCol w:w="295"/>
        <w:gridCol w:w="801"/>
        <w:gridCol w:w="326"/>
        <w:gridCol w:w="415"/>
        <w:gridCol w:w="681"/>
        <w:gridCol w:w="326"/>
        <w:gridCol w:w="211"/>
        <w:gridCol w:w="781"/>
      </w:tblGrid>
      <w:tr>
        <w:trPr/>
        <w:tc>
          <w:tcPr>
            <w:tcW w:w="3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268855" cy="175260"/>
                      <wp:effectExtent l="0" t="0" r="0" b="0"/>
                      <wp:wrapNone/>
                      <wp:docPr id="200" name="Frame200"/>
                      <a:graphic xmlns:a="http://schemas.openxmlformats.org/drawingml/2006/main">
                        <a:graphicData uri="http://schemas.microsoft.com/office/word/2010/wordprocessingShape">
                          <wps:wsp>
                            <wps:cNvSpPr txBox="1"/>
                            <wps:spPr>
                              <a:xfrm>
                                <a:off x="0" y="0"/>
                                <a:ext cx="2268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2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429260" cy="175260"/>
                      <wp:effectExtent l="0" t="0" r="0" b="0"/>
                      <wp:wrapNone/>
                      <wp:docPr id="203" name="Frame2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40335" cy="175260"/>
                      <wp:effectExtent l="0" t="0" r="0" b="0"/>
                      <wp:wrapNone/>
                      <wp:docPr id="205" name="Frame20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50850" cy="175260"/>
                      <wp:effectExtent l="0" t="0" r="0" b="0"/>
                      <wp:wrapNone/>
                      <wp:docPr id="206" name="Frame206"/>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87325" cy="175260"/>
                      <wp:effectExtent l="0" t="0" r="0" b="0"/>
                      <wp:wrapNone/>
                      <wp:docPr id="208" name="Frame20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8635" cy="175260"/>
                      <wp:effectExtent l="0" t="0" r="0" b="0"/>
                      <wp:wrapNone/>
                      <wp:docPr id="209" name="Frame209"/>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63525" cy="175260"/>
                      <wp:effectExtent l="0" t="0" r="0" b="0"/>
                      <wp:wrapNone/>
                      <wp:docPr id="211" name="Frame211"/>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2435" cy="175260"/>
                      <wp:effectExtent l="0" t="0" r="0" b="0"/>
                      <wp:wrapNone/>
                      <wp:docPr id="212" name="Frame212"/>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95935" cy="175260"/>
                      <wp:effectExtent l="0" t="0" r="0" b="0"/>
                      <wp:wrapNone/>
                      <wp:docPr id="215" name="Frame2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0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Three Months Ended June 30, 2023</w:t>
            </w:r>
          </w:p>
        </w:tc>
      </w:tr>
      <w:tr>
        <w:trPr/>
        <w:tc>
          <w:tcPr>
            <w:tcW w:w="35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Real</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573"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 xml:space="preserve">ACL FOR LOANS </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Estate</w:t>
            </w:r>
          </w:p>
        </w:tc>
        <w:tc>
          <w:tcPr>
            <w:tcW w:w="326" w:type="dxa"/>
            <w:tcBorders/>
            <w:vAlign w:val="center"/>
          </w:tcPr>
          <w:p>
            <w:pPr>
              <w:pStyle w:val="TableContents"/>
              <w:bidi w:val="0"/>
              <w:spacing w:before="0" w:after="0"/>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Consumer</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Business</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12,572</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13,401</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29,937</w:t>
            </w:r>
          </w:p>
        </w:tc>
      </w:tr>
      <w:tr>
        <w:trPr/>
        <w:tc>
          <w:tcPr>
            <w:tcW w:w="3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(Reversal of) provision for credit losses on loans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6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1,063</w:t>
            </w:r>
          </w:p>
        </w:tc>
      </w:tr>
      <w:tr>
        <w:trPr/>
        <w:tc>
          <w:tcPr>
            <w:tcW w:w="3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8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w:t>
            </w:r>
          </w:p>
        </w:tc>
      </w:tr>
      <w:tr>
        <w:trPr/>
        <w:tc>
          <w:tcPr>
            <w:tcW w:w="3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r>
      <w:tr>
        <w:trPr/>
        <w:tc>
          <w:tcPr>
            <w:tcW w:w="35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charge-offs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357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ending ACL balance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12,307</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14,017</w:t>
            </w:r>
          </w:p>
        </w:tc>
        <w:tc>
          <w:tcPr>
            <w:tcW w:w="326" w:type="dxa"/>
            <w:tcBorders/>
            <w:vAlign w:val="center"/>
          </w:tcPr>
          <w:p>
            <w:pPr>
              <w:pStyle w:val="TableContents"/>
              <w:bidi w:val="0"/>
              <w:spacing w:before="0" w:after="0"/>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w:t>
            </w:r>
          </w:p>
        </w:tc>
        <w:tc>
          <w:tcPr>
            <w:tcW w:w="326" w:type="dxa"/>
            <w:tcBorders/>
            <w:vAlign w:val="center"/>
          </w:tcPr>
          <w:p>
            <w:pPr>
              <w:pStyle w:val="TableContents"/>
              <w:bidi w:val="0"/>
              <w:spacing w:before="0" w:after="0"/>
              <w:ind w:left="0" w:right="0" w:hanging="0"/>
              <w:jc w:val="left"/>
              <w:rPr/>
            </w:pPr>
            <w:r>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30,350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573"/>
        <w:gridCol w:w="326"/>
        <w:gridCol w:w="211"/>
        <w:gridCol w:w="676"/>
        <w:gridCol w:w="326"/>
        <w:gridCol w:w="221"/>
        <w:gridCol w:w="710"/>
        <w:gridCol w:w="326"/>
        <w:gridCol w:w="295"/>
        <w:gridCol w:w="801"/>
        <w:gridCol w:w="326"/>
        <w:gridCol w:w="415"/>
        <w:gridCol w:w="681"/>
        <w:gridCol w:w="326"/>
        <w:gridCol w:w="211"/>
        <w:gridCol w:w="781"/>
      </w:tblGrid>
      <w:tr>
        <w:trPr/>
        <w:tc>
          <w:tcPr>
            <w:tcW w:w="35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268855" cy="175260"/>
                      <wp:effectExtent l="0" t="0" r="0" b="0"/>
                      <wp:wrapNone/>
                      <wp:docPr id="216" name="Frame216"/>
                      <a:graphic xmlns:a="http://schemas.openxmlformats.org/drawingml/2006/main">
                        <a:graphicData uri="http://schemas.microsoft.com/office/word/2010/wordprocessingShape">
                          <wps:wsp>
                            <wps:cNvSpPr txBox="1"/>
                            <wps:spPr>
                              <a:xfrm>
                                <a:off x="0" y="0"/>
                                <a:ext cx="2268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29260" cy="175260"/>
                      <wp:effectExtent l="0" t="0" r="0" b="0"/>
                      <wp:wrapNone/>
                      <wp:docPr id="219" name="Frame2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40335" cy="175260"/>
                      <wp:effectExtent l="0" t="0" r="0" b="0"/>
                      <wp:wrapNone/>
                      <wp:docPr id="221" name="Frame22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50850" cy="175260"/>
                      <wp:effectExtent l="0" t="0" r="0" b="0"/>
                      <wp:wrapNone/>
                      <wp:docPr id="222" name="Frame222"/>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7325" cy="175260"/>
                      <wp:effectExtent l="0" t="0" r="0" b="0"/>
                      <wp:wrapNone/>
                      <wp:docPr id="224" name="Frame22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08635" cy="175260"/>
                      <wp:effectExtent l="0" t="0" r="0" b="0"/>
                      <wp:wrapNone/>
                      <wp:docPr id="225" name="Frame225"/>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63525" cy="175260"/>
                      <wp:effectExtent l="0" t="0" r="0" b="0"/>
                      <wp:wrapNone/>
                      <wp:docPr id="227" name="Frame227"/>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32435" cy="175260"/>
                      <wp:effectExtent l="0" t="0" r="0" b="0"/>
                      <wp:wrapNone/>
                      <wp:docPr id="228" name="Frame228"/>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95935" cy="175260"/>
                      <wp:effectExtent l="0" t="0" r="0" b="0"/>
                      <wp:wrapNone/>
                      <wp:docPr id="231" name="Frame2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7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06"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At or For the Three Months Ended June 30, 2022</w:t>
            </w:r>
          </w:p>
        </w:tc>
      </w:tr>
      <w:tr>
        <w:trPr/>
        <w:tc>
          <w:tcPr>
            <w:tcW w:w="357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Real</w:t>
            </w:r>
          </w:p>
        </w:tc>
        <w:tc>
          <w:tcPr>
            <w:tcW w:w="326" w:type="dxa"/>
            <w:tcBorders/>
            <w:vAlign w:val="center"/>
          </w:tcPr>
          <w:p>
            <w:pPr>
              <w:pStyle w:val="TableContents"/>
              <w:bidi w:val="0"/>
              <w:spacing w:before="0" w:after="1"/>
              <w:ind w:left="0" w:right="0" w:hanging="0"/>
              <w:jc w:val="left"/>
              <w:rPr/>
            </w:pPr>
            <w:r>
              <w:rPr/>
              <w:t>    </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573"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 xml:space="preserve">ACL FOR LOANS </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Estate</w:t>
            </w:r>
          </w:p>
        </w:tc>
        <w:tc>
          <w:tcPr>
            <w:tcW w:w="326"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Consumer</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Business</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5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Beginning balance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10,560</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9,792</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3,013</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23,365</w:t>
            </w:r>
          </w:p>
        </w:tc>
      </w:tr>
      <w:tr>
        <w:trPr/>
        <w:tc>
          <w:tcPr>
            <w:tcW w:w="35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(reversal of) credit losses on loans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w:t>
            </w:r>
          </w:p>
        </w:tc>
      </w:tr>
      <w:tr>
        <w:trPr/>
        <w:tc>
          <w:tcPr>
            <w:tcW w:w="35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w:t>
            </w:r>
          </w:p>
        </w:tc>
      </w:tr>
      <w:tr>
        <w:trPr/>
        <w:tc>
          <w:tcPr>
            <w:tcW w:w="35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357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charge-offs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57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ending ACL balance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11,512</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10,605</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2,850</w:t>
            </w:r>
          </w:p>
        </w:tc>
        <w:tc>
          <w:tcPr>
            <w:tcW w:w="326" w:type="dxa"/>
            <w:tcBorders/>
            <w:vAlign w:val="center"/>
          </w:tcPr>
          <w:p>
            <w:pPr>
              <w:pStyle w:val="TableContents"/>
              <w:bidi w:val="0"/>
              <w:spacing w:before="0" w:after="1"/>
              <w:ind w:left="0" w:right="0" w:hanging="0"/>
              <w:jc w:val="left"/>
              <w:rPr/>
            </w:pPr>
            <w:r>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24,967</w:t>
            </w:r>
          </w:p>
        </w:tc>
      </w:tr>
    </w:tbl>
    <w:p>
      <w:pPr>
        <w:pStyle w:val="TextBody"/>
        <w:bidi w:val="0"/>
        <w:spacing w:before="0" w:after="200"/>
        <w:ind w:left="0" w:right="0" w:hanging="0"/>
        <w:jc w:val="both"/>
        <w:rPr/>
      </w:pPr>
      <w:r>
        <w:rPr/>
        <w:t>​</w:t>
      </w:r>
    </w:p>
    <w:tbl>
      <w:tblPr>
        <w:tblW w:w="9573" w:type="dxa"/>
        <w:jc w:val="left"/>
        <w:tblInd w:w="0" w:type="dxa"/>
        <w:tblLayout w:type="fixed"/>
        <w:tblCellMar>
          <w:top w:w="0" w:type="dxa"/>
          <w:left w:w="0" w:type="dxa"/>
          <w:bottom w:w="0" w:type="dxa"/>
          <w:right w:w="0" w:type="dxa"/>
        </w:tblCellMar>
      </w:tblPr>
      <w:tblGrid>
        <w:gridCol w:w="2941"/>
        <w:gridCol w:w="326"/>
        <w:gridCol w:w="211"/>
        <w:gridCol w:w="676"/>
        <w:gridCol w:w="326"/>
        <w:gridCol w:w="221"/>
        <w:gridCol w:w="710"/>
        <w:gridCol w:w="326"/>
        <w:gridCol w:w="295"/>
        <w:gridCol w:w="801"/>
        <w:gridCol w:w="326"/>
        <w:gridCol w:w="415"/>
        <w:gridCol w:w="681"/>
        <w:gridCol w:w="326"/>
        <w:gridCol w:w="211"/>
        <w:gridCol w:w="78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867535" cy="175260"/>
                      <wp:effectExtent l="0" t="0" r="0" b="0"/>
                      <wp:wrapNone/>
                      <wp:docPr id="232" name="Frame232"/>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29260" cy="175260"/>
                      <wp:effectExtent l="0" t="0" r="0" b="0"/>
                      <wp:wrapNone/>
                      <wp:docPr id="235" name="Frame2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40335" cy="175260"/>
                      <wp:effectExtent l="0" t="0" r="0" b="0"/>
                      <wp:wrapNone/>
                      <wp:docPr id="237" name="Frame23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50850" cy="175260"/>
                      <wp:effectExtent l="0" t="0" r="0" b="0"/>
                      <wp:wrapNone/>
                      <wp:docPr id="238" name="Frame238"/>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87325" cy="175260"/>
                      <wp:effectExtent l="0" t="0" r="0" b="0"/>
                      <wp:wrapNone/>
                      <wp:docPr id="240" name="Frame24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08635" cy="175260"/>
                      <wp:effectExtent l="0" t="0" r="0" b="0"/>
                      <wp:wrapNone/>
                      <wp:docPr id="241" name="Frame241"/>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63525" cy="175260"/>
                      <wp:effectExtent l="0" t="0" r="0" b="0"/>
                      <wp:wrapNone/>
                      <wp:docPr id="243" name="Frame243"/>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432435" cy="175260"/>
                      <wp:effectExtent l="0" t="0" r="0" b="0"/>
                      <wp:wrapNone/>
                      <wp:docPr id="244" name="Frame244"/>
                      <a:graphic xmlns:a="http://schemas.openxmlformats.org/drawingml/2006/main">
                        <a:graphicData uri="http://schemas.microsoft.com/office/word/2010/wordprocessingShape">
                          <wps:wsp>
                            <wps:cNvSpPr txBox="1"/>
                            <wps:spPr>
                              <a:xfrm>
                                <a:off x="0" y="0"/>
                                <a:ext cx="432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95935" cy="175260"/>
                      <wp:effectExtent l="0" t="0" r="0" b="0"/>
                      <wp:wrapNone/>
                      <wp:docPr id="247" name="Frame2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06"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At or For the Six Months Ended June 30, 2023</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Real</w:t>
            </w:r>
          </w:p>
        </w:tc>
        <w:tc>
          <w:tcPr>
            <w:tcW w:w="326" w:type="dxa"/>
            <w:tcBorders/>
            <w:vAlign w:val="center"/>
          </w:tcPr>
          <w:p>
            <w:pPr>
              <w:pStyle w:val="TableContents"/>
              <w:bidi w:val="0"/>
              <w:spacing w:before="0" w:after="1"/>
              <w:ind w:left="0" w:right="0" w:hanging="0"/>
              <w:jc w:val="left"/>
              <w:rPr/>
            </w:pPr>
            <w:r>
              <w:rPr/>
              <w:t>    </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1"/>
              <w:ind w:left="0" w:right="0" w:hanging="0"/>
              <w:jc w:val="left"/>
              <w:rPr/>
            </w:pPr>
            <w:r>
              <w:rPr/>
              <w:t>    </w:t>
            </w:r>
          </w:p>
        </w:tc>
        <w:tc>
          <w:tcPr>
            <w:tcW w:w="415"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ACL FOR LOANS</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Estate</w:t>
            </w:r>
          </w:p>
        </w:tc>
        <w:tc>
          <w:tcPr>
            <w:tcW w:w="326"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Consumer</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Business</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12,123</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12,109</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3,760</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27,992</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on loans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2,957</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6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3,418</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 </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(1,585)</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pPr>
            <w:r>
              <w:rPr/>
              <w:t> </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left"/>
              <w:rPr/>
            </w:pPr>
            <w:r>
              <w:rPr/>
              <w:t> </w:t>
            </w:r>
          </w:p>
        </w:tc>
        <w:tc>
          <w:tcPr>
            <w:tcW w:w="6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(1,596)</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Charge-offs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ending ACL balance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12,307</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14,017</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4,026</w:t>
            </w:r>
          </w:p>
        </w:tc>
        <w:tc>
          <w:tcPr>
            <w:tcW w:w="326" w:type="dxa"/>
            <w:tcBorders/>
            <w:vAlign w:val="center"/>
          </w:tcPr>
          <w:p>
            <w:pPr>
              <w:pStyle w:val="TableContents"/>
              <w:bidi w:val="0"/>
              <w:spacing w:before="0" w:after="1"/>
              <w:ind w:left="0" w:right="0" w:hanging="0"/>
              <w:jc w:val="left"/>
              <w:rPr/>
            </w:pPr>
            <w:r>
              <w:rPr/>
              <w:t>​</w:t>
            </w:r>
          </w:p>
        </w:tc>
        <w:tc>
          <w:tcPr>
            <w:tcW w:w="4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30,350</w:t>
            </w:r>
          </w:p>
        </w:tc>
      </w:tr>
    </w:tbl>
    <w:p>
      <w:pPr>
        <w:pStyle w:val="TextBody"/>
        <w:bidi w:val="0"/>
        <w:spacing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560"/>
        <w:gridCol w:w="326"/>
        <w:gridCol w:w="211"/>
        <w:gridCol w:w="688"/>
        <w:gridCol w:w="326"/>
        <w:gridCol w:w="221"/>
        <w:gridCol w:w="710"/>
        <w:gridCol w:w="326"/>
        <w:gridCol w:w="274"/>
        <w:gridCol w:w="822"/>
        <w:gridCol w:w="326"/>
        <w:gridCol w:w="393"/>
        <w:gridCol w:w="703"/>
        <w:gridCol w:w="326"/>
        <w:gridCol w:w="211"/>
        <w:gridCol w:w="782"/>
      </w:tblGrid>
      <w:tr>
        <w:trPr/>
        <w:tc>
          <w:tcPr>
            <w:tcW w:w="3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260600" cy="175260"/>
                      <wp:effectExtent l="0" t="0" r="0" b="0"/>
                      <wp:wrapNone/>
                      <wp:docPr id="248" name="Frame248"/>
                      <a:graphic xmlns:a="http://schemas.openxmlformats.org/drawingml/2006/main">
                        <a:graphicData uri="http://schemas.microsoft.com/office/word/2010/wordprocessingShape">
                          <wps:wsp>
                            <wps:cNvSpPr txBox="1"/>
                            <wps:spPr>
                              <a:xfrm>
                                <a:off x="0" y="0"/>
                                <a:ext cx="2260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36880" cy="175260"/>
                      <wp:effectExtent l="0" t="0" r="0" b="0"/>
                      <wp:wrapNone/>
                      <wp:docPr id="251" name="Frame251"/>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40335" cy="175260"/>
                      <wp:effectExtent l="0" t="0" r="0" b="0"/>
                      <wp:wrapNone/>
                      <wp:docPr id="253" name="Frame25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50850" cy="175260"/>
                      <wp:effectExtent l="0" t="0" r="0" b="0"/>
                      <wp:wrapNone/>
                      <wp:docPr id="254" name="Frame254"/>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73990" cy="175260"/>
                      <wp:effectExtent l="0" t="0" r="0" b="0"/>
                      <wp:wrapNone/>
                      <wp:docPr id="256" name="Frame256"/>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21970" cy="175260"/>
                      <wp:effectExtent l="0" t="0" r="0" b="0"/>
                      <wp:wrapNone/>
                      <wp:docPr id="257" name="Frame257"/>
                      <a:graphic xmlns:a="http://schemas.openxmlformats.org/drawingml/2006/main">
                        <a:graphicData uri="http://schemas.microsoft.com/office/word/2010/wordprocessingShape">
                          <wps:wsp>
                            <wps:cNvSpPr txBox="1"/>
                            <wps:spPr>
                              <a:xfrm>
                                <a:off x="0" y="0"/>
                                <a:ext cx="521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49555" cy="175260"/>
                      <wp:effectExtent l="0" t="0" r="0" b="0"/>
                      <wp:wrapNone/>
                      <wp:docPr id="259" name="Frame25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46405" cy="175260"/>
                      <wp:effectExtent l="0" t="0" r="0" b="0"/>
                      <wp:wrapNone/>
                      <wp:docPr id="260" name="Frame260"/>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33985" cy="175260"/>
                      <wp:effectExtent l="0" t="0" r="0" b="0"/>
                      <wp:wrapNone/>
                      <wp:docPr id="262" name="Frame2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96570" cy="175260"/>
                      <wp:effectExtent l="0" t="0" r="0" b="0"/>
                      <wp:wrapNone/>
                      <wp:docPr id="263" name="Frame263"/>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319"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At or For the Six Months Ended June 30, 2022</w:t>
            </w:r>
          </w:p>
        </w:tc>
      </w:tr>
      <w:tr>
        <w:trPr/>
        <w:tc>
          <w:tcPr>
            <w:tcW w:w="356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99"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Real</w:t>
            </w:r>
          </w:p>
        </w:tc>
        <w:tc>
          <w:tcPr>
            <w:tcW w:w="326" w:type="dxa"/>
            <w:tcBorders/>
            <w:vAlign w:val="center"/>
          </w:tcPr>
          <w:p>
            <w:pPr>
              <w:pStyle w:val="TableContents"/>
              <w:bidi w:val="0"/>
              <w:spacing w:before="0" w:after="1"/>
              <w:ind w:left="0" w:right="0" w:hanging="0"/>
              <w:jc w:val="left"/>
              <w:rPr/>
            </w:pPr>
            <w:r>
              <w:rPr/>
              <w:t>    </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1"/>
              <w:ind w:left="0" w:right="0" w:hanging="0"/>
              <w:jc w:val="left"/>
              <w:rPr/>
            </w:pPr>
            <w:r>
              <w:rPr/>
              <w:t>    </w:t>
            </w:r>
          </w:p>
        </w:tc>
        <w:tc>
          <w:tcPr>
            <w:tcW w:w="393"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left"/>
              <w:rPr/>
            </w:pPr>
            <w:r>
              <w:rPr/>
              <w:t>​</w:t>
            </w:r>
          </w:p>
        </w:tc>
      </w:tr>
      <w:tr>
        <w:trPr/>
        <w:tc>
          <w:tcPr>
            <w:tcW w:w="3560"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 xml:space="preserve">ACL FOR LOANS </w:t>
            </w:r>
          </w:p>
        </w:tc>
        <w:tc>
          <w:tcPr>
            <w:tcW w:w="326" w:type="dxa"/>
            <w:tcBorders/>
            <w:vAlign w:val="center"/>
          </w:tcPr>
          <w:p>
            <w:pPr>
              <w:pStyle w:val="TableContents"/>
              <w:bidi w:val="0"/>
              <w:spacing w:before="0" w:after="1"/>
              <w:ind w:left="0" w:right="0" w:hanging="0"/>
              <w:jc w:val="left"/>
              <w:rPr/>
            </w:pPr>
            <w:r>
              <w:rPr/>
              <w:t>​</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Estate</w:t>
            </w:r>
          </w:p>
        </w:tc>
        <w:tc>
          <w:tcPr>
            <w:tcW w:w="326" w:type="dxa"/>
            <w:tcBorders/>
            <w:vAlign w:val="center"/>
          </w:tcPr>
          <w:p>
            <w:pPr>
              <w:pStyle w:val="TableContents"/>
              <w:bidi w:val="0"/>
              <w:spacing w:before="0" w:after="1"/>
              <w:ind w:left="0" w:right="0" w:hanging="0"/>
              <w:jc w:val="left"/>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Consumer</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Business</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Unallocated</w:t>
            </w:r>
          </w:p>
        </w:tc>
        <w:tc>
          <w:tcPr>
            <w:tcW w:w="326" w:type="dxa"/>
            <w:tcBorders/>
            <w:vAlign w:val="center"/>
          </w:tcPr>
          <w:p>
            <w:pPr>
              <w:pStyle w:val="TableContents"/>
              <w:bidi w:val="0"/>
              <w:spacing w:before="0" w:after="1"/>
              <w:ind w:left="0" w:right="0" w:hanging="0"/>
              <w:jc w:val="left"/>
              <w:rPr/>
            </w:pPr>
            <w:r>
              <w:rPr/>
              <w:t>​</w:t>
            </w:r>
          </w:p>
        </w:tc>
        <w:tc>
          <w:tcPr>
            <w:tcW w:w="99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5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Beginning balance, prior to adoption of ASC 326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14,798</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4,280</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6,536</w:t>
            </w:r>
          </w:p>
        </w:tc>
        <w:tc>
          <w:tcPr>
            <w:tcW w:w="326"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25,635</w:t>
            </w:r>
          </w:p>
        </w:tc>
      </w:tr>
      <w:tr>
        <w:trPr/>
        <w:tc>
          <w:tcPr>
            <w:tcW w:w="35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Impact of adopting ASC 326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(5,234)</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6,078</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82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(3,682)</w:t>
            </w:r>
          </w:p>
        </w:tc>
        <w:tc>
          <w:tcPr>
            <w:tcW w:w="32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c>
          <w:tcPr>
            <w:tcW w:w="70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(2,859)</w:t>
            </w:r>
          </w:p>
        </w:tc>
      </w:tr>
      <w:tr>
        <w:trPr/>
        <w:tc>
          <w:tcPr>
            <w:tcW w:w="35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credit losses on loans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1,948</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pPr>
            <w:r>
              <w:rPr/>
              <w:t>​</w:t>
            </w:r>
          </w:p>
        </w:tc>
        <w:tc>
          <w:tcPr>
            <w:tcW w:w="82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7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2,471</w:t>
            </w:r>
          </w:p>
        </w:tc>
      </w:tr>
      <w:tr>
        <w:trPr/>
        <w:tc>
          <w:tcPr>
            <w:tcW w:w="35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26"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 </w:t>
            </w:r>
          </w:p>
        </w:tc>
        <w:tc>
          <w:tcPr>
            <w:tcW w:w="82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 </w:t>
            </w:r>
          </w:p>
        </w:tc>
        <w:tc>
          <w:tcPr>
            <w:tcW w:w="70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r>
      <w:tr>
        <w:trPr/>
        <w:tc>
          <w:tcPr>
            <w:tcW w:w="35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2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w:t>
            </w:r>
          </w:p>
        </w:tc>
      </w:tr>
      <w:tr>
        <w:trPr/>
        <w:tc>
          <w:tcPr>
            <w:tcW w:w="35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charge-offs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1"/>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r>
      <w:tr>
        <w:trPr/>
        <w:tc>
          <w:tcPr>
            <w:tcW w:w="35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ending ACL balance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11,512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10,605</w:t>
            </w:r>
          </w:p>
        </w:tc>
        <w:tc>
          <w:tcPr>
            <w:tcW w:w="326" w:type="dxa"/>
            <w:tcBorders/>
            <w:shd w:fill="CCEEFF" w:val="clear"/>
            <w:vAlign w:val="center"/>
          </w:tcPr>
          <w:p>
            <w:pPr>
              <w:pStyle w:val="TableContents"/>
              <w:bidi w:val="0"/>
              <w:spacing w:before="0" w:after="1"/>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2,850</w:t>
            </w:r>
          </w:p>
        </w:tc>
        <w:tc>
          <w:tcPr>
            <w:tcW w:w="326" w:type="dxa"/>
            <w:tcBorders/>
            <w:shd w:fill="CCEEFF" w:val="clear"/>
            <w:vAlign w:val="center"/>
          </w:tcPr>
          <w:p>
            <w:pPr>
              <w:pStyle w:val="TableContents"/>
              <w:bidi w:val="0"/>
              <w:spacing w:before="0" w:after="1"/>
              <w:ind w:left="0" w:right="0" w:hanging="0"/>
              <w:jc w:val="left"/>
              <w:rPr/>
            </w:pPr>
            <w:r>
              <w:rPr/>
              <w:t>​</w:t>
            </w:r>
          </w:p>
        </w:tc>
        <w:tc>
          <w:tcPr>
            <w:tcW w:w="39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24,967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1536" w:name="Tc_xg88RUIPTEOXTCCEg64GRA_21_20"/>
      <w:bookmarkStart w:id="1537" w:name="Tc_1OK3QwVxBkOkdQZqCPChKQ_21_17"/>
      <w:bookmarkStart w:id="1538" w:name="Tc_tMpHBRj6EU6xj1eUAwh0wg_21_14"/>
      <w:bookmarkStart w:id="1539" w:name="Tc_qmQ4eL5a5Ui9O9l_luyrLg_21_11"/>
      <w:bookmarkStart w:id="1540" w:name="Tc_0sdC7halgEWtwre-OyFtAA_21_8"/>
      <w:bookmarkStart w:id="1541" w:name="Tc_eoKd6JBve0Oneoru8183cg_21_5"/>
      <w:bookmarkStart w:id="1542" w:name="Tc_InG1GDUpj0eMOwdwgeDMiw_21_2"/>
      <w:bookmarkStart w:id="1543" w:name="Tc_aDp7JnJs-0Sr27sO3S2CRw_21_0"/>
      <w:bookmarkStart w:id="1544" w:name="Tc_R-fDIAODyEycgbJlYZAr-g_20_6"/>
      <w:bookmarkStart w:id="1545" w:name="Tc_OZQl7cHX3EqbYJaqxpr5Sw_20_3"/>
      <w:bookmarkStart w:id="1546" w:name="Tc_YU-OWAmxqkKX9kqouleH4w_20_0"/>
      <w:bookmarkStart w:id="1547" w:name="Tc_x5-QAaze3UmwsktesmGSFg_19_21"/>
      <w:bookmarkStart w:id="1548" w:name="Tc_5zvjOnag70KLmkKKk4inHQ_19_12"/>
      <w:bookmarkStart w:id="1549" w:name="Tc_u_sISqwcW0216sItgmhJqQ_19_9"/>
      <w:bookmarkStart w:id="1550" w:name="Tc_Y4OPo05d40qA3Dwsb8wVNg_19_6"/>
      <w:bookmarkStart w:id="1551" w:name="Tc_F0LlhpcZb0qkw0CwlQf02w_19_3"/>
      <w:bookmarkStart w:id="1552" w:name="Tc_w4waDC8bw02VKZ6ROHurkA_19_0"/>
      <w:bookmarkStart w:id="1553" w:name="Tc_AG3ZZVZQTEyWOSygPLU_bg_18_6"/>
      <w:bookmarkStart w:id="1554" w:name="Tc_rAjGHetVhE-IUXF-eJQT8Q_18_3"/>
      <w:bookmarkStart w:id="1555" w:name="Tc_KVGG97yD3UWGvOKZC6ANfg_18_0"/>
      <w:bookmarkStart w:id="1556" w:name="Tc_jXTRp9jnbEmbvyncEPlO7A_17_0"/>
      <w:bookmarkStart w:id="1557" w:name="Tc_o-gToQiUakSwd0gXkUTmgA_16_0"/>
      <w:bookmarkStart w:id="1558" w:name="Tc_JisgITyUlEOi4JaNcsHq3Q_15_9"/>
      <w:bookmarkStart w:id="1559" w:name="Tc_drEuU2u7JUifZ3ABDhhy3g_15_0"/>
      <w:bookmarkStart w:id="1560" w:name="Tc_McAPVhixnEqkM5A9thNT1w_14_0"/>
      <w:bookmarkStart w:id="1561" w:name="Tc_GyZ_Kv5_B0Ol5h8TjIVMEA_13_0"/>
      <w:bookmarkStart w:id="1562" w:name="Tc_ys_-KTIeRU6ylftKQxCmvA_12_0"/>
      <w:bookmarkStart w:id="1563" w:name="Tc_mTOPtmyqDUK3T2Iey3uhGA_11_0"/>
      <w:bookmarkStart w:id="1564" w:name="Tc_0HfN5dsw0E2ma8qUh-8Qrw_10_21"/>
      <w:bookmarkStart w:id="1565" w:name="Tc_peOs7pDtaUieyTHPAjcuOw_10_12"/>
      <w:bookmarkStart w:id="1566" w:name="Tc_h3IcvofCAkGkeA9EUDDVXg_10_9"/>
      <w:bookmarkStart w:id="1567" w:name="Tc_xgiNF07XzUyqP_nEawYaAA_10_6"/>
      <w:bookmarkStart w:id="1568" w:name="Tc_JKL8PpPnMk268vkY7sm1Lg_10_3"/>
      <w:bookmarkStart w:id="1569" w:name="Tc_baONPFBGwE-p0fvqMgAjdQ_10_0"/>
      <w:bookmarkStart w:id="1570" w:name="Tc_PEnzBgXwlkuSpz7y82REAw_9_6"/>
      <w:bookmarkStart w:id="1571" w:name="Tc_KVwdVlnaYk2_bF8Np8HBBQ_9_3"/>
      <w:bookmarkStart w:id="1572" w:name="Tc_xQTxyxmczk68krY5Vb6uAA_9_0"/>
      <w:bookmarkStart w:id="1573" w:name="Tc_AL-_3km_dEqRkcIaAbfW8A_8_0"/>
      <w:bookmarkStart w:id="1574" w:name="Tc_R6_joYcbBkeKY5ZQmJxypA_7_21"/>
      <w:bookmarkStart w:id="1575" w:name="Tc_hJO3AeX5GEus8qvLkO6CvQ_7_12"/>
      <w:bookmarkStart w:id="1576" w:name="Tc_vpA2w6jVF0qWlQ1CewCtHg_7_9"/>
      <w:bookmarkStart w:id="1577" w:name="Tc_rdGMjtGvdUm8zk4LUTzTtg_7_6"/>
      <w:bookmarkStart w:id="1578" w:name="Tc_auESchbu6UKA40z2LjvyJQ_7_3"/>
      <w:bookmarkStart w:id="1579" w:name="Tc_5VAiRMoklUOeU3hJxQTM0g_7_0"/>
      <w:bookmarkStart w:id="1580" w:name="Tc_DzWfQoRXFESfMf2jgDLnKw_6_20"/>
      <w:bookmarkStart w:id="1581" w:name="Tc_RSAz7DBHO0SuFIPosT3QBg_6_17"/>
      <w:bookmarkStart w:id="1582" w:name="Tc_nwPO8JY18k20g4qqHGx_FQ_6_14"/>
      <w:bookmarkStart w:id="1583" w:name="Tc_AyEolAHRxk-KlLOYGlqb7g_6_12"/>
      <w:bookmarkStart w:id="1584" w:name="Tc_LhqUbxhu_Ui_5Vit1Naz4Q_6_11"/>
      <w:bookmarkStart w:id="1585" w:name="Tc_MhnwkWaytkiX9QI_COAaqw_6_9"/>
      <w:bookmarkStart w:id="1586" w:name="Tc_h4Yj97t1TEuJGQF7nGiknw_6_8"/>
      <w:bookmarkStart w:id="1587" w:name="Tc_lRKjOtSa0kG6_K--yOM8_Q_6_6"/>
      <w:bookmarkStart w:id="1588" w:name="Tc_M9m5tPhb40erUfX9LSYC-g_6_5"/>
      <w:bookmarkStart w:id="1589" w:name="Tc_eS2KO15iQEOz0GOy1B6v-w_6_3"/>
      <w:bookmarkStart w:id="1590" w:name="Tc_WOT1yMDGDkuZaucLCh5_YQ_6_2"/>
      <w:bookmarkStart w:id="1591" w:name="Tc_jpoq6tXGFEu_O0KTXj81lg_6_0"/>
      <w:bookmarkStart w:id="1592" w:name="Tc_ORK20JGfhkuEvAYeZ_JQJg_5_20"/>
      <w:bookmarkStart w:id="1593" w:name="Tc_XXAET193SUK_YTI1cgneiQ_5_17"/>
      <w:bookmarkStart w:id="1594" w:name="Tc_5HHAgP6zT0-4TmlNTd0juw_5_14"/>
      <w:bookmarkStart w:id="1595" w:name="Tc_KViPHxWAlUOhXncHQfBNrQ_5_11"/>
      <w:bookmarkStart w:id="1596" w:name="Tc_tAdz5kcrpEC_3g6r4NRs1Q_5_8"/>
      <w:bookmarkStart w:id="1597" w:name="Tc_0xU6bcxJjkaScw7-rbpWhg_5_5"/>
      <w:bookmarkStart w:id="1598" w:name="Tc_Zim07MmurECkTDqLZ6jdEA_5_2"/>
      <w:bookmarkStart w:id="1599" w:name="Tc_crYe6H3_cEGOcX9K0Ser6w_5_0"/>
      <w:bookmarkStart w:id="1600" w:name="Tc_d6zf9AljrECjBkGlT5YKag_4_20"/>
      <w:bookmarkStart w:id="1601" w:name="Tc_rx99BYQnC0yjkZVuWOhKuQ_4_17"/>
      <w:bookmarkStart w:id="1602" w:name="Tc_JVQiBZyi-E-U-_vlSpy7-Q_4_11"/>
      <w:bookmarkStart w:id="1603" w:name="Tc_sVHm-IIceU69uCLU8nT2aw_4_8"/>
      <w:bookmarkStart w:id="1604" w:name="Tc_aY7ebyJOA06TEEBY35_QsQ_4_5"/>
      <w:bookmarkStart w:id="1605" w:name="Tc_EQLhH1Tq5kKr7MyBBI7zIw_4_2"/>
      <w:bookmarkStart w:id="1606" w:name="Tc_EJd-4dBqV0iS-0GbOJ-sKQ_3_17"/>
      <w:bookmarkStart w:id="1607" w:name="Tc_wrMIPsyzMk6dRPJEpTCpvg_3_11"/>
      <w:bookmarkStart w:id="1608" w:name="Tc_qvwFgSmU6EqqKeYr-WzJlg_3_8"/>
      <w:bookmarkStart w:id="1609" w:name="Tc_utWQuoSobEaZ6hlMfvAEsw_3_5"/>
      <w:bookmarkStart w:id="1610" w:name="Tc_oAYWLoYCwUaLp59dMN_31Q_3_2"/>
      <w:bookmarkStart w:id="1611" w:name="Tc_yuM1wKCplEyNE-mKrFDGlA_2_5"/>
      <w:bookmarkStart w:id="1612" w:name="Tc_sSU86DR-MU2Znacz3jqPSw_2_2"/>
      <w:bookmarkStart w:id="1613" w:name="Tc_qQrVKMYXS0usxL_VO2d9NQ_1_2"/>
      <w:bookmarkStart w:id="1614" w:name="_71626249_b067_4f94_b4c7_35d1f55b2fca"/>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r>
        <w:rPr>
          <w:rFonts w:ascii="Times New Roman;Times;serif" w:hAnsi="Times New Roman;Times;serif"/>
          <w:i/>
          <w:sz w:val="20"/>
        </w:rPr>
        <w:t>Nonaccrual and Past Due Loans</w:t>
      </w:r>
      <w:r>
        <w:rPr>
          <w:rFonts w:ascii="Times New Roman;Times;serif" w:hAnsi="Times New Roman;Times;serif"/>
          <w:sz w:val="20"/>
        </w:rPr>
        <w:t>. Loans are considered past due if the required principal and interest payments have not been received as of the date such payments were due. Loans are automatically placed on nonaccrual once the loan is 90 days past due or sooner if, in management’s opinion, the borrower may be unable to meet payment obligations as they become due, or as required by regulatory authorities.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Loan Modifications to Borrowers Experiencing Financial Difficulty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may agree to modify the contractual terms of a loan to a borrower experiencing financial difficulty as a part of ongoing loss mitigation strategies. These modifications may result in an interest rate reduction, term extension, an other-than-insignificant payment delay, or a combination thereof. The Company typically does not offer principal forgiveness.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restructured two related C&amp;I loans during the first quarter of 2023. The restructuring included a consolidation of the loans into a single loan, an increase in contractual term of 60 months, and a reduction in the contractual interest rate from 7.5% to 4.1%. The loan had an amortized cost of $3.5 million or 1.4% of C&amp;I loans, at June 30, 2023. The restructured loan has been paid as agreed subsequent to the restructuring, however, was classified as current and nonaccrual as of June 30, 2023, and individually evaluated in the determination of the associated ACL for loans. There were no loans that were modified on or after January 1, 2023, the date the Company adopted ASU 2022–02, through June 30, 2023 that subsequently defaulted during the period presented.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Troubled Debt Restructurings (“TDRs”)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 June 30, 2022, the Company had no TDRs. There were no TDRs which incurred a payment default within twelve months of the restructuring date during the three and six months ended June 30, 2022.</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tables provide information pertaining to the aging analysis of contractually past due loans and nonaccrual loans at June 30, 2023 and December 31, 2022:</w:t>
      </w:r>
    </w:p>
    <w:p>
      <w:pPr>
        <w:pStyle w:val="TextBody"/>
        <w:bidi w:val="0"/>
        <w:spacing w:before="0" w:after="0"/>
        <w:ind w:left="0" w:right="0" w:hanging="0"/>
        <w:jc w:val="left"/>
        <w:rPr/>
      </w:pPr>
      <w:r>
        <w:rPr/>
        <w:t>​</w:t>
      </w:r>
    </w:p>
    <w:tbl>
      <w:tblPr>
        <w:tblW w:w="10321" w:type="dxa"/>
        <w:jc w:val="left"/>
        <w:tblInd w:w="0" w:type="dxa"/>
        <w:tblLayout w:type="fixed"/>
        <w:tblCellMar>
          <w:top w:w="0" w:type="dxa"/>
          <w:left w:w="0" w:type="dxa"/>
          <w:bottom w:w="0" w:type="dxa"/>
          <w:right w:w="0" w:type="dxa"/>
        </w:tblCellMar>
      </w:tblPr>
      <w:tblGrid>
        <w:gridCol w:w="1651"/>
        <w:gridCol w:w="326"/>
        <w:gridCol w:w="211"/>
        <w:gridCol w:w="571"/>
        <w:gridCol w:w="326"/>
        <w:gridCol w:w="211"/>
        <w:gridCol w:w="571"/>
        <w:gridCol w:w="326"/>
        <w:gridCol w:w="234"/>
        <w:gridCol w:w="637"/>
        <w:gridCol w:w="326"/>
        <w:gridCol w:w="211"/>
        <w:gridCol w:w="571"/>
        <w:gridCol w:w="326"/>
        <w:gridCol w:w="211"/>
        <w:gridCol w:w="931"/>
        <w:gridCol w:w="326"/>
        <w:gridCol w:w="211"/>
        <w:gridCol w:w="931"/>
        <w:gridCol w:w="326"/>
        <w:gridCol w:w="211"/>
        <w:gridCol w:w="676"/>
      </w:tblGrid>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44"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r>
      <w:tr>
        <w:trPr/>
        <w:tc>
          <w:tcPr>
            <w:tcW w:w="16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30-59</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60-89</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Days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Days</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 Days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Past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Past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or More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Past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Loans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REAL ESTATE LOANS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Due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Due</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Past Due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Due</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Receivable</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Accrual </w:t>
            </w:r>
            <w:r>
              <w:rPr>
                <w:rFonts w:ascii="Times New Roman;Times;serif" w:hAnsi="Times New Roman;Times;serif"/>
                <w:sz w:val="15"/>
              </w:rPr>
              <w:t>(1)</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312,093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312,093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One-to-four-family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loans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1,470,416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1,470,814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CONSUMER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Indirect home improvement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554,949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557,818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consumer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630,739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633,908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COMMERCIAL BUSINESS LOANS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237,403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5,645</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Warehouse lending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business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265,935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5,645</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loans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2,367,090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2,372,774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9,272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615" w:name="Tc_cR150borfUKBmvicHD621A_21_20"/>
      <w:bookmarkStart w:id="1616" w:name="Tc_VI8_vw-qDUKOwbzD70X4Qw_21_17"/>
      <w:bookmarkStart w:id="1617" w:name="Tc_VIkUOdr0W0KJ8xDMlpMPXA_21_14"/>
      <w:bookmarkStart w:id="1618" w:name="Tc_vdmdryVVf0WPBInMkD6WaQ_21_11"/>
      <w:bookmarkStart w:id="1619" w:name="Tc_-otwOfqWL0qNWUELV4U-FA_21_8"/>
      <w:bookmarkStart w:id="1620" w:name="Tc_Omy7WgT7hUemNW_CgCfhUQ_21_5"/>
      <w:bookmarkStart w:id="1621" w:name="Tc_VbFotVBI-0COMeoRV0c1Ww_21_2"/>
      <w:bookmarkStart w:id="1622" w:name="Tc_n6qGqaMm0EOWIRxbVdPl3w_21_0"/>
      <w:bookmarkStart w:id="1623" w:name="Tc_Fpzsq0EZhUizhAIrRTxSZQ_20_6"/>
      <w:bookmarkStart w:id="1624" w:name="Tc_gNVYNxo1B0iHcl6xJMKHZA_20_0"/>
      <w:bookmarkStart w:id="1625" w:name="Tc_BgsPlPnmckGnbh_-vHEbRA_19_21"/>
      <w:bookmarkStart w:id="1626" w:name="Tc_CaAARfdLIUWgQcrYimtQTQ_19_12"/>
      <w:bookmarkStart w:id="1627" w:name="Tc_IOWI6vjblkivQHuAKoHkBg_19_9"/>
      <w:bookmarkStart w:id="1628" w:name="Tc_Vvfk8PtGekOpdr3MVkAeeQ_19_6"/>
      <w:bookmarkStart w:id="1629" w:name="Tc_VJCnukBiCU6rj6udaJT4Ng_19_3"/>
      <w:bookmarkStart w:id="1630" w:name="Tc_Ay_UDVirKEi4uxbNNSn3BA_19_0"/>
      <w:bookmarkStart w:id="1631" w:name="Tc_1UytUmSLl0ixmTvvdZYUHQ_18_6"/>
      <w:bookmarkStart w:id="1632" w:name="Tc_cu30Ln4shEKjA9oegiQvdg_18_0"/>
      <w:bookmarkStart w:id="1633" w:name="Tc_6xFzQ8t5J0ubZC8VrzRmnA_17_0"/>
      <w:bookmarkStart w:id="1634" w:name="Tc_VTstBP2rVkO6wCe2w_E6Qw_16_0"/>
      <w:bookmarkStart w:id="1635" w:name="Tc_w-90KUBF_0-Nc9OUT49fnQ_15_0"/>
      <w:bookmarkStart w:id="1636" w:name="Tc_LrdGOGHXq06FuLwKRHvLUw_14_0"/>
      <w:bookmarkStart w:id="1637" w:name="Tc_QxEftRTvZ0yhhlC5qtpyew_13_0"/>
      <w:bookmarkStart w:id="1638" w:name="Tc_EN6v_AFzmk-SmNzbRqqHPA_12_0"/>
      <w:bookmarkStart w:id="1639" w:name="Tc_C6oi2rHQSEi4VHrdUj4Vmw_11_0"/>
      <w:bookmarkStart w:id="1640" w:name="Tc_3wXDvSJ18EG0gs81pbnbLg_10_21"/>
      <w:bookmarkStart w:id="1641" w:name="Tc_fvR10Y55OEq8qQAieGyhQw_10_12"/>
      <w:bookmarkStart w:id="1642" w:name="Tc_V_B1_zmpUEup7TDqeaY8Og_10_9"/>
      <w:bookmarkStart w:id="1643" w:name="Tc_ggKpMIuhw0-nOYXh6Dh9GQ_10_6"/>
      <w:bookmarkStart w:id="1644" w:name="Tc_91W2jHRd70W7huAyz5xNlQ_10_3"/>
      <w:bookmarkStart w:id="1645" w:name="Tc_-txNkA8yrkSrd7Agwtd54Q_10_0"/>
      <w:bookmarkStart w:id="1646" w:name="Tc_Nm3ggLeD1U2jf8Xe7SEpvw_9_6"/>
      <w:bookmarkStart w:id="1647" w:name="Tc_vYFSbbmW9EaTpkB5LifNEw_9_3"/>
      <w:bookmarkStart w:id="1648" w:name="Tc_iE19DJT5l0-r7FVBlJzDVQ_9_0"/>
      <w:bookmarkStart w:id="1649" w:name="Tc_dTqpmxYGv0G_M7EkwdGF0Q_8_0"/>
      <w:bookmarkStart w:id="1650" w:name="Tc_g7wKIRBLaUOngOpumzz4yA_7_21"/>
      <w:bookmarkStart w:id="1651" w:name="Tc_hKMsMjS63E-qzdTfINwoVg_7_12"/>
      <w:bookmarkStart w:id="1652" w:name="Tc_-7bTs69ol0S19ktX7QaEAQ_7_9"/>
      <w:bookmarkStart w:id="1653" w:name="Tc__LMUGXfRz0WUGLs5NNOl9Q_7_6"/>
      <w:bookmarkStart w:id="1654" w:name="Tc_SLk8CMZF5UaiTQ1JqOhcFg_7_3"/>
      <w:bookmarkStart w:id="1655" w:name="Tc_HhWTTfj7nEmXMzCkbPQn4A_7_0"/>
      <w:bookmarkStart w:id="1656" w:name="Tc_kHTGpbh9HUSSjUzR3k3zvw_6_21"/>
      <w:bookmarkStart w:id="1657" w:name="Tc_PmoV-M3F8U2u8UAqskavlg_6_20"/>
      <w:bookmarkStart w:id="1658" w:name="Tc_d2KF3xl4lUuA9rKpZUN1ZA_6_17"/>
      <w:bookmarkStart w:id="1659" w:name="Tc_fqrVS0D8g0KMbUtvHV0c1Q_6_14"/>
      <w:bookmarkStart w:id="1660" w:name="Tc_JiCtUdLOMEekLig5we3JxQ_6_12"/>
      <w:bookmarkStart w:id="1661" w:name="Tc_26n9p8ZhCU6y8GDfYBcLOw_6_11"/>
      <w:bookmarkStart w:id="1662" w:name="Tc_XNLX93_EB0KymGRLfQ9rbQ_6_9"/>
      <w:bookmarkStart w:id="1663" w:name="Tc_gKSS1FaY00afnodqHJzGWQ_6_8"/>
      <w:bookmarkStart w:id="1664" w:name="Tc_-AyhVLe_oUOnn2MXAUclEQ_6_6"/>
      <w:bookmarkStart w:id="1665" w:name="Tc_kKZqIJuRSU2JOHG_xqyxbw_6_5"/>
      <w:bookmarkStart w:id="1666" w:name="Tc_2TtKgTcQW0-F-2o42X6C2Q_6_3"/>
      <w:bookmarkStart w:id="1667" w:name="Tc_BGOoZm1NfE-fiObauWk9yA_6_2"/>
      <w:bookmarkStart w:id="1668" w:name="Tc_q2PBFJn0X02y7fmLvtm_qA_6_0"/>
      <w:bookmarkStart w:id="1669" w:name="Tc_2yZ_6SO4EkmEhz6tvg4Aaw_5_20"/>
      <w:bookmarkStart w:id="1670" w:name="Tc_b6LdXInpVkqQItuPpHjXXg_5_17"/>
      <w:bookmarkStart w:id="1671" w:name="Tc_md8q3QJB1EuelFK4PfwxvA_5_14"/>
      <w:bookmarkStart w:id="1672" w:name="Tc_LtOVOQMUIEahfoAzbB7qnQ_5_11"/>
      <w:bookmarkStart w:id="1673" w:name="Tc_g4WdWw2ucEO1pSyosw3bBA_5_8"/>
      <w:bookmarkStart w:id="1674" w:name="Tc_yW5EZfOu0ESMVFgYDuQxiA_5_5"/>
      <w:bookmarkStart w:id="1675" w:name="Tc_sY-yJiCkL0KMNIvHyEHMNw_5_2"/>
      <w:bookmarkStart w:id="1676" w:name="Tc_jgWzv7d0tka7jVwLN2c4Og_5_0"/>
      <w:bookmarkStart w:id="1677" w:name="Tc_IEU4pPCxXUS9t6tEsWU9fA_4_20"/>
      <w:bookmarkStart w:id="1678" w:name="Tc_-EK9lFsXREyFoGg9ho4Sbg_4_17"/>
      <w:bookmarkStart w:id="1679" w:name="Tc_HmCDaSLgok-tTLpV5DJCiQ_4_11"/>
      <w:bookmarkStart w:id="1680" w:name="Tc_y7E1dZpbjkOqXsShyve2Ow_4_8"/>
      <w:bookmarkStart w:id="1681" w:name="Tc_wFO5Ef7P3E6tRHsfmiUouw_4_5"/>
      <w:bookmarkStart w:id="1682" w:name="Tc_R7rcpixdmU2ybTpbZ-Nv-g_4_2"/>
      <w:bookmarkStart w:id="1683" w:name="Tc_DKde2soWrUiz3cornBgYhQ_3_17"/>
      <w:bookmarkStart w:id="1684" w:name="Tc_5jNFKs61Xk6fyAURltlM_g_3_11"/>
      <w:bookmarkStart w:id="1685" w:name="Tc_I6KxUbA6lkqufyD8f_kD-w_3_8"/>
      <w:bookmarkStart w:id="1686" w:name="Tc_DJf_6IHx1UOR9iIwuEl_lw_3_5"/>
      <w:bookmarkStart w:id="1687" w:name="Tc_zXu_nzKTmESpJ65AWYYkCw_3_2"/>
      <w:bookmarkStart w:id="1688" w:name="Tc_jpJUe1PJ502EM9nicdzj0Q_2_5"/>
      <w:bookmarkStart w:id="1689" w:name="Tc_BtNnnz5uwkuJZ7jqQYoZHA_2_2"/>
      <w:bookmarkStart w:id="1690" w:name="Tc_gvwwVHgNzkq3JmI1USdcGg_1_2"/>
      <w:bookmarkStart w:id="1691" w:name="_43aa8d75_2679_4e52_b637_d14a5744a858"/>
      <w:bookmarkStart w:id="1692" w:name="Tc_cR150borfUKBmvicHD621A_21_20"/>
      <w:bookmarkStart w:id="1693" w:name="Tc_VI8_vw-qDUKOwbzD70X4Qw_21_17"/>
      <w:bookmarkStart w:id="1694" w:name="Tc_VIkUOdr0W0KJ8xDMlpMPXA_21_14"/>
      <w:bookmarkStart w:id="1695" w:name="Tc_vdmdryVVf0WPBInMkD6WaQ_21_11"/>
      <w:bookmarkStart w:id="1696" w:name="Tc_-otwOfqWL0qNWUELV4U-FA_21_8"/>
      <w:bookmarkStart w:id="1697" w:name="Tc_Omy7WgT7hUemNW_CgCfhUQ_21_5"/>
      <w:bookmarkStart w:id="1698" w:name="Tc_VbFotVBI-0COMeoRV0c1Ww_21_2"/>
      <w:bookmarkStart w:id="1699" w:name="Tc_n6qGqaMm0EOWIRxbVdPl3w_21_0"/>
      <w:bookmarkStart w:id="1700" w:name="Tc_Fpzsq0EZhUizhAIrRTxSZQ_20_6"/>
      <w:bookmarkStart w:id="1701" w:name="Tc_gNVYNxo1B0iHcl6xJMKHZA_20_0"/>
      <w:bookmarkStart w:id="1702" w:name="Tc_BgsPlPnmckGnbh_-vHEbRA_19_21"/>
      <w:bookmarkStart w:id="1703" w:name="Tc_CaAARfdLIUWgQcrYimtQTQ_19_12"/>
      <w:bookmarkStart w:id="1704" w:name="Tc_IOWI6vjblkivQHuAKoHkBg_19_9"/>
      <w:bookmarkStart w:id="1705" w:name="Tc_Vvfk8PtGekOpdr3MVkAeeQ_19_6"/>
      <w:bookmarkStart w:id="1706" w:name="Tc_VJCnukBiCU6rj6udaJT4Ng_19_3"/>
      <w:bookmarkStart w:id="1707" w:name="Tc_Ay_UDVirKEi4uxbNNSn3BA_19_0"/>
      <w:bookmarkStart w:id="1708" w:name="Tc_1UytUmSLl0ixmTvvdZYUHQ_18_6"/>
      <w:bookmarkStart w:id="1709" w:name="Tc_cu30Ln4shEKjA9oegiQvdg_18_0"/>
      <w:bookmarkStart w:id="1710" w:name="Tc_6xFzQ8t5J0ubZC8VrzRmnA_17_0"/>
      <w:bookmarkStart w:id="1711" w:name="Tc_VTstBP2rVkO6wCe2w_E6Qw_16_0"/>
      <w:bookmarkStart w:id="1712" w:name="Tc_w-90KUBF_0-Nc9OUT49fnQ_15_0"/>
      <w:bookmarkStart w:id="1713" w:name="Tc_LrdGOGHXq06FuLwKRHvLUw_14_0"/>
      <w:bookmarkStart w:id="1714" w:name="Tc_QxEftRTvZ0yhhlC5qtpyew_13_0"/>
      <w:bookmarkStart w:id="1715" w:name="Tc_EN6v_AFzmk-SmNzbRqqHPA_12_0"/>
      <w:bookmarkStart w:id="1716" w:name="Tc_C6oi2rHQSEi4VHrdUj4Vmw_11_0"/>
      <w:bookmarkStart w:id="1717" w:name="Tc_3wXDvSJ18EG0gs81pbnbLg_10_21"/>
      <w:bookmarkStart w:id="1718" w:name="Tc_fvR10Y55OEq8qQAieGyhQw_10_12"/>
      <w:bookmarkStart w:id="1719" w:name="Tc_V_B1_zmpUEup7TDqeaY8Og_10_9"/>
      <w:bookmarkStart w:id="1720" w:name="Tc_ggKpMIuhw0-nOYXh6Dh9GQ_10_6"/>
      <w:bookmarkStart w:id="1721" w:name="Tc_91W2jHRd70W7huAyz5xNlQ_10_3"/>
      <w:bookmarkStart w:id="1722" w:name="Tc_-txNkA8yrkSrd7Agwtd54Q_10_0"/>
      <w:bookmarkStart w:id="1723" w:name="Tc_Nm3ggLeD1U2jf8Xe7SEpvw_9_6"/>
      <w:bookmarkStart w:id="1724" w:name="Tc_vYFSbbmW9EaTpkB5LifNEw_9_3"/>
      <w:bookmarkStart w:id="1725" w:name="Tc_iE19DJT5l0-r7FVBlJzDVQ_9_0"/>
      <w:bookmarkStart w:id="1726" w:name="Tc_dTqpmxYGv0G_M7EkwdGF0Q_8_0"/>
      <w:bookmarkStart w:id="1727" w:name="Tc_g7wKIRBLaUOngOpumzz4yA_7_21"/>
      <w:bookmarkStart w:id="1728" w:name="Tc_hKMsMjS63E-qzdTfINwoVg_7_12"/>
      <w:bookmarkStart w:id="1729" w:name="Tc_-7bTs69ol0S19ktX7QaEAQ_7_9"/>
      <w:bookmarkStart w:id="1730" w:name="Tc__LMUGXfRz0WUGLs5NNOl9Q_7_6"/>
      <w:bookmarkStart w:id="1731" w:name="Tc_SLk8CMZF5UaiTQ1JqOhcFg_7_3"/>
      <w:bookmarkStart w:id="1732" w:name="Tc_HhWTTfj7nEmXMzCkbPQn4A_7_0"/>
      <w:bookmarkStart w:id="1733" w:name="Tc_kHTGpbh9HUSSjUzR3k3zvw_6_21"/>
      <w:bookmarkStart w:id="1734" w:name="Tc_PmoV-M3F8U2u8UAqskavlg_6_20"/>
      <w:bookmarkStart w:id="1735" w:name="Tc_d2KF3xl4lUuA9rKpZUN1ZA_6_17"/>
      <w:bookmarkStart w:id="1736" w:name="Tc_fqrVS0D8g0KMbUtvHV0c1Q_6_14"/>
      <w:bookmarkStart w:id="1737" w:name="Tc_JiCtUdLOMEekLig5we3JxQ_6_12"/>
      <w:bookmarkStart w:id="1738" w:name="Tc_26n9p8ZhCU6y8GDfYBcLOw_6_11"/>
      <w:bookmarkStart w:id="1739" w:name="Tc_XNLX93_EB0KymGRLfQ9rbQ_6_9"/>
      <w:bookmarkStart w:id="1740" w:name="Tc_gKSS1FaY00afnodqHJzGWQ_6_8"/>
      <w:bookmarkStart w:id="1741" w:name="Tc_-AyhVLe_oUOnn2MXAUclEQ_6_6"/>
      <w:bookmarkStart w:id="1742" w:name="Tc_kKZqIJuRSU2JOHG_xqyxbw_6_5"/>
      <w:bookmarkStart w:id="1743" w:name="Tc_2TtKgTcQW0-F-2o42X6C2Q_6_3"/>
      <w:bookmarkStart w:id="1744" w:name="Tc_BGOoZm1NfE-fiObauWk9yA_6_2"/>
      <w:bookmarkStart w:id="1745" w:name="Tc_q2PBFJn0X02y7fmLvtm_qA_6_0"/>
      <w:bookmarkStart w:id="1746" w:name="Tc_2yZ_6SO4EkmEhz6tvg4Aaw_5_20"/>
      <w:bookmarkStart w:id="1747" w:name="Tc_b6LdXInpVkqQItuPpHjXXg_5_17"/>
      <w:bookmarkStart w:id="1748" w:name="Tc_md8q3QJB1EuelFK4PfwxvA_5_14"/>
      <w:bookmarkStart w:id="1749" w:name="Tc_LtOVOQMUIEahfoAzbB7qnQ_5_11"/>
      <w:bookmarkStart w:id="1750" w:name="Tc_g4WdWw2ucEO1pSyosw3bBA_5_8"/>
      <w:bookmarkStart w:id="1751" w:name="Tc_yW5EZfOu0ESMVFgYDuQxiA_5_5"/>
      <w:bookmarkStart w:id="1752" w:name="Tc_sY-yJiCkL0KMNIvHyEHMNw_5_2"/>
      <w:bookmarkStart w:id="1753" w:name="Tc_jgWzv7d0tka7jVwLN2c4Og_5_0"/>
      <w:bookmarkStart w:id="1754" w:name="Tc_IEU4pPCxXUS9t6tEsWU9fA_4_20"/>
      <w:bookmarkStart w:id="1755" w:name="Tc_-EK9lFsXREyFoGg9ho4Sbg_4_17"/>
      <w:bookmarkStart w:id="1756" w:name="Tc_HmCDaSLgok-tTLpV5DJCiQ_4_11"/>
      <w:bookmarkStart w:id="1757" w:name="Tc_y7E1dZpbjkOqXsShyve2Ow_4_8"/>
      <w:bookmarkStart w:id="1758" w:name="Tc_wFO5Ef7P3E6tRHsfmiUouw_4_5"/>
      <w:bookmarkStart w:id="1759" w:name="Tc_R7rcpixdmU2ybTpbZ-Nv-g_4_2"/>
      <w:bookmarkStart w:id="1760" w:name="Tc_DKde2soWrUiz3cornBgYhQ_3_17"/>
      <w:bookmarkStart w:id="1761" w:name="Tc_5jNFKs61Xk6fyAURltlM_g_3_11"/>
      <w:bookmarkStart w:id="1762" w:name="Tc_I6KxUbA6lkqufyD8f_kD-w_3_8"/>
      <w:bookmarkStart w:id="1763" w:name="Tc_DJf_6IHx1UOR9iIwuEl_lw_3_5"/>
      <w:bookmarkStart w:id="1764" w:name="Tc_zXu_nzKTmESpJ65AWYYkCw_3_2"/>
      <w:bookmarkStart w:id="1765" w:name="Tc_jpJUe1PJ502EM9nicdzj0Q_2_5"/>
      <w:bookmarkStart w:id="1766" w:name="Tc_BtNnnz5uwkuJZ7jqQYoZHA_2_2"/>
      <w:bookmarkStart w:id="1767" w:name="Tc_gvwwVHgNzkq3JmI1USdcGg_1_2"/>
      <w:bookmarkStart w:id="1768" w:name="_43aa8d75_2679_4e52_b637_d14a5744a858"/>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p>
    <w:tbl>
      <w:tblPr>
        <w:tblW w:w="10321" w:type="dxa"/>
        <w:jc w:val="left"/>
        <w:tblInd w:w="0" w:type="dxa"/>
        <w:tblLayout w:type="fixed"/>
        <w:tblCellMar>
          <w:top w:w="0" w:type="dxa"/>
          <w:left w:w="0" w:type="dxa"/>
          <w:bottom w:w="0" w:type="dxa"/>
          <w:right w:w="0" w:type="dxa"/>
        </w:tblCellMar>
      </w:tblPr>
      <w:tblGrid>
        <w:gridCol w:w="1651"/>
        <w:gridCol w:w="326"/>
        <w:gridCol w:w="211"/>
        <w:gridCol w:w="571"/>
        <w:gridCol w:w="326"/>
        <w:gridCol w:w="211"/>
        <w:gridCol w:w="571"/>
        <w:gridCol w:w="326"/>
        <w:gridCol w:w="234"/>
        <w:gridCol w:w="637"/>
        <w:gridCol w:w="326"/>
        <w:gridCol w:w="211"/>
        <w:gridCol w:w="571"/>
        <w:gridCol w:w="326"/>
        <w:gridCol w:w="211"/>
        <w:gridCol w:w="931"/>
        <w:gridCol w:w="326"/>
        <w:gridCol w:w="211"/>
        <w:gridCol w:w="931"/>
        <w:gridCol w:w="326"/>
        <w:gridCol w:w="211"/>
        <w:gridCol w:w="676"/>
      </w:tblGrid>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344"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16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30-59</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60-89</w:t>
            </w:r>
          </w:p>
        </w:tc>
        <w:tc>
          <w:tcPr>
            <w:tcW w:w="32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Days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Days</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 Days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pPr>
            <w:r>
              <w:rPr/>
              <w:t>​</w:t>
            </w:r>
          </w:p>
        </w:tc>
      </w:tr>
      <w:tr>
        <w:trPr/>
        <w:tc>
          <w:tcPr>
            <w:tcW w:w="1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Past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Past</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or More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Past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Loans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REAL ESTATE LOANS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Due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Due</w:t>
            </w:r>
          </w:p>
        </w:tc>
        <w:tc>
          <w:tcPr>
            <w:tcW w:w="326" w:type="dxa"/>
            <w:tcBorders/>
            <w:vAlign w:val="center"/>
          </w:tcPr>
          <w:p>
            <w:pPr>
              <w:pStyle w:val="TableContents"/>
              <w:bidi w:val="0"/>
              <w:spacing w:before="0" w:after="0"/>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Past Due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Due</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Receivable</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Accrual </w:t>
            </w:r>
            <w:r>
              <w:rPr>
                <w:rFonts w:ascii="Times New Roman;Times;serif" w:hAnsi="Times New Roman;Times;serif"/>
                <w:sz w:val="15"/>
              </w:rPr>
              <w:t>(1)</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342,591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342,591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One-to-four-family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469,485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loans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1,420,648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1,421,260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CONSUMER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Indirect home improvement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492,426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495,941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Marine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consumer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consumer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569,572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1,352</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COMMERCIAL BUSINESS LOANS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196,791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6,334</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Warehouse lending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business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6,334</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loans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1,211</w:t>
            </w:r>
          </w:p>
        </w:tc>
        <w:tc>
          <w:tcPr>
            <w:tcW w:w="326"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2,210,912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2,218,852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8,652</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w:t>
      </w:r>
    </w:p>
    <w:tbl>
      <w:tblPr>
        <w:tblW w:w="3542" w:type="dxa"/>
        <w:jc w:val="left"/>
        <w:tblInd w:w="0" w:type="dxa"/>
        <w:tblLayout w:type="fixed"/>
        <w:tblCellMar>
          <w:top w:w="0" w:type="dxa"/>
          <w:left w:w="0" w:type="dxa"/>
          <w:bottom w:w="0" w:type="dxa"/>
          <w:right w:w="0" w:type="dxa"/>
        </w:tblCellMar>
      </w:tblPr>
      <w:tblGrid>
        <w:gridCol w:w="346"/>
        <w:gridCol w:w="31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past due loans as applicable.</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loans 90 days or more past due and still accruing interest at both June 30, 2023 and December 31, 2022.</w:t>
      </w:r>
    </w:p>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Credit Quality Indicators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utilizes a risk grading matrix to assign a risk grade to its real estate and commercial business loans. Loans are graded on a scale of 1 to 10, with loans in risk grades 1 to 6 considered “Pass” and loans in risk grades 7 to 10 are reported as classified loans in the Company’s ACL loan analysis.</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A description of the 10 risk grades is as follows:</w:t>
      </w:r>
    </w:p>
    <w:tbl>
      <w:tblPr>
        <w:tblW w:w="10022" w:type="dxa"/>
        <w:jc w:val="left"/>
        <w:tblInd w:w="0" w:type="dxa"/>
        <w:tblLayout w:type="fixed"/>
        <w:tblCellMar>
          <w:top w:w="0" w:type="dxa"/>
          <w:left w:w="0" w:type="dxa"/>
          <w:bottom w:w="0" w:type="dxa"/>
          <w:right w:w="0" w:type="dxa"/>
        </w:tblCellMar>
      </w:tblPr>
      <w:tblGrid>
        <w:gridCol w:w="271"/>
        <w:gridCol w:w="9751"/>
      </w:tblGrid>
      <w:tr>
        <w:trPr/>
        <w:tc>
          <w:tcPr>
            <w:tcW w:w="271" w:type="dxa"/>
            <w:tcBorders/>
            <w:vAlign w:val="center"/>
          </w:tcPr>
          <w:p>
            <w:pPr>
              <w:pStyle w:val="TableContents"/>
              <w:bidi w:val="0"/>
              <w:spacing w:before="0" w:after="283"/>
              <w:jc w:val="left"/>
              <w:rPr/>
            </w:pPr>
            <w:r>
              <w:rPr/>
              <w:t>●</w:t>
            </w:r>
          </w:p>
        </w:tc>
        <w:tc>
          <w:tcPr>
            <w:tcW w:w="9751" w:type="dxa"/>
            <w:tcBorders/>
            <w:vAlign w:val="center"/>
          </w:tcPr>
          <w:p>
            <w:pPr>
              <w:pStyle w:val="TableContents"/>
              <w:bidi w:val="0"/>
              <w:spacing w:before="0" w:after="283"/>
              <w:jc w:val="left"/>
              <w:rPr/>
            </w:pPr>
            <w:r>
              <w:rPr>
                <w:rFonts w:ascii="Times New Roman;Times;serif" w:hAnsi="Times New Roman;Times;serif"/>
                <w:b w:val="false"/>
                <w:i/>
                <w:sz w:val="20"/>
              </w:rPr>
              <w:t>Grades 1 and 2 -</w:t>
            </w:r>
            <w:r>
              <w:rPr>
                <w:caps w:val="false"/>
                <w:smallCaps w:val="false"/>
              </w:rPr>
              <w:t xml:space="preserve"> </w:t>
            </w:r>
            <w:r>
              <w:rPr>
                <w:rFonts w:ascii="Times New Roman;Times;serif" w:hAnsi="Times New Roman;Times;serif"/>
                <w:b w:val="false"/>
                <w:i w:val="false"/>
                <w:caps w:val="false"/>
                <w:smallCaps w:val="false"/>
                <w:sz w:val="20"/>
              </w:rPr>
              <w:t>These grades include loans to very high-quality borrowers with excellent or desirable business credit.</w:t>
            </w:r>
          </w:p>
        </w:tc>
      </w:tr>
    </w:tbl>
    <w:tbl>
      <w:tblPr>
        <w:tblW w:w="7877" w:type="dxa"/>
        <w:jc w:val="left"/>
        <w:tblInd w:w="0" w:type="dxa"/>
        <w:tblLayout w:type="fixed"/>
        <w:tblCellMar>
          <w:top w:w="0" w:type="dxa"/>
          <w:left w:w="0" w:type="dxa"/>
          <w:bottom w:w="0" w:type="dxa"/>
          <w:right w:w="0" w:type="dxa"/>
        </w:tblCellMar>
      </w:tblPr>
      <w:tblGrid>
        <w:gridCol w:w="271"/>
        <w:gridCol w:w="7606"/>
      </w:tblGrid>
      <w:tr>
        <w:trPr/>
        <w:tc>
          <w:tcPr>
            <w:tcW w:w="271" w:type="dxa"/>
            <w:tcBorders/>
            <w:vAlign w:val="center"/>
          </w:tcPr>
          <w:p>
            <w:pPr>
              <w:pStyle w:val="TableContents"/>
              <w:bidi w:val="0"/>
              <w:spacing w:before="0" w:after="283"/>
              <w:jc w:val="left"/>
              <w:rPr/>
            </w:pPr>
            <w:r>
              <w:rPr/>
              <w:t>●</w:t>
            </w:r>
          </w:p>
        </w:tc>
        <w:tc>
          <w:tcPr>
            <w:tcW w:w="7606" w:type="dxa"/>
            <w:tcBorders/>
            <w:vAlign w:val="center"/>
          </w:tcPr>
          <w:p>
            <w:pPr>
              <w:pStyle w:val="TableContents"/>
              <w:bidi w:val="0"/>
              <w:spacing w:before="0" w:after="283"/>
              <w:jc w:val="left"/>
              <w:rPr/>
            </w:pPr>
            <w:r>
              <w:rPr>
                <w:rFonts w:ascii="Times New Roman;Times;serif" w:hAnsi="Times New Roman;Times;serif"/>
                <w:b w:val="false"/>
                <w:i/>
                <w:sz w:val="20"/>
              </w:rPr>
              <w:t>Grade 3 -</w:t>
            </w:r>
            <w:r>
              <w:rPr>
                <w:caps w:val="false"/>
                <w:smallCaps w:val="false"/>
              </w:rPr>
              <w:t xml:space="preserve"> </w:t>
            </w:r>
            <w:r>
              <w:rPr>
                <w:rFonts w:ascii="Times New Roman;Times;serif" w:hAnsi="Times New Roman;Times;serif"/>
                <w:b w:val="false"/>
                <w:i w:val="false"/>
                <w:caps w:val="false"/>
                <w:smallCaps w:val="false"/>
                <w:sz w:val="20"/>
              </w:rPr>
              <w:t>This grade includes loans to borrowers of good business credit with moderate risk.</w:t>
            </w:r>
          </w:p>
        </w:tc>
      </w:tr>
    </w:tbl>
    <w:tbl>
      <w:tblPr>
        <w:tblW w:w="8897" w:type="dxa"/>
        <w:jc w:val="left"/>
        <w:tblInd w:w="0" w:type="dxa"/>
        <w:tblLayout w:type="fixed"/>
        <w:tblCellMar>
          <w:top w:w="0" w:type="dxa"/>
          <w:left w:w="0" w:type="dxa"/>
          <w:bottom w:w="0" w:type="dxa"/>
          <w:right w:w="0" w:type="dxa"/>
        </w:tblCellMar>
      </w:tblPr>
      <w:tblGrid>
        <w:gridCol w:w="271"/>
        <w:gridCol w:w="8626"/>
      </w:tblGrid>
      <w:tr>
        <w:trPr/>
        <w:tc>
          <w:tcPr>
            <w:tcW w:w="271" w:type="dxa"/>
            <w:tcBorders/>
            <w:vAlign w:val="center"/>
          </w:tcPr>
          <w:p>
            <w:pPr>
              <w:pStyle w:val="TableContents"/>
              <w:bidi w:val="0"/>
              <w:spacing w:before="0" w:after="283"/>
              <w:jc w:val="left"/>
              <w:rPr/>
            </w:pPr>
            <w:r>
              <w:rPr/>
              <w:t>●</w:t>
            </w:r>
          </w:p>
        </w:tc>
        <w:tc>
          <w:tcPr>
            <w:tcW w:w="8626" w:type="dxa"/>
            <w:tcBorders/>
            <w:vAlign w:val="center"/>
          </w:tcPr>
          <w:p>
            <w:pPr>
              <w:pStyle w:val="TableContents"/>
              <w:bidi w:val="0"/>
              <w:spacing w:before="0" w:after="283"/>
              <w:jc w:val="left"/>
              <w:rPr/>
            </w:pPr>
            <w:r>
              <w:rPr>
                <w:rFonts w:ascii="Times New Roman;Times;serif" w:hAnsi="Times New Roman;Times;serif"/>
                <w:b w:val="false"/>
                <w:i/>
                <w:sz w:val="20"/>
              </w:rPr>
              <w:t>Grades 4 and 5 -</w:t>
            </w:r>
            <w:r>
              <w:rPr>
                <w:caps w:val="false"/>
                <w:smallCaps w:val="false"/>
              </w:rPr>
              <w:t xml:space="preserve"> </w:t>
            </w:r>
            <w:r>
              <w:rPr>
                <w:rFonts w:ascii="Times New Roman;Times;serif" w:hAnsi="Times New Roman;Times;serif"/>
                <w:b w:val="false"/>
                <w:i w:val="false"/>
                <w:caps w:val="false"/>
                <w:smallCaps w:val="false"/>
                <w:sz w:val="20"/>
              </w:rPr>
              <w:t>These grades include “Pass” grade loans to borrowers of average credit quality and risk.</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Grade 6 -</w:t>
            </w:r>
            <w:r>
              <w:rPr>
                <w:caps w:val="false"/>
                <w:smallCaps w:val="false"/>
              </w:rPr>
              <w:t xml:space="preserve"> </w:t>
            </w:r>
            <w:r>
              <w:rPr>
                <w:rFonts w:ascii="Times New Roman;Times;serif" w:hAnsi="Times New Roman;Times;serif"/>
                <w:b w:val="false"/>
                <w:i w:val="false"/>
                <w:caps w:val="false"/>
                <w:smallCaps w:val="false"/>
                <w:sz w:val="20"/>
              </w:rPr>
              <w:t>This grade includes loans on management’s “Watch” list and is intended to be utilized on a temporary basis for “Pass” grade borrowers where frequent and thorough monitoring is required due to credit weaknesses and where significant risk-modifying action is anticipated in the near term.</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Grade 7 -</w:t>
            </w:r>
            <w:r>
              <w:rPr>
                <w:caps w:val="false"/>
                <w:smallCaps w:val="false"/>
              </w:rPr>
              <w:t xml:space="preserve"> </w:t>
            </w:r>
            <w:r>
              <w:rPr>
                <w:rFonts w:ascii="Times New Roman;Times;serif" w:hAnsi="Times New Roman;Times;serif"/>
                <w:b w:val="false"/>
                <w:i w:val="false"/>
                <w:caps w:val="false"/>
                <w:smallCaps w:val="false"/>
                <w:sz w:val="20"/>
              </w:rPr>
              <w:t>This grade is for “Other Assets Especially Mentioned (“OAEM”)” in accordance with regulatory guidelines and includes borrowers where performance is poor or significantly less than expected.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Grade 8 -</w:t>
            </w:r>
            <w:r>
              <w:rPr>
                <w:caps w:val="false"/>
                <w:smallCaps w:val="false"/>
              </w:rPr>
              <w:t xml:space="preserve"> </w:t>
            </w:r>
            <w:r>
              <w:rPr>
                <w:rFonts w:ascii="Times New Roman;Times;serif" w:hAnsi="Times New Roman;Times;serif"/>
                <w:b w:val="false"/>
                <w:i w:val="false"/>
                <w:caps w:val="false"/>
                <w:smallCaps w:val="false"/>
                <w:sz w:val="20"/>
              </w:rPr>
              <w:t>This grade includes “Substandard” loans in accordance with regulatory guidelines which represent an unacceptable business credit where a loss is possible if loan weakness is not corrected.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Grade 9 -</w:t>
            </w:r>
            <w:r>
              <w:rPr>
                <w:caps w:val="false"/>
                <w:smallCaps w:val="false"/>
              </w:rPr>
              <w:t xml:space="preserve"> </w:t>
            </w:r>
            <w:r>
              <w:rPr>
                <w:rFonts w:ascii="Times New Roman;Times;serif" w:hAnsi="Times New Roman;Times;serif"/>
                <w:b w:val="false"/>
                <w:i w:val="false"/>
                <w:caps w:val="false"/>
                <w:smallCaps w:val="false"/>
                <w:sz w:val="20"/>
              </w:rPr>
              <w:t>This grade includes “Doubtful” loans in accordance with regulatory guidelines where a loss is highly probable.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769" w:name="Tc_jpNAruCzzU6fCSD1zyLW9Q_26_26"/>
      <w:bookmarkStart w:id="1770" w:name="Tc_H0pmMjLwqk2FvTbzdDKSMQ_26_23"/>
      <w:bookmarkStart w:id="1771" w:name="Tc_d5miQNofm06llIFiK56R4w_26_20"/>
      <w:bookmarkStart w:id="1772" w:name="Tc_H7-cPkqtQkiJaZ5CF5lONw_26_17"/>
      <w:bookmarkStart w:id="1773" w:name="Tc_2sbkTBEWF0KnmmEQCof2dQ_26_14"/>
      <w:bookmarkStart w:id="1774" w:name="Tc_ejoh4AXdw024MlX7IDEqEg_26_11"/>
      <w:bookmarkStart w:id="1775" w:name="Tc_93LfgPlJpk6hEFXAOOo8DA_26_8"/>
      <w:bookmarkStart w:id="1776" w:name="Tc_X5rgnQXp8UyfB-zycBECEw_26_5"/>
      <w:bookmarkStart w:id="1777" w:name="Tc_6iDrr-Zo20yxTnFHKACi2g_26_2"/>
      <w:bookmarkStart w:id="1778" w:name="Tc_onMzSOQRyEGQYLWVEL3H7Q_26_0"/>
      <w:bookmarkStart w:id="1779" w:name="Tc_eG0h_0_Pp0aXYk_HzcskcQ_25_24"/>
      <w:bookmarkStart w:id="1780" w:name="Tc_DFoS1lc1rUaQdTBAbUPXnQ_25_21"/>
      <w:bookmarkStart w:id="1781" w:name="Tc_VupqF_zBwk6rtJCu98_ZTw_25_0"/>
      <w:bookmarkStart w:id="1782" w:name="Tc_KPJTmqOHVkinE4snWRfKNQ_24_24"/>
      <w:bookmarkStart w:id="1783" w:name="Tc_WXilZJOoVUaDPNsQAnJ3Gw_24_21"/>
      <w:bookmarkStart w:id="1784" w:name="Tc_IdZmC3yhyESLJbGMiCuTAQ_24_0"/>
      <w:bookmarkStart w:id="1785" w:name="Tc_OO_9_XOyLEaYqfREs42Ajw_23_0"/>
      <w:bookmarkStart w:id="1786" w:name="Tc_3q_GRI5UJkW0U4SicsTIfA_22_21"/>
      <w:bookmarkStart w:id="1787" w:name="Tc_iHOu7j6IvU2d6qTJQ6ZxMA_22_0"/>
      <w:bookmarkStart w:id="1788" w:name="Tc_3WCc3N6fVE2jhID2i2iZdg_21_24"/>
      <w:bookmarkStart w:id="1789" w:name="Tc_1tPlI3RzaE2Eimdtxaix7A_21_21"/>
      <w:bookmarkStart w:id="1790" w:name="Tc_M1w4uyb73029RQqKRQ4qqg_21_15"/>
      <w:bookmarkStart w:id="1791" w:name="Tc_l4LfbRTNDEqgN_TrrOiqcQ_21_12"/>
      <w:bookmarkStart w:id="1792" w:name="Tc_SrmtTTR03ECmU5hzz0wQoA_21_9"/>
      <w:bookmarkStart w:id="1793" w:name="Tc_Fo_Q2O5juUK0xFhTjqiNWQ_21_6"/>
      <w:bookmarkStart w:id="1794" w:name="Tc_Tnjt1femCU683GlO2YG0Nw_21_3"/>
      <w:bookmarkStart w:id="1795" w:name="Tc_qG581Ho-FEKW5aBuTMaxvA_21_0"/>
      <w:bookmarkStart w:id="1796" w:name="Tc_rsTmmhpZVEi_ZiwnR65yMg_20_24"/>
      <w:bookmarkStart w:id="1797" w:name="Tc_ZKo-j966UUKRxlT7-msTGw_20_21"/>
      <w:bookmarkStart w:id="1798" w:name="Tc_POer_7zupEC9AJXmSRd4JQ_20_18"/>
      <w:bookmarkStart w:id="1799" w:name="Tc_pwWILRz9_U20CpiNYsLjAQ_20_15"/>
      <w:bookmarkStart w:id="1800" w:name="Tc_ZebIJGE650m-p-LhuOTRPA_20_12"/>
      <w:bookmarkStart w:id="1801" w:name="Tc_clRcdFUcM0WZca4nawVKVQ_20_9"/>
      <w:bookmarkStart w:id="1802" w:name="Tc_MjMJ7Os0sUO4NhyseUSIew_20_3"/>
      <w:bookmarkStart w:id="1803" w:name="Tc_v32xyS6QYEyQ8Q8l_A4dFw_20_0"/>
      <w:bookmarkStart w:id="1804" w:name="Tc_QbygO7hObUqxyu_j72Eg6A_19_21"/>
      <w:bookmarkStart w:id="1805" w:name="Tc_bEF2fOQZJ0yan6IOXHzliw_19_0"/>
      <w:bookmarkStart w:id="1806" w:name="Tc_0GA4SMvfXk6rJJZm7oL2tg_18_0"/>
      <w:bookmarkStart w:id="1807" w:name="Tc_1d2bw-SuQUO9ukts4ms6NQ_17_24"/>
      <w:bookmarkStart w:id="1808" w:name="Tc_9UFVjK_ic02O_hCkhCFf8g_17_18"/>
      <w:bookmarkStart w:id="1809" w:name="Tc_TNU6eXvTFE2egUF4I7Y-Ww_17_15"/>
      <w:bookmarkStart w:id="1810" w:name="Tc_kQld52fr00GZTVn-qI9GEg_17_12"/>
      <w:bookmarkStart w:id="1811" w:name="Tc_rDrcwyA-_Um72fwa7-TrRQ_17_9"/>
      <w:bookmarkStart w:id="1812" w:name="Tc_xpL7spIWGUuwgZcBQK7fTA_17_6"/>
      <w:bookmarkStart w:id="1813" w:name="Tc_uZeMtVSIhEedBZH_xR3LBQ_17_3"/>
      <w:bookmarkStart w:id="1814" w:name="Tc_6O-4Y2vAJku0EYg35GJq3A_17_0"/>
      <w:bookmarkStart w:id="1815" w:name="Tc_QvRy979v2kW9fAPn3MHgLA_16_24"/>
      <w:bookmarkStart w:id="1816" w:name="Tc_4YOXUNqaKE-FOn6B_bW14A_16_0"/>
      <w:bookmarkStart w:id="1817" w:name="Tc_SJsw46Lz20-fYUbaf4Hkog_15_24"/>
      <w:bookmarkStart w:id="1818" w:name="Tc_al_XxlVz-ketfs3PvCXFLQ_15_15"/>
      <w:bookmarkStart w:id="1819" w:name="Tc_qPHkEgIJl0C-J2Gy0dd5Og_15_12"/>
      <w:bookmarkStart w:id="1820" w:name="Tc_jQHgKdTF30W4ez1sprVh1g_15_9"/>
      <w:bookmarkStart w:id="1821" w:name="Tc_RjrjN34pLk6p_xNLmJdglQ_15_6"/>
      <w:bookmarkStart w:id="1822" w:name="Tc_oxIplT-m30WPydEd-9CfRQ_15_3"/>
      <w:bookmarkStart w:id="1823" w:name="Tc_cQf7je99G06WBuhvOpwIKQ_15_0"/>
      <w:bookmarkStart w:id="1824" w:name="Tc_It2GEBzbK0efduqvp3vMNQ_14_24"/>
      <w:bookmarkStart w:id="1825" w:name="Tc_kDNNYxqjhka_8_wyhVSF0w_14_0"/>
      <w:bookmarkStart w:id="1826" w:name="Tc_GS_udy20Nk-re3Yy0qwA-Q_13_0"/>
      <w:bookmarkStart w:id="1827" w:name="Tc_f7ou9zejg06JPGzYLNK5hA_12_24"/>
      <w:bookmarkStart w:id="1828" w:name="Tc_jNauymrf-0KkTpGeyaggrg_12_21"/>
      <w:bookmarkStart w:id="1829" w:name="Tc_aYA6hUUle0WzxEQOp0I8Aw_12_15"/>
      <w:bookmarkStart w:id="1830" w:name="Tc_uXcD7WaIYkSS8OP8a_zXUg_12_0"/>
      <w:bookmarkStart w:id="1831" w:name="Tc_yAdib9tS4EWbRF9mVd3Mbg_11_24"/>
      <w:bookmarkStart w:id="1832" w:name="Tc_lW2LByn7QUW_V1QHNMNU8g_11_21"/>
      <w:bookmarkStart w:id="1833" w:name="Tc_fspQq1HD2UmDPUk_iKTivg_11_15"/>
      <w:bookmarkStart w:id="1834" w:name="Tc_07MPjKk8e0etKqAk95nwrw_11_0"/>
      <w:bookmarkStart w:id="1835" w:name="Tc_ooFriif-_0ipa-xFvIkU3w_10_0"/>
      <w:bookmarkStart w:id="1836" w:name="Tc_frRtIXDxu0axKsyivH-a3g_9_0"/>
      <w:bookmarkStart w:id="1837" w:name="Tc_AyIfJtvrgky_yRHmgikSjw_8_24"/>
      <w:bookmarkStart w:id="1838" w:name="Tc_QNZ-qlWrzUisLV0935KMDA_8_21"/>
      <w:bookmarkStart w:id="1839" w:name="Tc_ggAIJ1T-_Uq7nDkms47n5g_8_15"/>
      <w:bookmarkStart w:id="1840" w:name="Tc_K_apZ8CDEEO_4xqWn4Q3UQ_8_12"/>
      <w:bookmarkStart w:id="1841" w:name="Tc_Aexq6bvFiU6AIiZx8u9Veg_8_9"/>
      <w:bookmarkStart w:id="1842" w:name="Tc_lOpiFp1zWk-do-bLnszoMw_8_6"/>
      <w:bookmarkStart w:id="1843" w:name="Tc_lBsYciCNqkKMK40Z-rGjrA_8_3"/>
      <w:bookmarkStart w:id="1844" w:name="Tc_NKGkTLX0ekiiMrTPH-brIQ_8_0"/>
      <w:bookmarkStart w:id="1845" w:name="Tc__wG_guYFDEK_aMOEdSFkJg_7_24"/>
      <w:bookmarkStart w:id="1846" w:name="Tc_nvBEEwSyYUSRbcS5AiM61Q_7_21"/>
      <w:bookmarkStart w:id="1847" w:name="Tc_enK2CZYYI0KdDJj6c9TDtQ_7_18"/>
      <w:bookmarkStart w:id="1848" w:name="Tc_nNOCE-ccMk2qqO4VvEyvRQ_7_12"/>
      <w:bookmarkStart w:id="1849" w:name="Tc_hvTujxWG0kWObaepR7NoNQ_7_9"/>
      <w:bookmarkStart w:id="1850" w:name="Tc_SQVmFs4LKk6WKKJnU1paGw_7_6"/>
      <w:bookmarkStart w:id="1851" w:name="Tc_y_VtvfNEqkKgZU_jV3QauA_7_3"/>
      <w:bookmarkStart w:id="1852" w:name="Tc_N19MNSKnZEW1L2DleLqBDA_7_0"/>
      <w:bookmarkStart w:id="1853" w:name="Tc_2bPjbYps9UG4molH49B8jQ_6_24"/>
      <w:bookmarkStart w:id="1854" w:name="Tc__Sc5GfEfe06h_SaTMc-dww_6_18"/>
      <w:bookmarkStart w:id="1855" w:name="Tc_tW4BMKEuvEqdMrxMGJUnxg_6_12"/>
      <w:bookmarkStart w:id="1856" w:name="Tc_mYFAC0cpCkyX4xViDKEc2w_6_9"/>
      <w:bookmarkStart w:id="1857" w:name="Tc_FnVV-t8hFEqIm_ukCFIoDg_6_3"/>
      <w:bookmarkStart w:id="1858" w:name="Tc_1dTOOx7g2kypjHzNMIjBhg_6_0"/>
      <w:bookmarkStart w:id="1859" w:name="Tc_0rBteEXIREqfpYB7Jpap2g_5_26"/>
      <w:bookmarkStart w:id="1860" w:name="Tc_euMxd_7qHkWpEujIhRTJwA_5_23"/>
      <w:bookmarkStart w:id="1861" w:name="Tc_L0DMJTo3AEm-HamNf5ZwZw_5_21"/>
      <w:bookmarkStart w:id="1862" w:name="Tc_UmHc3X2t7kq1b6mLleCjww_5_20"/>
      <w:bookmarkStart w:id="1863" w:name="Tc_1qq2KfSeVUyVY0jgURjoSA_5_17"/>
      <w:bookmarkStart w:id="1864" w:name="Tc_5vB9_k-8V06ovs3rEJsjug_5_14"/>
      <w:bookmarkStart w:id="1865" w:name="Tc_6mkTwemfCkCRcmxrx6cmug_5_11"/>
      <w:bookmarkStart w:id="1866" w:name="Tc_rz38SZkrB0Sxlw3IfLZ9ng_5_8"/>
      <w:bookmarkStart w:id="1867" w:name="Tc_2eFORr1lG0SFOZck23b_1g_5_5"/>
      <w:bookmarkStart w:id="1868" w:name="Tc_8PtibwDptUmuVw5WK8hyMw_5_2"/>
      <w:bookmarkStart w:id="1869" w:name="Tc_nXcsX4UXP0WQRQ5y3k1rVQ_5_0"/>
      <w:bookmarkStart w:id="1870" w:name="Tc_waCrsvWJZEKangAqjWuyQA_4_26"/>
      <w:bookmarkStart w:id="1871" w:name="Tc_wSgvnXPH6EqkLxDBGzB5cA_4_23"/>
      <w:bookmarkStart w:id="1872" w:name="Tc_yjCsMqoahEivk-gOq7JJWA_4_20"/>
      <w:bookmarkStart w:id="1873" w:name="Tc_U-oSYc39L0-KeV57RWAXEQ_4_17"/>
      <w:bookmarkStart w:id="1874" w:name="Tc_CMEL42wSvkWtyeUO-3motA_4_14"/>
      <w:bookmarkStart w:id="1875" w:name="Tc_tkyUsYh8CUSg7DLSbGXu0A_4_11"/>
      <w:bookmarkStart w:id="1876" w:name="Tc_E2jWNoc5nEmsZowgBwcmvw_4_8"/>
      <w:bookmarkStart w:id="1877" w:name="Tc_QXsWt6Pvx0iODdTN4gvnKA_4_5"/>
      <w:bookmarkStart w:id="1878" w:name="Tc_BUak9mFWnU-RqEmWoy_vmg_4_2"/>
      <w:bookmarkStart w:id="1879" w:name="Tc_e-QmtD-sKUiMOUslecshog_4_0"/>
      <w:bookmarkStart w:id="1880" w:name="Tc_FQq-3UxQXEGZhL-snjiLQA_3_23"/>
      <w:bookmarkStart w:id="1881" w:name="Tc_BqLpf3KdJEGBM5HD56r1PQ_3_2"/>
      <w:bookmarkStart w:id="1882" w:name="Tc_2vpzwmuGb0aAqG_HAUyF8g_3_0"/>
      <w:bookmarkStart w:id="1883" w:name="Tc_7q5X959jG0Of0fFcYiMKWA_2_23"/>
      <w:bookmarkStart w:id="1884" w:name="Tc_fL1TQGFCYUGlioXEX4yKMw_1_2"/>
      <w:bookmarkStart w:id="1885" w:name="_22929d7c_562a_4fe7_895a_94d6941c4e6c"/>
      <w:bookmarkStart w:id="1886" w:name="Tc_jpNAruCzzU6fCSD1zyLW9Q_26_26"/>
      <w:bookmarkStart w:id="1887" w:name="Tc_H0pmMjLwqk2FvTbzdDKSMQ_26_23"/>
      <w:bookmarkStart w:id="1888" w:name="Tc_d5miQNofm06llIFiK56R4w_26_20"/>
      <w:bookmarkStart w:id="1889" w:name="Tc_H7-cPkqtQkiJaZ5CF5lONw_26_17"/>
      <w:bookmarkStart w:id="1890" w:name="Tc_2sbkTBEWF0KnmmEQCof2dQ_26_14"/>
      <w:bookmarkStart w:id="1891" w:name="Tc_ejoh4AXdw024MlX7IDEqEg_26_11"/>
      <w:bookmarkStart w:id="1892" w:name="Tc_93LfgPlJpk6hEFXAOOo8DA_26_8"/>
      <w:bookmarkStart w:id="1893" w:name="Tc_X5rgnQXp8UyfB-zycBECEw_26_5"/>
      <w:bookmarkStart w:id="1894" w:name="Tc_6iDrr-Zo20yxTnFHKACi2g_26_2"/>
      <w:bookmarkStart w:id="1895" w:name="Tc_onMzSOQRyEGQYLWVEL3H7Q_26_0"/>
      <w:bookmarkStart w:id="1896" w:name="Tc_eG0h_0_Pp0aXYk_HzcskcQ_25_24"/>
      <w:bookmarkStart w:id="1897" w:name="Tc_DFoS1lc1rUaQdTBAbUPXnQ_25_21"/>
      <w:bookmarkStart w:id="1898" w:name="Tc_VupqF_zBwk6rtJCu98_ZTw_25_0"/>
      <w:bookmarkStart w:id="1899" w:name="Tc_KPJTmqOHVkinE4snWRfKNQ_24_24"/>
      <w:bookmarkStart w:id="1900" w:name="Tc_WXilZJOoVUaDPNsQAnJ3Gw_24_21"/>
      <w:bookmarkStart w:id="1901" w:name="Tc_IdZmC3yhyESLJbGMiCuTAQ_24_0"/>
      <w:bookmarkStart w:id="1902" w:name="Tc_OO_9_XOyLEaYqfREs42Ajw_23_0"/>
      <w:bookmarkStart w:id="1903" w:name="Tc_3q_GRI5UJkW0U4SicsTIfA_22_21"/>
      <w:bookmarkStart w:id="1904" w:name="Tc_iHOu7j6IvU2d6qTJQ6ZxMA_22_0"/>
      <w:bookmarkStart w:id="1905" w:name="Tc_3WCc3N6fVE2jhID2i2iZdg_21_24"/>
      <w:bookmarkStart w:id="1906" w:name="Tc_1tPlI3RzaE2Eimdtxaix7A_21_21"/>
      <w:bookmarkStart w:id="1907" w:name="Tc_M1w4uyb73029RQqKRQ4qqg_21_15"/>
      <w:bookmarkStart w:id="1908" w:name="Tc_l4LfbRTNDEqgN_TrrOiqcQ_21_12"/>
      <w:bookmarkStart w:id="1909" w:name="Tc_SrmtTTR03ECmU5hzz0wQoA_21_9"/>
      <w:bookmarkStart w:id="1910" w:name="Tc_Fo_Q2O5juUK0xFhTjqiNWQ_21_6"/>
      <w:bookmarkStart w:id="1911" w:name="Tc_Tnjt1femCU683GlO2YG0Nw_21_3"/>
      <w:bookmarkStart w:id="1912" w:name="Tc_qG581Ho-FEKW5aBuTMaxvA_21_0"/>
      <w:bookmarkStart w:id="1913" w:name="Tc_rsTmmhpZVEi_ZiwnR65yMg_20_24"/>
      <w:bookmarkStart w:id="1914" w:name="Tc_ZKo-j966UUKRxlT7-msTGw_20_21"/>
      <w:bookmarkStart w:id="1915" w:name="Tc_POer_7zupEC9AJXmSRd4JQ_20_18"/>
      <w:bookmarkStart w:id="1916" w:name="Tc_pwWILRz9_U20CpiNYsLjAQ_20_15"/>
      <w:bookmarkStart w:id="1917" w:name="Tc_ZebIJGE650m-p-LhuOTRPA_20_12"/>
      <w:bookmarkStart w:id="1918" w:name="Tc_clRcdFUcM0WZca4nawVKVQ_20_9"/>
      <w:bookmarkStart w:id="1919" w:name="Tc_MjMJ7Os0sUO4NhyseUSIew_20_3"/>
      <w:bookmarkStart w:id="1920" w:name="Tc_v32xyS6QYEyQ8Q8l_A4dFw_20_0"/>
      <w:bookmarkStart w:id="1921" w:name="Tc_QbygO7hObUqxyu_j72Eg6A_19_21"/>
      <w:bookmarkStart w:id="1922" w:name="Tc_bEF2fOQZJ0yan6IOXHzliw_19_0"/>
      <w:bookmarkStart w:id="1923" w:name="Tc_0GA4SMvfXk6rJJZm7oL2tg_18_0"/>
      <w:bookmarkStart w:id="1924" w:name="Tc_1d2bw-SuQUO9ukts4ms6NQ_17_24"/>
      <w:bookmarkStart w:id="1925" w:name="Tc_9UFVjK_ic02O_hCkhCFf8g_17_18"/>
      <w:bookmarkStart w:id="1926" w:name="Tc_TNU6eXvTFE2egUF4I7Y-Ww_17_15"/>
      <w:bookmarkStart w:id="1927" w:name="Tc_kQld52fr00GZTVn-qI9GEg_17_12"/>
      <w:bookmarkStart w:id="1928" w:name="Tc_rDrcwyA-_Um72fwa7-TrRQ_17_9"/>
      <w:bookmarkStart w:id="1929" w:name="Tc_xpL7spIWGUuwgZcBQK7fTA_17_6"/>
      <w:bookmarkStart w:id="1930" w:name="Tc_uZeMtVSIhEedBZH_xR3LBQ_17_3"/>
      <w:bookmarkStart w:id="1931" w:name="Tc_6O-4Y2vAJku0EYg35GJq3A_17_0"/>
      <w:bookmarkStart w:id="1932" w:name="Tc_QvRy979v2kW9fAPn3MHgLA_16_24"/>
      <w:bookmarkStart w:id="1933" w:name="Tc_4YOXUNqaKE-FOn6B_bW14A_16_0"/>
      <w:bookmarkStart w:id="1934" w:name="Tc_SJsw46Lz20-fYUbaf4Hkog_15_24"/>
      <w:bookmarkStart w:id="1935" w:name="Tc_al_XxlVz-ketfs3PvCXFLQ_15_15"/>
      <w:bookmarkStart w:id="1936" w:name="Tc_qPHkEgIJl0C-J2Gy0dd5Og_15_12"/>
      <w:bookmarkStart w:id="1937" w:name="Tc_jQHgKdTF30W4ez1sprVh1g_15_9"/>
      <w:bookmarkStart w:id="1938" w:name="Tc_RjrjN34pLk6p_xNLmJdglQ_15_6"/>
      <w:bookmarkStart w:id="1939" w:name="Tc_oxIplT-m30WPydEd-9CfRQ_15_3"/>
      <w:bookmarkStart w:id="1940" w:name="Tc_cQf7je99G06WBuhvOpwIKQ_15_0"/>
      <w:bookmarkStart w:id="1941" w:name="Tc_It2GEBzbK0efduqvp3vMNQ_14_24"/>
      <w:bookmarkStart w:id="1942" w:name="Tc_kDNNYxqjhka_8_wyhVSF0w_14_0"/>
      <w:bookmarkStart w:id="1943" w:name="Tc_GS_udy20Nk-re3Yy0qwA-Q_13_0"/>
      <w:bookmarkStart w:id="1944" w:name="Tc_f7ou9zejg06JPGzYLNK5hA_12_24"/>
      <w:bookmarkStart w:id="1945" w:name="Tc_jNauymrf-0KkTpGeyaggrg_12_21"/>
      <w:bookmarkStart w:id="1946" w:name="Tc_aYA6hUUle0WzxEQOp0I8Aw_12_15"/>
      <w:bookmarkStart w:id="1947" w:name="Tc_uXcD7WaIYkSS8OP8a_zXUg_12_0"/>
      <w:bookmarkStart w:id="1948" w:name="Tc_yAdib9tS4EWbRF9mVd3Mbg_11_24"/>
      <w:bookmarkStart w:id="1949" w:name="Tc_lW2LByn7QUW_V1QHNMNU8g_11_21"/>
      <w:bookmarkStart w:id="1950" w:name="Tc_fspQq1HD2UmDPUk_iKTivg_11_15"/>
      <w:bookmarkStart w:id="1951" w:name="Tc_07MPjKk8e0etKqAk95nwrw_11_0"/>
      <w:bookmarkStart w:id="1952" w:name="Tc_ooFriif-_0ipa-xFvIkU3w_10_0"/>
      <w:bookmarkStart w:id="1953" w:name="Tc_frRtIXDxu0axKsyivH-a3g_9_0"/>
      <w:bookmarkStart w:id="1954" w:name="Tc_AyIfJtvrgky_yRHmgikSjw_8_24"/>
      <w:bookmarkStart w:id="1955" w:name="Tc_QNZ-qlWrzUisLV0935KMDA_8_21"/>
      <w:bookmarkStart w:id="1956" w:name="Tc_ggAIJ1T-_Uq7nDkms47n5g_8_15"/>
      <w:bookmarkStart w:id="1957" w:name="Tc_K_apZ8CDEEO_4xqWn4Q3UQ_8_12"/>
      <w:bookmarkStart w:id="1958" w:name="Tc_Aexq6bvFiU6AIiZx8u9Veg_8_9"/>
      <w:bookmarkStart w:id="1959" w:name="Tc_lOpiFp1zWk-do-bLnszoMw_8_6"/>
      <w:bookmarkStart w:id="1960" w:name="Tc_lBsYciCNqkKMK40Z-rGjrA_8_3"/>
      <w:bookmarkStart w:id="1961" w:name="Tc_NKGkTLX0ekiiMrTPH-brIQ_8_0"/>
      <w:bookmarkStart w:id="1962" w:name="Tc__wG_guYFDEK_aMOEdSFkJg_7_24"/>
      <w:bookmarkStart w:id="1963" w:name="Tc_nvBEEwSyYUSRbcS5AiM61Q_7_21"/>
      <w:bookmarkStart w:id="1964" w:name="Tc_enK2CZYYI0KdDJj6c9TDtQ_7_18"/>
      <w:bookmarkStart w:id="1965" w:name="Tc_nNOCE-ccMk2qqO4VvEyvRQ_7_12"/>
      <w:bookmarkStart w:id="1966" w:name="Tc_hvTujxWG0kWObaepR7NoNQ_7_9"/>
      <w:bookmarkStart w:id="1967" w:name="Tc_SQVmFs4LKk6WKKJnU1paGw_7_6"/>
      <w:bookmarkStart w:id="1968" w:name="Tc_y_VtvfNEqkKgZU_jV3QauA_7_3"/>
      <w:bookmarkStart w:id="1969" w:name="Tc_N19MNSKnZEW1L2DleLqBDA_7_0"/>
      <w:bookmarkStart w:id="1970" w:name="Tc_2bPjbYps9UG4molH49B8jQ_6_24"/>
      <w:bookmarkStart w:id="1971" w:name="Tc__Sc5GfEfe06h_SaTMc-dww_6_18"/>
      <w:bookmarkStart w:id="1972" w:name="Tc_tW4BMKEuvEqdMrxMGJUnxg_6_12"/>
      <w:bookmarkStart w:id="1973" w:name="Tc_mYFAC0cpCkyX4xViDKEc2w_6_9"/>
      <w:bookmarkStart w:id="1974" w:name="Tc_FnVV-t8hFEqIm_ukCFIoDg_6_3"/>
      <w:bookmarkStart w:id="1975" w:name="Tc_1dTOOx7g2kypjHzNMIjBhg_6_0"/>
      <w:bookmarkStart w:id="1976" w:name="Tc_0rBteEXIREqfpYB7Jpap2g_5_26"/>
      <w:bookmarkStart w:id="1977" w:name="Tc_euMxd_7qHkWpEujIhRTJwA_5_23"/>
      <w:bookmarkStart w:id="1978" w:name="Tc_L0DMJTo3AEm-HamNf5ZwZw_5_21"/>
      <w:bookmarkStart w:id="1979" w:name="Tc_UmHc3X2t7kq1b6mLleCjww_5_20"/>
      <w:bookmarkStart w:id="1980" w:name="Tc_1qq2KfSeVUyVY0jgURjoSA_5_17"/>
      <w:bookmarkStart w:id="1981" w:name="Tc_5vB9_k-8V06ovs3rEJsjug_5_14"/>
      <w:bookmarkStart w:id="1982" w:name="Tc_6mkTwemfCkCRcmxrx6cmug_5_11"/>
      <w:bookmarkStart w:id="1983" w:name="Tc_rz38SZkrB0Sxlw3IfLZ9ng_5_8"/>
      <w:bookmarkStart w:id="1984" w:name="Tc_2eFORr1lG0SFOZck23b_1g_5_5"/>
      <w:bookmarkStart w:id="1985" w:name="Tc_8PtibwDptUmuVw5WK8hyMw_5_2"/>
      <w:bookmarkStart w:id="1986" w:name="Tc_nXcsX4UXP0WQRQ5y3k1rVQ_5_0"/>
      <w:bookmarkStart w:id="1987" w:name="Tc_waCrsvWJZEKangAqjWuyQA_4_26"/>
      <w:bookmarkStart w:id="1988" w:name="Tc_wSgvnXPH6EqkLxDBGzB5cA_4_23"/>
      <w:bookmarkStart w:id="1989" w:name="Tc_yjCsMqoahEivk-gOq7JJWA_4_20"/>
      <w:bookmarkStart w:id="1990" w:name="Tc_U-oSYc39L0-KeV57RWAXEQ_4_17"/>
      <w:bookmarkStart w:id="1991" w:name="Tc_CMEL42wSvkWtyeUO-3motA_4_14"/>
      <w:bookmarkStart w:id="1992" w:name="Tc_tkyUsYh8CUSg7DLSbGXu0A_4_11"/>
      <w:bookmarkStart w:id="1993" w:name="Tc_E2jWNoc5nEmsZowgBwcmvw_4_8"/>
      <w:bookmarkStart w:id="1994" w:name="Tc_QXsWt6Pvx0iODdTN4gvnKA_4_5"/>
      <w:bookmarkStart w:id="1995" w:name="Tc_BUak9mFWnU-RqEmWoy_vmg_4_2"/>
      <w:bookmarkStart w:id="1996" w:name="Tc_e-QmtD-sKUiMOUslecshog_4_0"/>
      <w:bookmarkStart w:id="1997" w:name="Tc_FQq-3UxQXEGZhL-snjiLQA_3_23"/>
      <w:bookmarkStart w:id="1998" w:name="Tc_BqLpf3KdJEGBM5HD56r1PQ_3_2"/>
      <w:bookmarkStart w:id="1999" w:name="Tc_2vpzwmuGb0aAqG_HAUyF8g_3_0"/>
      <w:bookmarkStart w:id="2000" w:name="Tc_7q5X959jG0Of0fFcYiMKWA_2_23"/>
      <w:bookmarkStart w:id="2001" w:name="Tc_fL1TQGFCYUGlioXEX4yKMw_1_2"/>
      <w:bookmarkStart w:id="2002" w:name="_22929d7c_562a_4fe7_895a_94d6941c4e6c"/>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pPr>
            <w:r>
              <w:rPr>
                <w:rFonts w:ascii="Times New Roman;Times;serif" w:hAnsi="Times New Roman;Times;serif"/>
                <w:b w:val="false"/>
                <w:i/>
                <w:sz w:val="20"/>
              </w:rPr>
              <w:t>Grade 10 -</w:t>
            </w:r>
            <w:r>
              <w:rPr>
                <w:caps w:val="false"/>
                <w:smallCaps w:val="false"/>
              </w:rPr>
              <w:t xml:space="preserve"> </w:t>
            </w:r>
            <w:r>
              <w:rPr>
                <w:rFonts w:ascii="Times New Roman;Times;serif" w:hAnsi="Times New Roman;Times;serif"/>
                <w:b w:val="false"/>
                <w:i w:val="false"/>
                <w:caps w:val="false"/>
                <w:smallCaps w:val="false"/>
                <w:sz w:val="20"/>
              </w:rPr>
              <w:t>This grade includes “Loss” loans in accordance with regulatory guidelines for which total loss is expected and when identified are charged off.</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one-to-four-family first and second liens. Under the Uniform Retail Credit Classification Policy, loans that are current or less than 90 days past due are graded “Pass” and risk rated “4” or “5” internally. Loans that are past due more than 90 days are classified “Substandard” risk graded “8” internally until the loan has demonstrated consistent performance, typically six months of contractual payments. Closed-end loans that are 120 days past due and open-end loans that are 180 days past due are charged off based on the value of the collateral less cost to sell.  Management may choose to conservatively risk rate credits even if paying in accordance with the loan’s repayment terms.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Commercial real estate, construction and development, multi-family and commercial business loans are evaluated individually for their risk classification and may 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commercial real estate borrowers with loans exceeding a certain dollar threshold are usually required to submit rent rolls or property income statements annually.  We monitor construction loans monthly.  We also review loans graded “Watch” or worse, regardless of loan type, no less than quarterly.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tables summarize risk rated loan balances by category as of the dates indicated.  Term loans that were renewed or extended for periods longer than 90 days are presented as a new origination in the year of the most recent renewal or extension.</w:t>
      </w:r>
    </w:p>
    <w:p>
      <w:pPr>
        <w:pStyle w:val="TextBody"/>
        <w:bidi w:val="0"/>
        <w:spacing w:before="0" w:after="0"/>
        <w:ind w:left="0" w:right="0" w:hanging="0"/>
        <w:jc w:val="left"/>
        <w:rPr/>
      </w:pPr>
      <w:r>
        <w:rPr/>
        <w:t>​</w:t>
      </w:r>
    </w:p>
    <w:tbl>
      <w:tblPr>
        <w:tblW w:w="10849" w:type="dxa"/>
        <w:jc w:val="left"/>
        <w:tblInd w:w="0" w:type="dxa"/>
        <w:tblLayout w:type="fixed"/>
        <w:tblCellMar>
          <w:top w:w="0" w:type="dxa"/>
          <w:left w:w="0" w:type="dxa"/>
          <w:bottom w:w="0" w:type="dxa"/>
          <w:right w:w="0" w:type="dxa"/>
        </w:tblCellMar>
      </w:tblPr>
      <w:tblGrid>
        <w:gridCol w:w="1471"/>
        <w:gridCol w:w="146"/>
        <w:gridCol w:w="196"/>
        <w:gridCol w:w="691"/>
        <w:gridCol w:w="146"/>
        <w:gridCol w:w="196"/>
        <w:gridCol w:w="691"/>
        <w:gridCol w:w="146"/>
        <w:gridCol w:w="196"/>
        <w:gridCol w:w="691"/>
        <w:gridCol w:w="146"/>
        <w:gridCol w:w="196"/>
        <w:gridCol w:w="691"/>
        <w:gridCol w:w="146"/>
        <w:gridCol w:w="196"/>
        <w:gridCol w:w="691"/>
        <w:gridCol w:w="146"/>
        <w:gridCol w:w="196"/>
        <w:gridCol w:w="691"/>
        <w:gridCol w:w="146"/>
        <w:gridCol w:w="203"/>
        <w:gridCol w:w="623"/>
        <w:gridCol w:w="109"/>
        <w:gridCol w:w="283"/>
        <w:gridCol w:w="543"/>
        <w:gridCol w:w="146"/>
        <w:gridCol w:w="196"/>
        <w:gridCol w:w="93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34085" cy="175260"/>
                      <wp:effectExtent l="0" t="0" r="0" b="0"/>
                      <wp:wrapNone/>
                      <wp:docPr id="264" name="Frame264"/>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92710" cy="175260"/>
                      <wp:effectExtent l="0" t="0" r="0" b="0"/>
                      <wp:wrapNone/>
                      <wp:docPr id="265" name="Frame26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24460" cy="175260"/>
                      <wp:effectExtent l="0" t="0" r="0" b="0"/>
                      <wp:wrapNone/>
                      <wp:docPr id="266" name="Frame26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38785" cy="175260"/>
                      <wp:effectExtent l="0" t="0" r="0" b="0"/>
                      <wp:wrapNone/>
                      <wp:docPr id="267" name="Frame2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92710" cy="175260"/>
                      <wp:effectExtent l="0" t="0" r="0" b="0"/>
                      <wp:wrapNone/>
                      <wp:docPr id="268" name="Frame2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4460" cy="175260"/>
                      <wp:effectExtent l="0" t="0" r="0" b="0"/>
                      <wp:wrapNone/>
                      <wp:docPr id="269" name="Frame26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38785" cy="175260"/>
                      <wp:effectExtent l="0" t="0" r="0" b="0"/>
                      <wp:wrapNone/>
                      <wp:docPr id="270" name="Frame2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92710" cy="175260"/>
                      <wp:effectExtent l="0" t="0" r="0" b="0"/>
                      <wp:wrapNone/>
                      <wp:docPr id="271" name="Frame2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24460" cy="175260"/>
                      <wp:effectExtent l="0" t="0" r="0" b="0"/>
                      <wp:wrapNone/>
                      <wp:docPr id="272" name="Frame27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38785" cy="175260"/>
                      <wp:effectExtent l="0" t="0" r="0" b="0"/>
                      <wp:wrapNone/>
                      <wp:docPr id="273" name="Frame2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2710" cy="175260"/>
                      <wp:effectExtent l="0" t="0" r="0" b="0"/>
                      <wp:wrapNone/>
                      <wp:docPr id="274" name="Frame27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24460" cy="175260"/>
                      <wp:effectExtent l="0" t="0" r="0" b="0"/>
                      <wp:wrapNone/>
                      <wp:docPr id="275" name="Frame27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38785" cy="175260"/>
                      <wp:effectExtent l="0" t="0" r="0" b="0"/>
                      <wp:wrapNone/>
                      <wp:docPr id="276" name="Frame2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92710" cy="175260"/>
                      <wp:effectExtent l="0" t="0" r="0" b="0"/>
                      <wp:wrapNone/>
                      <wp:docPr id="277" name="Frame27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4460" cy="175260"/>
                      <wp:effectExtent l="0" t="0" r="0" b="0"/>
                      <wp:wrapNone/>
                      <wp:docPr id="278" name="Frame27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38785" cy="175260"/>
                      <wp:effectExtent l="0" t="0" r="0" b="0"/>
                      <wp:wrapNone/>
                      <wp:docPr id="279" name="Frame27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92710" cy="175260"/>
                      <wp:effectExtent l="0" t="0" r="0" b="0"/>
                      <wp:wrapNone/>
                      <wp:docPr id="280" name="Frame2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24460" cy="175260"/>
                      <wp:effectExtent l="0" t="0" r="0" b="0"/>
                      <wp:wrapNone/>
                      <wp:docPr id="281" name="Frame28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38785" cy="175260"/>
                      <wp:effectExtent l="0" t="0" r="0" b="0"/>
                      <wp:wrapNone/>
                      <wp:docPr id="282" name="Frame28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92710" cy="175260"/>
                      <wp:effectExtent l="0" t="0" r="0" b="0"/>
                      <wp:wrapNone/>
                      <wp:docPr id="283" name="Frame28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8905" cy="175260"/>
                      <wp:effectExtent l="0" t="0" r="0" b="0"/>
                      <wp:wrapNone/>
                      <wp:docPr id="284" name="Frame284"/>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95605" cy="175260"/>
                      <wp:effectExtent l="0" t="0" r="0" b="0"/>
                      <wp:wrapNone/>
                      <wp:docPr id="285" name="Frame285"/>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79705" cy="175260"/>
                      <wp:effectExtent l="0" t="0" r="0" b="0"/>
                      <wp:wrapNone/>
                      <wp:docPr id="287" name="Frame287"/>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44805" cy="175260"/>
                      <wp:effectExtent l="0" t="0" r="0" b="0"/>
                      <wp:wrapNone/>
                      <wp:docPr id="288" name="Frame288"/>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92710" cy="175260"/>
                      <wp:effectExtent l="0" t="0" r="0" b="0"/>
                      <wp:wrapNone/>
                      <wp:docPr id="289" name="Frame28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24460" cy="175260"/>
                      <wp:effectExtent l="0" t="0" r="0" b="0"/>
                      <wp:wrapNone/>
                      <wp:docPr id="290" name="Frame29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91185" cy="175260"/>
                      <wp:effectExtent l="0" t="0" r="0" b="0"/>
                      <wp:wrapNone/>
                      <wp:docPr id="291" name="Frame2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232"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2023</w:t>
            </w:r>
          </w:p>
        </w:tc>
      </w:tr>
      <w:tr>
        <w:trPr/>
        <w:tc>
          <w:tcPr>
            <w:tcW w:w="14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03" w:type="dxa"/>
            <w:tcBorders/>
            <w:vAlign w:val="center"/>
          </w:tcPr>
          <w:p>
            <w:pPr>
              <w:pStyle w:val="TableContents"/>
              <w:bidi w:val="0"/>
              <w:spacing w:before="0" w:after="0"/>
              <w:ind w:left="0" w:right="0" w:hanging="0"/>
              <w:jc w:val="center"/>
              <w:rPr/>
            </w:pPr>
            <w:r>
              <w:rPr/>
              <w:t>​</w:t>
            </w:r>
          </w:p>
        </w:tc>
        <w:tc>
          <w:tcPr>
            <w:tcW w:w="6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REAL ESTATE LOANS</w:t>
            </w:r>
          </w:p>
        </w:tc>
        <w:tc>
          <w:tcPr>
            <w:tcW w:w="146" w:type="dxa"/>
            <w:tcBorders/>
            <w:vAlign w:val="center"/>
          </w:tcPr>
          <w:p>
            <w:pPr>
              <w:pStyle w:val="TableContents"/>
              <w:bidi w:val="0"/>
              <w:spacing w:before="0" w:after="0"/>
              <w:ind w:left="0" w:right="0" w:hanging="0"/>
              <w:jc w:val="left"/>
              <w:rPr/>
            </w:pPr>
            <w:r>
              <w:rPr/>
              <w:t> </w:t>
            </w:r>
          </w:p>
        </w:tc>
        <w:tc>
          <w:tcPr>
            <w:tcW w:w="605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18,901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88,035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76,437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48,519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28,338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70,116</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330,675</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Watch</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9,976</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1,940</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1,940</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commercial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18,901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97,542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76,437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48,519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29,208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72,056</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343,008</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and development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5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51,332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177,805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66,261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16,102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312,093</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construction and development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51,332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177,805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66,261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16,102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312,093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2,042</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1,716</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1,606</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6,672</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2,345</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47,862</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62,254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home equity</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2,042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6,672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2,384</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47,873</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62,304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 gross charge-offs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One-to-four-family</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59,664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165,085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125,437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80,959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33,353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53,756</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518,731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Watch</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871</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2,132</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2,132</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one-to-four-family</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59,664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165,956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125,437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80,959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33,353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55,888</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521,734</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34,254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78,174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47,901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38,398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28,522</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231,675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multi-family</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4,426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34,254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78,174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47,901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38,398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28,522</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231,675</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real estate loans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136,365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477,273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347,915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200,153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100,970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159,443</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47,889</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1,470,814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003" w:name="Tc_fRICr2aUGkehJBk3wJ3HRA_23_26"/>
      <w:bookmarkStart w:id="2004" w:name="Tc_dJeRctaoZkaGPNYjL6Enlg_23_24"/>
      <w:bookmarkStart w:id="2005" w:name="Tc_EG33m03eD0uy1VURokg3lg_23_23"/>
      <w:bookmarkStart w:id="2006" w:name="Tc_a5QmHAH0iEaDaLbXge_NBw_23_20"/>
      <w:bookmarkStart w:id="2007" w:name="Tc_zGZtowUE_km40ZgtxEUfCg_23_17"/>
      <w:bookmarkStart w:id="2008" w:name="Tc_QfBzBUZIbUy0aqw1yjESug_23_14"/>
      <w:bookmarkStart w:id="2009" w:name="Tc_2i7UcL69aU6RSP30i9jDIQ_23_11"/>
      <w:bookmarkStart w:id="2010" w:name="Tc_t2gMEgasXkahhKtkGbHqEw_23_8"/>
      <w:bookmarkStart w:id="2011" w:name="Tc_4yznCdn8BUuwQlcWeF7YgA_23_5"/>
      <w:bookmarkStart w:id="2012" w:name="Tc_GoheSQUZa0aH5dMsNDu1rQ_23_2"/>
      <w:bookmarkStart w:id="2013" w:name="Tc_OoSJ4AsY8kWP5WWAK0xNrw_23_0"/>
      <w:bookmarkStart w:id="2014" w:name="Tc_3PKa_vW2W0CEhTYfLw7gig_22_26"/>
      <w:bookmarkStart w:id="2015" w:name="Tc__9WAOqJXwkWkLYXbqxHIow_22_23"/>
      <w:bookmarkStart w:id="2016" w:name="Tc_RA3U8rztMUqLMf4RjSBY7w_22_20"/>
      <w:bookmarkStart w:id="2017" w:name="Tc_yWwSkKOUakeusjee1ja2dg_22_17"/>
      <w:bookmarkStart w:id="2018" w:name="Tc_XMfPRDsgaUGMdkRo_MOlhQ_22_14"/>
      <w:bookmarkStart w:id="2019" w:name="Tc_NjzshSBm8U-OQcr5y7JioQ_22_11"/>
      <w:bookmarkStart w:id="2020" w:name="Tc_DxYq_IU2v0O-WtU_6cdzdQ_22_8"/>
      <w:bookmarkStart w:id="2021" w:name="Tc_Hyh0y1y0EUSU6MTd4mgabQ_22_5"/>
      <w:bookmarkStart w:id="2022" w:name="Tc_AQPUjGVf3UaRMaK2PUKTAw_22_2"/>
      <w:bookmarkStart w:id="2023" w:name="Tc_NCDWTNL9CEqPdE02QKYiKg_22_0"/>
      <w:bookmarkStart w:id="2024" w:name="Tc_rdnkyUYSBkOx-ap0YV5j5Q_21_24"/>
      <w:bookmarkStart w:id="2025" w:name="Tc_etV_GeorZECLWva7e4-CjA_21_0"/>
      <w:bookmarkStart w:id="2026" w:name="Tc_ogD43bygX0WxJhLOncxfvw_20_24"/>
      <w:bookmarkStart w:id="2027" w:name="Tc_QWCuwFGnFkG9s5UzuiHp_w_20_12"/>
      <w:bookmarkStart w:id="2028" w:name="Tc_PwvBsiPsS06-cVljcdAkUA_20_9"/>
      <w:bookmarkStart w:id="2029" w:name="Tc_NqnVXc34k0iW7dc4gAneaA_20_6"/>
      <w:bookmarkStart w:id="2030" w:name="Tc_wRxIBuUNeEi5HHMRqFArXw_20_3"/>
      <w:bookmarkStart w:id="2031" w:name="Tc_qx-d299Xok-pHJs1wP-AIg_20_0"/>
      <w:bookmarkStart w:id="2032" w:name="Tc_fcwWYq3U20qHR9F2i1C1wA_19_24"/>
      <w:bookmarkStart w:id="2033" w:name="Tc_4dOdHD8jHEe2U9RxpKpJRQ_19_0"/>
      <w:bookmarkStart w:id="2034" w:name="Tc_bqHdnOXKpkagoPja56ZWAA_18_26"/>
      <w:bookmarkStart w:id="2035" w:name="Tc_qYPFcxmLYUuMQSieeAsd1w_18_23"/>
      <w:bookmarkStart w:id="2036" w:name="Tc_acg8bpfZY02W7w59Gzc8MQ_18_20"/>
      <w:bookmarkStart w:id="2037" w:name="Tc_wVKrdALBu0mEO1U50AOR-w_18_17"/>
      <w:bookmarkStart w:id="2038" w:name="Tc_Lli9_2VpzUar_4i_OVRBqQ_18_14"/>
      <w:bookmarkStart w:id="2039" w:name="Tc_5hdhMm7dJUiG7J7bDifwXg_18_11"/>
      <w:bookmarkStart w:id="2040" w:name="Tc_DB7NRkuClkutZDGox43xCA_18_8"/>
      <w:bookmarkStart w:id="2041" w:name="Tc_vffumXBdjUKj9sQ5aOG_dg_18_5"/>
      <w:bookmarkStart w:id="2042" w:name="Tc_VB3YtEExyEG72wcDSFPfQQ_18_2"/>
      <w:bookmarkStart w:id="2043" w:name="Tc_JkTdbIcdtUefuyLwJzVgfg_18_0"/>
      <w:bookmarkStart w:id="2044" w:name="Tc_A2kUfVrEEka7ER8TqwiSUg_17_0"/>
      <w:bookmarkStart w:id="2045" w:name="Tc_VVShrjINCESkdSGvB4lLsw_15_26"/>
      <w:bookmarkStart w:id="2046" w:name="Tc_r5Wa7nl1_E-OvpyhNoFdhA_15_23"/>
      <w:bookmarkStart w:id="2047" w:name="Tc_OlOxd-lw0UuLif3rQPdp0A_15_20"/>
      <w:bookmarkStart w:id="2048" w:name="Tc_xtEM_0MiYkydiw71dX5ifw_15_17"/>
      <w:bookmarkStart w:id="2049" w:name="Tc_-XJMSp8ttk2EMWiI1pi4Qg_15_14"/>
      <w:bookmarkStart w:id="2050" w:name="Tc_ioN02OVUPEmKxQuCPnYn7Q_15_11"/>
      <w:bookmarkStart w:id="2051" w:name="Tc_-S8tGNDIzEeSRpTb1EzCcg_15_8"/>
      <w:bookmarkStart w:id="2052" w:name="Tc_c-sdgAo5Rki0RqgJlXmfsA_15_5"/>
      <w:bookmarkStart w:id="2053" w:name="Tc_ticrdTMQOEi7Pz8AhpJv7A_15_2"/>
      <w:bookmarkStart w:id="2054" w:name="Tc_4mcKGb5mCUaPFn7V0k6rkA_15_0"/>
      <w:bookmarkStart w:id="2055" w:name="Tc_jB2FBdY8u02s38XnGacjuQ_14_24"/>
      <w:bookmarkStart w:id="2056" w:name="Tc_9gxR5W2g50aR1K_hbjHE6Q_14_18"/>
      <w:bookmarkStart w:id="2057" w:name="Tc_1uBQxAqKI0GmESXwwyhovQ_14_15"/>
      <w:bookmarkStart w:id="2058" w:name="Tc_BCFrCxVDYkOzeHa3FDkEjA_14_12"/>
      <w:bookmarkStart w:id="2059" w:name="Tc_ba7b9ksAbUC8O0j_5V1QAw_14_9"/>
      <w:bookmarkStart w:id="2060" w:name="Tc_aPmo18hujESpbeI7k4lGcg_14_6"/>
      <w:bookmarkStart w:id="2061" w:name="Tc_Oc5FJYQlHEGrY0YFgf1-Kw_14_3"/>
      <w:bookmarkStart w:id="2062" w:name="Tc_b61LOi00eUCAjq0ueB5FgQ_14_0"/>
      <w:bookmarkStart w:id="2063" w:name="Tc_sWvUkDmObU-NLvTMi12NOA_13_24"/>
      <w:bookmarkStart w:id="2064" w:name="Tc_l-Vf-uQK-0CED_FUEFG-1Q_13_18"/>
      <w:bookmarkStart w:id="2065" w:name="Tc_A-tWcq8J70aQDpsyqfUWAg_13_15"/>
      <w:bookmarkStart w:id="2066" w:name="Tc_UZwMmi7F9UWNmTZga0qqXw_13_12"/>
      <w:bookmarkStart w:id="2067" w:name="Tc_uOZQrPh8bE-rReFqPdbd7g_13_9"/>
      <w:bookmarkStart w:id="2068" w:name="Tc_e2BL-0J2dUS_sowd7AhRGQ_13_6"/>
      <w:bookmarkStart w:id="2069" w:name="Tc_mBe282nNr0yf5rZql15TlQ_13_3"/>
      <w:bookmarkStart w:id="2070" w:name="Tc_mpGtPK2FXEq3giZg5RLtAw_13_0"/>
      <w:bookmarkStart w:id="2071" w:name="Tc_ENBYl016P0qv_k0dMB31kw_12_24"/>
      <w:bookmarkStart w:id="2072" w:name="Tc_3e37wsK89kCiyqlHy7ZsCA_12_18"/>
      <w:bookmarkStart w:id="2073" w:name="Tc_Tzv8EUDMqEahEY71bODMfg_12_15"/>
      <w:bookmarkStart w:id="2074" w:name="Tc_0Ojceh3wBEGdLMXK3zrIfA_12_12"/>
      <w:bookmarkStart w:id="2075" w:name="Tc_5n6KK23wIEiljeNyl7cHBQ_12_9"/>
      <w:bookmarkStart w:id="2076" w:name="Tc_QB1r-tHCVkqhugjnetDvzw_12_6"/>
      <w:bookmarkStart w:id="2077" w:name="Tc_Cr-diN2WF0-hftcndRiRLQ_12_3"/>
      <w:bookmarkStart w:id="2078" w:name="Tc_RVd4ovl2-Ea0UnlwHESpGA_12_0"/>
      <w:bookmarkStart w:id="2079" w:name="Tc_DKvTcr87j0yo8wtg7gHq7g_11_0"/>
      <w:bookmarkStart w:id="2080" w:name="Tc_gPs17ejrlkOtUk3S5mt_vw_10_24"/>
      <w:bookmarkStart w:id="2081" w:name="Tc_M4aV0PDQDEu1WQhU7KDO-g_10_21"/>
      <w:bookmarkStart w:id="2082" w:name="Tc_LqbW8kMaP0ezAbjQEb009Q_10_18"/>
      <w:bookmarkStart w:id="2083" w:name="Tc_cP1_bwOXbEu6nuD5eWbG3w_10_15"/>
      <w:bookmarkStart w:id="2084" w:name="Tc_AElS7q_cakCez5FHtgsTUw_10_12"/>
      <w:bookmarkStart w:id="2085" w:name="Tc_PVa1Gp278U-fY4bKDWe0Dw_10_6"/>
      <w:bookmarkStart w:id="2086" w:name="Tc_XZNdvt-k5ka8RvyGjP9oUw_10_3"/>
      <w:bookmarkStart w:id="2087" w:name="Tc_6zN-SqtWE0Ksy_Sapvgx6w_10_0"/>
      <w:bookmarkStart w:id="2088" w:name="Tc_Pma_QSO-ak-V26ZIUumoEA_9_0"/>
      <w:bookmarkStart w:id="2089" w:name="Tc_KdGnjWQIcUC77Jyr3er_wQ_8_24"/>
      <w:bookmarkStart w:id="2090" w:name="Tc_mz5kdoRtYkuezxni1naDzg_8_6"/>
      <w:bookmarkStart w:id="2091" w:name="Tc_ou7YExtlCUCa-BWWM5DkxA_8_0"/>
      <w:bookmarkStart w:id="2092" w:name="Tc_DGr39Y4bTEu69zzYuFT2nw_7_24"/>
      <w:bookmarkStart w:id="2093" w:name="Tc__e50YPhK3kaSr7ZN4fplRw_7_12"/>
      <w:bookmarkStart w:id="2094" w:name="Tc_lgMXPT32Mk6jaI98yqc6dA_7_9"/>
      <w:bookmarkStart w:id="2095" w:name="Tc_L7dmdvkIu0CYykGaVL-ZHQ_7_6"/>
      <w:bookmarkStart w:id="2096" w:name="Tc_z4wQtg196E26JIjuz3sQtw_7_3"/>
      <w:bookmarkStart w:id="2097" w:name="Tc_kdCnlrPvr0KUOrpO2-ZhVg_7_0"/>
      <w:bookmarkStart w:id="2098" w:name="Tc_uwYaMAIMk06K2Mlapk3ueQ_6_24"/>
      <w:bookmarkStart w:id="2099" w:name="Tc_8Z2rgYu5y0OG-fRmke6odw_6_15"/>
      <w:bookmarkStart w:id="2100" w:name="Tc_V3jyxVXBBECIu5x0T-BO-g_6_6"/>
      <w:bookmarkStart w:id="2101" w:name="Tc_q2PPU44uQEqMI3QaFLQhgQ_6_0"/>
      <w:bookmarkStart w:id="2102" w:name="Tc_l-R0IeGclESwjJAZ8nJv4Q_5_26"/>
      <w:bookmarkStart w:id="2103" w:name="Tc_4HuRtbTY-0uu9jHiXx3brA_5_23"/>
      <w:bookmarkStart w:id="2104" w:name="Tc_rBRbKpkCU0eaTyXU8K6QmA_5_20"/>
      <w:bookmarkStart w:id="2105" w:name="Tc_CnAJ62_5-U-we5BNDNKtbQ_5_17"/>
      <w:bookmarkStart w:id="2106" w:name="Tc_N2TYWxTngECWQDkQAdp8hQ_5_14"/>
      <w:bookmarkStart w:id="2107" w:name="Tc_CQ9bFPVq6EeHKYioBLvWfA_5_11"/>
      <w:bookmarkStart w:id="2108" w:name="Tc_GT8dKIoMlEmtCJJKAPdmag_5_8"/>
      <w:bookmarkStart w:id="2109" w:name="Tc_YBE5OYN4yU-toOt57m3Bow_5_5"/>
      <w:bookmarkStart w:id="2110" w:name="Tc_rPN-9ivY_ka_JyeVISJoxg_5_2"/>
      <w:bookmarkStart w:id="2111" w:name="Tc_1Kj_0bmn9Uy5QFSIgmem_w_5_0"/>
      <w:bookmarkStart w:id="2112" w:name="Tc_zjcvv4TKOUSXpkei82Y5ig_4_26"/>
      <w:bookmarkStart w:id="2113" w:name="Tc_xRWxB0YPUEqxjAXPLJjqJA_4_23"/>
      <w:bookmarkStart w:id="2114" w:name="Tc_amrrEYOLgkSMABc0qkSk-g_4_20"/>
      <w:bookmarkStart w:id="2115" w:name="Tc_iRG5jyLlV0qwJwUGao0CWA_4_17"/>
      <w:bookmarkStart w:id="2116" w:name="Tc_pQqGr__TIkS_Z-grL6RKig_4_14"/>
      <w:bookmarkStart w:id="2117" w:name="Tc_Qqk8BtPnREqTIHBLTZ_3kQ_4_11"/>
      <w:bookmarkStart w:id="2118" w:name="Tc_Z3zLvowjzEeAXbchu-8vkQ_4_8"/>
      <w:bookmarkStart w:id="2119" w:name="Tc_E7yCfwJJb0aYc4MHrzMqXQ_4_5"/>
      <w:bookmarkStart w:id="2120" w:name="Tc_Brn2BCzH80GO2UqediRkTg_4_2"/>
      <w:bookmarkStart w:id="2121" w:name="Tc_JpzENPigBE6-Q29g6cRyxw_4_0"/>
      <w:bookmarkStart w:id="2122" w:name="Tc_yFySjuZ5tU64fCu7Vj_MlA_3_23"/>
      <w:bookmarkStart w:id="2123" w:name="Tc_c2zLA8clVkCmT7uyZgCn4g_3_2"/>
      <w:bookmarkStart w:id="2124" w:name="Tc_B5sOsr6aH0uGWgVihHQoeg_3_0"/>
      <w:bookmarkStart w:id="2125" w:name="Tc_hbi8DahD_kKtaVbUBKNOEA_2_23"/>
      <w:bookmarkStart w:id="2126" w:name="Tc_bQBiGIH7vEufrbtOyBGdew_2_0"/>
      <w:bookmarkStart w:id="2127" w:name="Tc_j107TEtdm0KX3TWBcfoBTA_1_2"/>
      <w:bookmarkStart w:id="2128" w:name="_ad32d3a2_077f_43da_a333_3656a7d940f6"/>
      <w:bookmarkStart w:id="2129" w:name="Tc_EH_PypSEeEuTt4MQdSwaHA_19_26"/>
      <w:bookmarkStart w:id="2130" w:name="Tc_LjGPBe7O3EiijpLbEnWRHA_19_24"/>
      <w:bookmarkStart w:id="2131" w:name="Tc_S0Oc-4cXR0CbHDTDOCQ6Gw_19_23"/>
      <w:bookmarkStart w:id="2132" w:name="Tc_AI8m82kEIkaqsQn7obexkg_19_20"/>
      <w:bookmarkStart w:id="2133" w:name="Tc_feqFOrRB7U2GfUl3eF95lw_19_17"/>
      <w:bookmarkStart w:id="2134" w:name="Tc_bKd5WTfIYkKexyuZWZntDA_19_14"/>
      <w:bookmarkStart w:id="2135" w:name="Tc_EbuZNwFi3U6MYaaYp21Q5g_19_11"/>
      <w:bookmarkStart w:id="2136" w:name="Tc_urvxaKnMhEGlP2tCBGiflA_19_8"/>
      <w:bookmarkStart w:id="2137" w:name="Tc_jiCio7KjOkK4lYV9H1nm3g_19_5"/>
      <w:bookmarkStart w:id="2138" w:name="Tc_AUcS435o-Uismdi_2qXolw_19_2"/>
      <w:bookmarkStart w:id="2139" w:name="Tc_hOW6mRbcLk6OdLK7RZq3jg_19_0"/>
      <w:bookmarkStart w:id="2140" w:name="Tc_h1e9KEuiIk287R6UeR-GjA_18_24"/>
      <w:bookmarkStart w:id="2141" w:name="Tc_nZsq_kC970yc4Pjb7q9XiQ_18_18"/>
      <w:bookmarkStart w:id="2142" w:name="Tc_AkIuMVQir0uCDDA-Z3RnBA_18_15"/>
      <w:bookmarkStart w:id="2143" w:name="Tc_clNwPM4F7kuhJFBQHfpnJw_18_12"/>
      <w:bookmarkStart w:id="2144" w:name="Tc_horLRwllgE6nEsfEI4Ujxw_18_3"/>
      <w:bookmarkStart w:id="2145" w:name="Tc_s8ubWdIC8UyLB4LNCGbEXA_18_0"/>
      <w:bookmarkStart w:id="2146" w:name="Tc_UDO6oZthv0KGP-QHoF9WYQ_17_24"/>
      <w:bookmarkStart w:id="2147" w:name="Tc_siUEQoCdMEi4YTW87dGPxg_17_0"/>
      <w:bookmarkStart w:id="2148" w:name="Tc_YT2kB4d3bEac6PEsrAQWwQ_16_24"/>
      <w:bookmarkStart w:id="2149" w:name="Tc_c06VqckjXkGnmoIjjC2TdQ_16_18"/>
      <w:bookmarkStart w:id="2150" w:name="Tc_dGwb0Qi8vU2VQbNcJnwCMg_16_15"/>
      <w:bookmarkStart w:id="2151" w:name="Tc_GjM8JampN0-mC0wOCzL9UQ_16_12"/>
      <w:bookmarkStart w:id="2152" w:name="Tc_gueBWnZL3kSlv_i2Vs-2kw_16_9"/>
      <w:bookmarkStart w:id="2153" w:name="Tc_AON8TRwLfEuEPmpW5Lr1zw_16_6"/>
      <w:bookmarkStart w:id="2154" w:name="Tc_EaQp3mpWwkC0n0sm2MMy4Q_16_3"/>
      <w:bookmarkStart w:id="2155" w:name="Tc_V2OAT-EjJkeS1jWVfjF2aA_16_0"/>
      <w:bookmarkStart w:id="2156" w:name="Tc_ieshN9xi3UCRA39NIg2hMA_15_24"/>
      <w:bookmarkStart w:id="2157" w:name="Tc_F7JwlVhuakCDvj3wMRGyBQ_15_0"/>
      <w:bookmarkStart w:id="2158" w:name="Tc_111Pn9AhW0683daPNwLrKw_14_0"/>
      <w:bookmarkStart w:id="2159" w:name="Tc_SsavlhPz-ka5vbnByA4h1w_13_24"/>
      <w:bookmarkStart w:id="2160" w:name="Tc__sd6YraEjUeFmQePCClt_Q_13_21"/>
      <w:bookmarkStart w:id="2161" w:name="Tc_J9D3kEsgDkChshoIHQ9p2g_13_12"/>
      <w:bookmarkStart w:id="2162" w:name="Tc_Qeer0KJhF0mql7iErjVcTQ_13_3"/>
      <w:bookmarkStart w:id="2163" w:name="Tc_wXyBEb7-GU-iiV_vTlshCw_13_0"/>
      <w:bookmarkStart w:id="2164" w:name="Tc_iGl4FsgKvkOvTfd6n-cvsQ_12_24"/>
      <w:bookmarkStart w:id="2165" w:name="Tc_2-biltdm20SZYBbVReLH0g_12_21"/>
      <w:bookmarkStart w:id="2166" w:name="Tc_VlHO2uEVBUy-gg8ZdpQHjg_12_0"/>
      <w:bookmarkStart w:id="2167" w:name="Tc_ZZ06W2JwL0-lfne59M8Mqw_11_24"/>
      <w:bookmarkStart w:id="2168" w:name="Tc_tESkaOqz9kGu9mAzubhodw_11_21"/>
      <w:bookmarkStart w:id="2169" w:name="Tc_PnNY6kSNukW9YVpp24efuA_11_12"/>
      <w:bookmarkStart w:id="2170" w:name="Tc_I7ODOZ5zoEWMXSDE1QkAcw_11_6"/>
      <w:bookmarkStart w:id="2171" w:name="Tc_oChpXnrtbU-OnM9HB5YZlA_11_3"/>
      <w:bookmarkStart w:id="2172" w:name="Tc_d27fGLwKCUK1fnDVrGqo9A_11_0"/>
      <w:bookmarkStart w:id="2173" w:name="Tc_xNVGvHy_10ifakNVZsLU8w_10_24"/>
      <w:bookmarkStart w:id="2174" w:name="Tc_vvVT5Q3FVEyDuXGTstfBog_10_21"/>
      <w:bookmarkStart w:id="2175" w:name="Tc_HgH3cuyNZEe5I8ewvejRVw_10_0"/>
      <w:bookmarkStart w:id="2176" w:name="Tc_4Gn-qmpzxEKdcZY_MrtW6w_9_0"/>
      <w:bookmarkStart w:id="2177" w:name="Tc_zHK4vAkfuEmQFyNTWka5yA_8_24"/>
      <w:bookmarkStart w:id="2178" w:name="Tc_h_KyMSGGFUKPwPSsUvAwdA_8_21"/>
      <w:bookmarkStart w:id="2179" w:name="Tc_l-9g68VnKkiAYsCZpSvObQ_8_0"/>
      <w:bookmarkStart w:id="2180" w:name="Tc_B3pxXzdSAE2DLyHYDr12vQ_7_24"/>
      <w:bookmarkStart w:id="2181" w:name="Tc_XJO2nimNBkKX2TCT5ZCtoQ_7_0"/>
      <w:bookmarkStart w:id="2182" w:name="Tc_J4MBlvBrJ0CRhxUILwDB1g_6_24"/>
      <w:bookmarkStart w:id="2183" w:name="Tc_1pqjdsqIykmdIqlHYOktwA_6_21"/>
      <w:bookmarkStart w:id="2184" w:name="Tc_gxtt8_RzJUK88tJvpOXHeg_6_0"/>
      <w:bookmarkStart w:id="2185" w:name="Tc_tPcUQ5WFJE-zDS5bFKnRsw_5_26"/>
      <w:bookmarkStart w:id="2186" w:name="Tc_Eygm3vBqhEaTY5DszWsimA_5_24"/>
      <w:bookmarkStart w:id="2187" w:name="Tc_4qTmnUzWxUCtP0J3sROZyg_5_23"/>
      <w:bookmarkStart w:id="2188" w:name="Tc_UOk6YBvmu0G2gwW3bXe5ug_5_20"/>
      <w:bookmarkStart w:id="2189" w:name="Tc_QqF87qqR6Eu6Gy7FEfqC7g_5_17"/>
      <w:bookmarkStart w:id="2190" w:name="Tc_R9KUFMuUAkGD8iH3Wxutow_5_14"/>
      <w:bookmarkStart w:id="2191" w:name="Tc_uvpiJCOL40ux0SNCdqVgXQ_5_11"/>
      <w:bookmarkStart w:id="2192" w:name="Tc_DjgdtXTAQUWy4uhoVJhOCw_5_8"/>
      <w:bookmarkStart w:id="2193" w:name="Tc_D0oSF2y_nEGXriWU65795g_5_5"/>
      <w:bookmarkStart w:id="2194" w:name="Tc_bco-FHFBJESf5fDIihXo-w_5_2"/>
      <w:bookmarkStart w:id="2195" w:name="Tc_KDY2GXNyvky1Vjwt8okA5A_5_0"/>
      <w:bookmarkStart w:id="2196" w:name="Tc_w4x54lxOCU6OGuybAyDSSw_4_26"/>
      <w:bookmarkStart w:id="2197" w:name="Tc_DmXFpIWrBUixqc4ZRiqh4Q_4_23"/>
      <w:bookmarkStart w:id="2198" w:name="Tc_T7lXEX06_EembNABNJIfCg_4_20"/>
      <w:bookmarkStart w:id="2199" w:name="Tc_jqqQFXZId0myPkbke1weUQ_4_17"/>
      <w:bookmarkStart w:id="2200" w:name="Tc_ieuPm2B00EGDxV-_V7LlSw_4_14"/>
      <w:bookmarkStart w:id="2201" w:name="Tc_qfffTk5JJU6FAcCGOyw-Xg_4_11"/>
      <w:bookmarkStart w:id="2202" w:name="Tc_0JEHLLzWKEWv_hfYGfkVFg_4_8"/>
      <w:bookmarkStart w:id="2203" w:name="Tc_l7ocGLLCeUGJ3_k_41Jlcw_4_5"/>
      <w:bookmarkStart w:id="2204" w:name="Tc_UFron2TMIU621q5oPi7gVg_4_2"/>
      <w:bookmarkStart w:id="2205" w:name="Tc_lT-yQclNoUKQePv4R39uGQ_4_0"/>
      <w:bookmarkStart w:id="2206" w:name="Tc_XEv5vtUSf0y1eCogYJmXtQ_3_23"/>
      <w:bookmarkStart w:id="2207" w:name="Tc_D8fSE-9W6EGTisko8JoHyA_3_2"/>
      <w:bookmarkStart w:id="2208" w:name="Tc_SUAFU_heokibPFt1MNiFvA_3_0"/>
      <w:bookmarkStart w:id="2209" w:name="Tc_vFAQLriztE-94p8RgssRzA_2_23"/>
      <w:bookmarkStart w:id="2210" w:name="Tc_V8b4ODn0rkKOuqdfFY6KXg_1_2"/>
      <w:bookmarkStart w:id="2211" w:name="_0ef79d88_942b_4d11_9ed1_95c3f9cbbc1c"/>
      <w:bookmarkStart w:id="2212" w:name="Tc_fRICr2aUGkehJBk3wJ3HRA_23_26"/>
      <w:bookmarkStart w:id="2213" w:name="Tc_dJeRctaoZkaGPNYjL6Enlg_23_24"/>
      <w:bookmarkStart w:id="2214" w:name="Tc_EG33m03eD0uy1VURokg3lg_23_23"/>
      <w:bookmarkStart w:id="2215" w:name="Tc_a5QmHAH0iEaDaLbXge_NBw_23_20"/>
      <w:bookmarkStart w:id="2216" w:name="Tc_zGZtowUE_km40ZgtxEUfCg_23_17"/>
      <w:bookmarkStart w:id="2217" w:name="Tc_QfBzBUZIbUy0aqw1yjESug_23_14"/>
      <w:bookmarkStart w:id="2218" w:name="Tc_2i7UcL69aU6RSP30i9jDIQ_23_11"/>
      <w:bookmarkStart w:id="2219" w:name="Tc_t2gMEgasXkahhKtkGbHqEw_23_8"/>
      <w:bookmarkStart w:id="2220" w:name="Tc_4yznCdn8BUuwQlcWeF7YgA_23_5"/>
      <w:bookmarkStart w:id="2221" w:name="Tc_GoheSQUZa0aH5dMsNDu1rQ_23_2"/>
      <w:bookmarkStart w:id="2222" w:name="Tc_OoSJ4AsY8kWP5WWAK0xNrw_23_0"/>
      <w:bookmarkStart w:id="2223" w:name="Tc_3PKa_vW2W0CEhTYfLw7gig_22_26"/>
      <w:bookmarkStart w:id="2224" w:name="Tc__9WAOqJXwkWkLYXbqxHIow_22_23"/>
      <w:bookmarkStart w:id="2225" w:name="Tc_RA3U8rztMUqLMf4RjSBY7w_22_20"/>
      <w:bookmarkStart w:id="2226" w:name="Tc_yWwSkKOUakeusjee1ja2dg_22_17"/>
      <w:bookmarkStart w:id="2227" w:name="Tc_XMfPRDsgaUGMdkRo_MOlhQ_22_14"/>
      <w:bookmarkStart w:id="2228" w:name="Tc_NjzshSBm8U-OQcr5y7JioQ_22_11"/>
      <w:bookmarkStart w:id="2229" w:name="Tc_DxYq_IU2v0O-WtU_6cdzdQ_22_8"/>
      <w:bookmarkStart w:id="2230" w:name="Tc_Hyh0y1y0EUSU6MTd4mgabQ_22_5"/>
      <w:bookmarkStart w:id="2231" w:name="Tc_AQPUjGVf3UaRMaK2PUKTAw_22_2"/>
      <w:bookmarkStart w:id="2232" w:name="Tc_NCDWTNL9CEqPdE02QKYiKg_22_0"/>
      <w:bookmarkStart w:id="2233" w:name="Tc_rdnkyUYSBkOx-ap0YV5j5Q_21_24"/>
      <w:bookmarkStart w:id="2234" w:name="Tc_etV_GeorZECLWva7e4-CjA_21_0"/>
      <w:bookmarkStart w:id="2235" w:name="Tc_ogD43bygX0WxJhLOncxfvw_20_24"/>
      <w:bookmarkStart w:id="2236" w:name="Tc_QWCuwFGnFkG9s5UzuiHp_w_20_12"/>
      <w:bookmarkStart w:id="2237" w:name="Tc_PwvBsiPsS06-cVljcdAkUA_20_9"/>
      <w:bookmarkStart w:id="2238" w:name="Tc_NqnVXc34k0iW7dc4gAneaA_20_6"/>
      <w:bookmarkStart w:id="2239" w:name="Tc_wRxIBuUNeEi5HHMRqFArXw_20_3"/>
      <w:bookmarkStart w:id="2240" w:name="Tc_qx-d299Xok-pHJs1wP-AIg_20_0"/>
      <w:bookmarkStart w:id="2241" w:name="Tc_fcwWYq3U20qHR9F2i1C1wA_19_24"/>
      <w:bookmarkStart w:id="2242" w:name="Tc_4dOdHD8jHEe2U9RxpKpJRQ_19_0"/>
      <w:bookmarkStart w:id="2243" w:name="Tc_bqHdnOXKpkagoPja56ZWAA_18_26"/>
      <w:bookmarkStart w:id="2244" w:name="Tc_qYPFcxmLYUuMQSieeAsd1w_18_23"/>
      <w:bookmarkStart w:id="2245" w:name="Tc_acg8bpfZY02W7w59Gzc8MQ_18_20"/>
      <w:bookmarkStart w:id="2246" w:name="Tc_wVKrdALBu0mEO1U50AOR-w_18_17"/>
      <w:bookmarkStart w:id="2247" w:name="Tc_Lli9_2VpzUar_4i_OVRBqQ_18_14"/>
      <w:bookmarkStart w:id="2248" w:name="Tc_5hdhMm7dJUiG7J7bDifwXg_18_11"/>
      <w:bookmarkStart w:id="2249" w:name="Tc_DB7NRkuClkutZDGox43xCA_18_8"/>
      <w:bookmarkStart w:id="2250" w:name="Tc_vffumXBdjUKj9sQ5aOG_dg_18_5"/>
      <w:bookmarkStart w:id="2251" w:name="Tc_VB3YtEExyEG72wcDSFPfQQ_18_2"/>
      <w:bookmarkStart w:id="2252" w:name="Tc_JkTdbIcdtUefuyLwJzVgfg_18_0"/>
      <w:bookmarkStart w:id="2253" w:name="Tc_A2kUfVrEEka7ER8TqwiSUg_17_0"/>
      <w:bookmarkStart w:id="2254" w:name="Tc_VVShrjINCESkdSGvB4lLsw_15_26"/>
      <w:bookmarkStart w:id="2255" w:name="Tc_r5Wa7nl1_E-OvpyhNoFdhA_15_23"/>
      <w:bookmarkStart w:id="2256" w:name="Tc_OlOxd-lw0UuLif3rQPdp0A_15_20"/>
      <w:bookmarkStart w:id="2257" w:name="Tc_xtEM_0MiYkydiw71dX5ifw_15_17"/>
      <w:bookmarkStart w:id="2258" w:name="Tc_-XJMSp8ttk2EMWiI1pi4Qg_15_14"/>
      <w:bookmarkStart w:id="2259" w:name="Tc_ioN02OVUPEmKxQuCPnYn7Q_15_11"/>
      <w:bookmarkStart w:id="2260" w:name="Tc_-S8tGNDIzEeSRpTb1EzCcg_15_8"/>
      <w:bookmarkStart w:id="2261" w:name="Tc_c-sdgAo5Rki0RqgJlXmfsA_15_5"/>
      <w:bookmarkStart w:id="2262" w:name="Tc_ticrdTMQOEi7Pz8AhpJv7A_15_2"/>
      <w:bookmarkStart w:id="2263" w:name="Tc_4mcKGb5mCUaPFn7V0k6rkA_15_0"/>
      <w:bookmarkStart w:id="2264" w:name="Tc_jB2FBdY8u02s38XnGacjuQ_14_24"/>
      <w:bookmarkStart w:id="2265" w:name="Tc_9gxR5W2g50aR1K_hbjHE6Q_14_18"/>
      <w:bookmarkStart w:id="2266" w:name="Tc_1uBQxAqKI0GmESXwwyhovQ_14_15"/>
      <w:bookmarkStart w:id="2267" w:name="Tc_BCFrCxVDYkOzeHa3FDkEjA_14_12"/>
      <w:bookmarkStart w:id="2268" w:name="Tc_ba7b9ksAbUC8O0j_5V1QAw_14_9"/>
      <w:bookmarkStart w:id="2269" w:name="Tc_aPmo18hujESpbeI7k4lGcg_14_6"/>
      <w:bookmarkStart w:id="2270" w:name="Tc_Oc5FJYQlHEGrY0YFgf1-Kw_14_3"/>
      <w:bookmarkStart w:id="2271" w:name="Tc_b61LOi00eUCAjq0ueB5FgQ_14_0"/>
      <w:bookmarkStart w:id="2272" w:name="Tc_sWvUkDmObU-NLvTMi12NOA_13_24"/>
      <w:bookmarkStart w:id="2273" w:name="Tc_l-Vf-uQK-0CED_FUEFG-1Q_13_18"/>
      <w:bookmarkStart w:id="2274" w:name="Tc_A-tWcq8J70aQDpsyqfUWAg_13_15"/>
      <w:bookmarkStart w:id="2275" w:name="Tc_UZwMmi7F9UWNmTZga0qqXw_13_12"/>
      <w:bookmarkStart w:id="2276" w:name="Tc_uOZQrPh8bE-rReFqPdbd7g_13_9"/>
      <w:bookmarkStart w:id="2277" w:name="Tc_e2BL-0J2dUS_sowd7AhRGQ_13_6"/>
      <w:bookmarkStart w:id="2278" w:name="Tc_mBe282nNr0yf5rZql15TlQ_13_3"/>
      <w:bookmarkStart w:id="2279" w:name="Tc_mpGtPK2FXEq3giZg5RLtAw_13_0"/>
      <w:bookmarkStart w:id="2280" w:name="Tc_ENBYl016P0qv_k0dMB31kw_12_24"/>
      <w:bookmarkStart w:id="2281" w:name="Tc_3e37wsK89kCiyqlHy7ZsCA_12_18"/>
      <w:bookmarkStart w:id="2282" w:name="Tc_Tzv8EUDMqEahEY71bODMfg_12_15"/>
      <w:bookmarkStart w:id="2283" w:name="Tc_0Ojceh3wBEGdLMXK3zrIfA_12_12"/>
      <w:bookmarkStart w:id="2284" w:name="Tc_5n6KK23wIEiljeNyl7cHBQ_12_9"/>
      <w:bookmarkStart w:id="2285" w:name="Tc_QB1r-tHCVkqhugjnetDvzw_12_6"/>
      <w:bookmarkStart w:id="2286" w:name="Tc_Cr-diN2WF0-hftcndRiRLQ_12_3"/>
      <w:bookmarkStart w:id="2287" w:name="Tc_RVd4ovl2-Ea0UnlwHESpGA_12_0"/>
      <w:bookmarkStart w:id="2288" w:name="Tc_DKvTcr87j0yo8wtg7gHq7g_11_0"/>
      <w:bookmarkStart w:id="2289" w:name="Tc_gPs17ejrlkOtUk3S5mt_vw_10_24"/>
      <w:bookmarkStart w:id="2290" w:name="Tc_M4aV0PDQDEu1WQhU7KDO-g_10_21"/>
      <w:bookmarkStart w:id="2291" w:name="Tc_LqbW8kMaP0ezAbjQEb009Q_10_18"/>
      <w:bookmarkStart w:id="2292" w:name="Tc_cP1_bwOXbEu6nuD5eWbG3w_10_15"/>
      <w:bookmarkStart w:id="2293" w:name="Tc_AElS7q_cakCez5FHtgsTUw_10_12"/>
      <w:bookmarkStart w:id="2294" w:name="Tc_PVa1Gp278U-fY4bKDWe0Dw_10_6"/>
      <w:bookmarkStart w:id="2295" w:name="Tc_XZNdvt-k5ka8RvyGjP9oUw_10_3"/>
      <w:bookmarkStart w:id="2296" w:name="Tc_6zN-SqtWE0Ksy_Sapvgx6w_10_0"/>
      <w:bookmarkStart w:id="2297" w:name="Tc_Pma_QSO-ak-V26ZIUumoEA_9_0"/>
      <w:bookmarkStart w:id="2298" w:name="Tc_KdGnjWQIcUC77Jyr3er_wQ_8_24"/>
      <w:bookmarkStart w:id="2299" w:name="Tc_mz5kdoRtYkuezxni1naDzg_8_6"/>
      <w:bookmarkStart w:id="2300" w:name="Tc_ou7YExtlCUCa-BWWM5DkxA_8_0"/>
      <w:bookmarkStart w:id="2301" w:name="Tc_DGr39Y4bTEu69zzYuFT2nw_7_24"/>
      <w:bookmarkStart w:id="2302" w:name="Tc__e50YPhK3kaSr7ZN4fplRw_7_12"/>
      <w:bookmarkStart w:id="2303" w:name="Tc_lgMXPT32Mk6jaI98yqc6dA_7_9"/>
      <w:bookmarkStart w:id="2304" w:name="Tc_L7dmdvkIu0CYykGaVL-ZHQ_7_6"/>
      <w:bookmarkStart w:id="2305" w:name="Tc_z4wQtg196E26JIjuz3sQtw_7_3"/>
      <w:bookmarkStart w:id="2306" w:name="Tc_kdCnlrPvr0KUOrpO2-ZhVg_7_0"/>
      <w:bookmarkStart w:id="2307" w:name="Tc_uwYaMAIMk06K2Mlapk3ueQ_6_24"/>
      <w:bookmarkStart w:id="2308" w:name="Tc_8Z2rgYu5y0OG-fRmke6odw_6_15"/>
      <w:bookmarkStart w:id="2309" w:name="Tc_V3jyxVXBBECIu5x0T-BO-g_6_6"/>
      <w:bookmarkStart w:id="2310" w:name="Tc_q2PPU44uQEqMI3QaFLQhgQ_6_0"/>
      <w:bookmarkStart w:id="2311" w:name="Tc_l-R0IeGclESwjJAZ8nJv4Q_5_26"/>
      <w:bookmarkStart w:id="2312" w:name="Tc_4HuRtbTY-0uu9jHiXx3brA_5_23"/>
      <w:bookmarkStart w:id="2313" w:name="Tc_rBRbKpkCU0eaTyXU8K6QmA_5_20"/>
      <w:bookmarkStart w:id="2314" w:name="Tc_CnAJ62_5-U-we5BNDNKtbQ_5_17"/>
      <w:bookmarkStart w:id="2315" w:name="Tc_N2TYWxTngECWQDkQAdp8hQ_5_14"/>
      <w:bookmarkStart w:id="2316" w:name="Tc_CQ9bFPVq6EeHKYioBLvWfA_5_11"/>
      <w:bookmarkStart w:id="2317" w:name="Tc_GT8dKIoMlEmtCJJKAPdmag_5_8"/>
      <w:bookmarkStart w:id="2318" w:name="Tc_YBE5OYN4yU-toOt57m3Bow_5_5"/>
      <w:bookmarkStart w:id="2319" w:name="Tc_rPN-9ivY_ka_JyeVISJoxg_5_2"/>
      <w:bookmarkStart w:id="2320" w:name="Tc_1Kj_0bmn9Uy5QFSIgmem_w_5_0"/>
      <w:bookmarkStart w:id="2321" w:name="Tc_zjcvv4TKOUSXpkei82Y5ig_4_26"/>
      <w:bookmarkStart w:id="2322" w:name="Tc_xRWxB0YPUEqxjAXPLJjqJA_4_23"/>
      <w:bookmarkStart w:id="2323" w:name="Tc_amrrEYOLgkSMABc0qkSk-g_4_20"/>
      <w:bookmarkStart w:id="2324" w:name="Tc_iRG5jyLlV0qwJwUGao0CWA_4_17"/>
      <w:bookmarkStart w:id="2325" w:name="Tc_pQqGr__TIkS_Z-grL6RKig_4_14"/>
      <w:bookmarkStart w:id="2326" w:name="Tc_Qqk8BtPnREqTIHBLTZ_3kQ_4_11"/>
      <w:bookmarkStart w:id="2327" w:name="Tc_Z3zLvowjzEeAXbchu-8vkQ_4_8"/>
      <w:bookmarkStart w:id="2328" w:name="Tc_E7yCfwJJb0aYc4MHrzMqXQ_4_5"/>
      <w:bookmarkStart w:id="2329" w:name="Tc_Brn2BCzH80GO2UqediRkTg_4_2"/>
      <w:bookmarkStart w:id="2330" w:name="Tc_JpzENPigBE6-Q29g6cRyxw_4_0"/>
      <w:bookmarkStart w:id="2331" w:name="Tc_yFySjuZ5tU64fCu7Vj_MlA_3_23"/>
      <w:bookmarkStart w:id="2332" w:name="Tc_c2zLA8clVkCmT7uyZgCn4g_3_2"/>
      <w:bookmarkStart w:id="2333" w:name="Tc_B5sOsr6aH0uGWgVihHQoeg_3_0"/>
      <w:bookmarkStart w:id="2334" w:name="Tc_hbi8DahD_kKtaVbUBKNOEA_2_23"/>
      <w:bookmarkStart w:id="2335" w:name="Tc_bQBiGIH7vEufrbtOyBGdew_2_0"/>
      <w:bookmarkStart w:id="2336" w:name="Tc_j107TEtdm0KX3TWBcfoBTA_1_2"/>
      <w:bookmarkStart w:id="2337" w:name="_ad32d3a2_077f_43da_a333_3656a7d940f6"/>
      <w:bookmarkStart w:id="2338" w:name="Tc_EH_PypSEeEuTt4MQdSwaHA_19_26"/>
      <w:bookmarkStart w:id="2339" w:name="Tc_LjGPBe7O3EiijpLbEnWRHA_19_24"/>
      <w:bookmarkStart w:id="2340" w:name="Tc_S0Oc-4cXR0CbHDTDOCQ6Gw_19_23"/>
      <w:bookmarkStart w:id="2341" w:name="Tc_AI8m82kEIkaqsQn7obexkg_19_20"/>
      <w:bookmarkStart w:id="2342" w:name="Tc_feqFOrRB7U2GfUl3eF95lw_19_17"/>
      <w:bookmarkStart w:id="2343" w:name="Tc_bKd5WTfIYkKexyuZWZntDA_19_14"/>
      <w:bookmarkStart w:id="2344" w:name="Tc_EbuZNwFi3U6MYaaYp21Q5g_19_11"/>
      <w:bookmarkStart w:id="2345" w:name="Tc_urvxaKnMhEGlP2tCBGiflA_19_8"/>
      <w:bookmarkStart w:id="2346" w:name="Tc_jiCio7KjOkK4lYV9H1nm3g_19_5"/>
      <w:bookmarkStart w:id="2347" w:name="Tc_AUcS435o-Uismdi_2qXolw_19_2"/>
      <w:bookmarkStart w:id="2348" w:name="Tc_hOW6mRbcLk6OdLK7RZq3jg_19_0"/>
      <w:bookmarkStart w:id="2349" w:name="Tc_h1e9KEuiIk287R6UeR-GjA_18_24"/>
      <w:bookmarkStart w:id="2350" w:name="Tc_nZsq_kC970yc4Pjb7q9XiQ_18_18"/>
      <w:bookmarkStart w:id="2351" w:name="Tc_AkIuMVQir0uCDDA-Z3RnBA_18_15"/>
      <w:bookmarkStart w:id="2352" w:name="Tc_clNwPM4F7kuhJFBQHfpnJw_18_12"/>
      <w:bookmarkStart w:id="2353" w:name="Tc_horLRwllgE6nEsfEI4Ujxw_18_3"/>
      <w:bookmarkStart w:id="2354" w:name="Tc_s8ubWdIC8UyLB4LNCGbEXA_18_0"/>
      <w:bookmarkStart w:id="2355" w:name="Tc_UDO6oZthv0KGP-QHoF9WYQ_17_24"/>
      <w:bookmarkStart w:id="2356" w:name="Tc_siUEQoCdMEi4YTW87dGPxg_17_0"/>
      <w:bookmarkStart w:id="2357" w:name="Tc_YT2kB4d3bEac6PEsrAQWwQ_16_24"/>
      <w:bookmarkStart w:id="2358" w:name="Tc_c06VqckjXkGnmoIjjC2TdQ_16_18"/>
      <w:bookmarkStart w:id="2359" w:name="Tc_dGwb0Qi8vU2VQbNcJnwCMg_16_15"/>
      <w:bookmarkStart w:id="2360" w:name="Tc_GjM8JampN0-mC0wOCzL9UQ_16_12"/>
      <w:bookmarkStart w:id="2361" w:name="Tc_gueBWnZL3kSlv_i2Vs-2kw_16_9"/>
      <w:bookmarkStart w:id="2362" w:name="Tc_AON8TRwLfEuEPmpW5Lr1zw_16_6"/>
      <w:bookmarkStart w:id="2363" w:name="Tc_EaQp3mpWwkC0n0sm2MMy4Q_16_3"/>
      <w:bookmarkStart w:id="2364" w:name="Tc_V2OAT-EjJkeS1jWVfjF2aA_16_0"/>
      <w:bookmarkStart w:id="2365" w:name="Tc_ieshN9xi3UCRA39NIg2hMA_15_24"/>
      <w:bookmarkStart w:id="2366" w:name="Tc_F7JwlVhuakCDvj3wMRGyBQ_15_0"/>
      <w:bookmarkStart w:id="2367" w:name="Tc_111Pn9AhW0683daPNwLrKw_14_0"/>
      <w:bookmarkStart w:id="2368" w:name="Tc_SsavlhPz-ka5vbnByA4h1w_13_24"/>
      <w:bookmarkStart w:id="2369" w:name="Tc__sd6YraEjUeFmQePCClt_Q_13_21"/>
      <w:bookmarkStart w:id="2370" w:name="Tc_J9D3kEsgDkChshoIHQ9p2g_13_12"/>
      <w:bookmarkStart w:id="2371" w:name="Tc_Qeer0KJhF0mql7iErjVcTQ_13_3"/>
      <w:bookmarkStart w:id="2372" w:name="Tc_wXyBEb7-GU-iiV_vTlshCw_13_0"/>
      <w:bookmarkStart w:id="2373" w:name="Tc_iGl4FsgKvkOvTfd6n-cvsQ_12_24"/>
      <w:bookmarkStart w:id="2374" w:name="Tc_2-biltdm20SZYBbVReLH0g_12_21"/>
      <w:bookmarkStart w:id="2375" w:name="Tc_VlHO2uEVBUy-gg8ZdpQHjg_12_0"/>
      <w:bookmarkStart w:id="2376" w:name="Tc_ZZ06W2JwL0-lfne59M8Mqw_11_24"/>
      <w:bookmarkStart w:id="2377" w:name="Tc_tESkaOqz9kGu9mAzubhodw_11_21"/>
      <w:bookmarkStart w:id="2378" w:name="Tc_PnNY6kSNukW9YVpp24efuA_11_12"/>
      <w:bookmarkStart w:id="2379" w:name="Tc_I7ODOZ5zoEWMXSDE1QkAcw_11_6"/>
      <w:bookmarkStart w:id="2380" w:name="Tc_oChpXnrtbU-OnM9HB5YZlA_11_3"/>
      <w:bookmarkStart w:id="2381" w:name="Tc_d27fGLwKCUK1fnDVrGqo9A_11_0"/>
      <w:bookmarkStart w:id="2382" w:name="Tc_xNVGvHy_10ifakNVZsLU8w_10_24"/>
      <w:bookmarkStart w:id="2383" w:name="Tc_vvVT5Q3FVEyDuXGTstfBog_10_21"/>
      <w:bookmarkStart w:id="2384" w:name="Tc_HgH3cuyNZEe5I8ewvejRVw_10_0"/>
      <w:bookmarkStart w:id="2385" w:name="Tc_4Gn-qmpzxEKdcZY_MrtW6w_9_0"/>
      <w:bookmarkStart w:id="2386" w:name="Tc_zHK4vAkfuEmQFyNTWka5yA_8_24"/>
      <w:bookmarkStart w:id="2387" w:name="Tc_h_KyMSGGFUKPwPSsUvAwdA_8_21"/>
      <w:bookmarkStart w:id="2388" w:name="Tc_l-9g68VnKkiAYsCZpSvObQ_8_0"/>
      <w:bookmarkStart w:id="2389" w:name="Tc_B3pxXzdSAE2DLyHYDr12vQ_7_24"/>
      <w:bookmarkStart w:id="2390" w:name="Tc_XJO2nimNBkKX2TCT5ZCtoQ_7_0"/>
      <w:bookmarkStart w:id="2391" w:name="Tc_J4MBlvBrJ0CRhxUILwDB1g_6_24"/>
      <w:bookmarkStart w:id="2392" w:name="Tc_1pqjdsqIykmdIqlHYOktwA_6_21"/>
      <w:bookmarkStart w:id="2393" w:name="Tc_gxtt8_RzJUK88tJvpOXHeg_6_0"/>
      <w:bookmarkStart w:id="2394" w:name="Tc_tPcUQ5WFJE-zDS5bFKnRsw_5_26"/>
      <w:bookmarkStart w:id="2395" w:name="Tc_Eygm3vBqhEaTY5DszWsimA_5_24"/>
      <w:bookmarkStart w:id="2396" w:name="Tc_4qTmnUzWxUCtP0J3sROZyg_5_23"/>
      <w:bookmarkStart w:id="2397" w:name="Tc_UOk6YBvmu0G2gwW3bXe5ug_5_20"/>
      <w:bookmarkStart w:id="2398" w:name="Tc_QqF87qqR6Eu6Gy7FEfqC7g_5_17"/>
      <w:bookmarkStart w:id="2399" w:name="Tc_R9KUFMuUAkGD8iH3Wxutow_5_14"/>
      <w:bookmarkStart w:id="2400" w:name="Tc_uvpiJCOL40ux0SNCdqVgXQ_5_11"/>
      <w:bookmarkStart w:id="2401" w:name="Tc_DjgdtXTAQUWy4uhoVJhOCw_5_8"/>
      <w:bookmarkStart w:id="2402" w:name="Tc_D0oSF2y_nEGXriWU65795g_5_5"/>
      <w:bookmarkStart w:id="2403" w:name="Tc_bco-FHFBJESf5fDIihXo-w_5_2"/>
      <w:bookmarkStart w:id="2404" w:name="Tc_KDY2GXNyvky1Vjwt8okA5A_5_0"/>
      <w:bookmarkStart w:id="2405" w:name="Tc_w4x54lxOCU6OGuybAyDSSw_4_26"/>
      <w:bookmarkStart w:id="2406" w:name="Tc_DmXFpIWrBUixqc4ZRiqh4Q_4_23"/>
      <w:bookmarkStart w:id="2407" w:name="Tc_T7lXEX06_EembNABNJIfCg_4_20"/>
      <w:bookmarkStart w:id="2408" w:name="Tc_jqqQFXZId0myPkbke1weUQ_4_17"/>
      <w:bookmarkStart w:id="2409" w:name="Tc_ieuPm2B00EGDxV-_V7LlSw_4_14"/>
      <w:bookmarkStart w:id="2410" w:name="Tc_qfffTk5JJU6FAcCGOyw-Xg_4_11"/>
      <w:bookmarkStart w:id="2411" w:name="Tc_0JEHLLzWKEWv_hfYGfkVFg_4_8"/>
      <w:bookmarkStart w:id="2412" w:name="Tc_l7ocGLLCeUGJ3_k_41Jlcw_4_5"/>
      <w:bookmarkStart w:id="2413" w:name="Tc_UFron2TMIU621q5oPi7gVg_4_2"/>
      <w:bookmarkStart w:id="2414" w:name="Tc_lT-yQclNoUKQePv4R39uGQ_4_0"/>
      <w:bookmarkStart w:id="2415" w:name="Tc_XEv5vtUSf0y1eCogYJmXtQ_3_23"/>
      <w:bookmarkStart w:id="2416" w:name="Tc_D8fSE-9W6EGTisko8JoHyA_3_2"/>
      <w:bookmarkStart w:id="2417" w:name="Tc_SUAFU_heokibPFt1MNiFvA_3_0"/>
      <w:bookmarkStart w:id="2418" w:name="Tc_vFAQLriztE-94p8RgssRzA_2_23"/>
      <w:bookmarkStart w:id="2419" w:name="Tc_V8b4ODn0rkKOuqdfFY6KXg_1_2"/>
      <w:bookmarkStart w:id="2420" w:name="_0ef79d88_942b_4d11_9ed1_95c3f9cbbc1c"/>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p>
    <w:tbl>
      <w:tblPr>
        <w:tblW w:w="10205" w:type="dxa"/>
        <w:jc w:val="left"/>
        <w:tblInd w:w="0" w:type="dxa"/>
        <w:tblLayout w:type="fixed"/>
        <w:tblCellMar>
          <w:top w:w="0" w:type="dxa"/>
          <w:left w:w="0" w:type="dxa"/>
          <w:bottom w:w="0" w:type="dxa"/>
          <w:right w:w="0" w:type="dxa"/>
        </w:tblCellMar>
      </w:tblPr>
      <w:tblGrid>
        <w:gridCol w:w="1187"/>
        <w:gridCol w:w="146"/>
        <w:gridCol w:w="196"/>
        <w:gridCol w:w="691"/>
        <w:gridCol w:w="146"/>
        <w:gridCol w:w="196"/>
        <w:gridCol w:w="691"/>
        <w:gridCol w:w="146"/>
        <w:gridCol w:w="196"/>
        <w:gridCol w:w="691"/>
        <w:gridCol w:w="146"/>
        <w:gridCol w:w="196"/>
        <w:gridCol w:w="601"/>
        <w:gridCol w:w="146"/>
        <w:gridCol w:w="196"/>
        <w:gridCol w:w="601"/>
        <w:gridCol w:w="146"/>
        <w:gridCol w:w="196"/>
        <w:gridCol w:w="601"/>
        <w:gridCol w:w="146"/>
        <w:gridCol w:w="234"/>
        <w:gridCol w:w="614"/>
        <w:gridCol w:w="109"/>
        <w:gridCol w:w="305"/>
        <w:gridCol w:w="542"/>
        <w:gridCol w:w="146"/>
        <w:gridCol w:w="196"/>
        <w:gridCol w:w="798"/>
      </w:tblGrid>
      <w:tr>
        <w:trPr/>
        <w:tc>
          <w:tcPr>
            <w:tcW w:w="1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753745" cy="175260"/>
                      <wp:effectExtent l="0" t="0" r="0" b="0"/>
                      <wp:wrapNone/>
                      <wp:docPr id="292" name="Frame292"/>
                      <a:graphic xmlns:a="http://schemas.openxmlformats.org/drawingml/2006/main">
                        <a:graphicData uri="http://schemas.microsoft.com/office/word/2010/wordprocessingShape">
                          <wps:wsp>
                            <wps:cNvSpPr txBox="1"/>
                            <wps:spPr>
                              <a:xfrm>
                                <a:off x="0" y="0"/>
                                <a:ext cx="753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92710" cy="175260"/>
                      <wp:effectExtent l="0" t="0" r="0" b="0"/>
                      <wp:wrapNone/>
                      <wp:docPr id="293" name="Frame29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24460" cy="175260"/>
                      <wp:effectExtent l="0" t="0" r="0" b="0"/>
                      <wp:wrapNone/>
                      <wp:docPr id="294" name="Frame2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38785" cy="175260"/>
                      <wp:effectExtent l="0" t="0" r="0" b="0"/>
                      <wp:wrapNone/>
                      <wp:docPr id="295" name="Frame2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92710" cy="175260"/>
                      <wp:effectExtent l="0" t="0" r="0" b="0"/>
                      <wp:wrapNone/>
                      <wp:docPr id="296" name="Frame29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4460" cy="175260"/>
                      <wp:effectExtent l="0" t="0" r="0" b="0"/>
                      <wp:wrapNone/>
                      <wp:docPr id="297" name="Frame2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38785" cy="175260"/>
                      <wp:effectExtent l="0" t="0" r="0" b="0"/>
                      <wp:wrapNone/>
                      <wp:docPr id="298" name="Frame2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92710" cy="175260"/>
                      <wp:effectExtent l="0" t="0" r="0" b="0"/>
                      <wp:wrapNone/>
                      <wp:docPr id="299" name="Frame29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24460" cy="175260"/>
                      <wp:effectExtent l="0" t="0" r="0" b="0"/>
                      <wp:wrapNone/>
                      <wp:docPr id="300" name="Frame30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38785" cy="175260"/>
                      <wp:effectExtent l="0" t="0" r="0" b="0"/>
                      <wp:wrapNone/>
                      <wp:docPr id="301" name="Frame30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92710" cy="175260"/>
                      <wp:effectExtent l="0" t="0" r="0" b="0"/>
                      <wp:wrapNone/>
                      <wp:docPr id="302" name="Frame3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4460" cy="175260"/>
                      <wp:effectExtent l="0" t="0" r="0" b="0"/>
                      <wp:wrapNone/>
                      <wp:docPr id="303" name="Frame3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81635" cy="175260"/>
                      <wp:effectExtent l="0" t="0" r="0" b="0"/>
                      <wp:wrapNone/>
                      <wp:docPr id="304" name="Frame30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92710" cy="175260"/>
                      <wp:effectExtent l="0" t="0" r="0" b="0"/>
                      <wp:wrapNone/>
                      <wp:docPr id="305" name="Frame30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381635" cy="175260"/>
                      <wp:effectExtent l="0" t="0" r="0" b="0"/>
                      <wp:wrapNone/>
                      <wp:docPr id="307" name="Frame30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2710" cy="175260"/>
                      <wp:effectExtent l="0" t="0" r="0" b="0"/>
                      <wp:wrapNone/>
                      <wp:docPr id="308" name="Frame30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4460" cy="175260"/>
                      <wp:effectExtent l="0" t="0" r="0" b="0"/>
                      <wp:wrapNone/>
                      <wp:docPr id="309" name="Frame3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81635" cy="175260"/>
                      <wp:effectExtent l="0" t="0" r="0" b="0"/>
                      <wp:wrapNone/>
                      <wp:docPr id="310" name="Frame31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92710" cy="175260"/>
                      <wp:effectExtent l="0" t="0" r="0" b="0"/>
                      <wp:wrapNone/>
                      <wp:docPr id="311" name="Frame3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48590" cy="175260"/>
                      <wp:effectExtent l="0" t="0" r="0" b="0"/>
                      <wp:wrapNone/>
                      <wp:docPr id="312" name="Frame31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89890" cy="175260"/>
                      <wp:effectExtent l="0" t="0" r="0" b="0"/>
                      <wp:wrapNone/>
                      <wp:docPr id="313" name="Frame313"/>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9215" cy="175260"/>
                      <wp:effectExtent l="0" t="0" r="0" b="0"/>
                      <wp:wrapNone/>
                      <wp:docPr id="314" name="Frame31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93675" cy="175260"/>
                      <wp:effectExtent l="0" t="0" r="0" b="0"/>
                      <wp:wrapNone/>
                      <wp:docPr id="315" name="Frame315"/>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44170" cy="175260"/>
                      <wp:effectExtent l="0" t="0" r="0" b="0"/>
                      <wp:wrapNone/>
                      <wp:docPr id="316" name="Frame316"/>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92710" cy="175260"/>
                      <wp:effectExtent l="0" t="0" r="0" b="0"/>
                      <wp:wrapNone/>
                      <wp:docPr id="317" name="Frame31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4460" cy="175260"/>
                      <wp:effectExtent l="0" t="0" r="0" b="0"/>
                      <wp:wrapNone/>
                      <wp:docPr id="318" name="Frame3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06730" cy="175260"/>
                      <wp:effectExtent l="0" t="0" r="0" b="0"/>
                      <wp:wrapNone/>
                      <wp:docPr id="319" name="Frame319"/>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8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872"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2023</w:t>
            </w:r>
          </w:p>
        </w:tc>
      </w:tr>
      <w:tr>
        <w:trPr/>
        <w:tc>
          <w:tcPr>
            <w:tcW w:w="118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34" w:type="dxa"/>
            <w:tcBorders/>
            <w:vAlign w:val="center"/>
          </w:tcPr>
          <w:p>
            <w:pPr>
              <w:pStyle w:val="TableContents"/>
              <w:bidi w:val="0"/>
              <w:spacing w:before="0" w:after="0"/>
              <w:ind w:left="0" w:right="0" w:hanging="0"/>
              <w:jc w:val="center"/>
              <w:rPr/>
            </w:pPr>
            <w:r>
              <w:rPr/>
              <w:t>​</w:t>
            </w:r>
          </w:p>
        </w:tc>
        <w:tc>
          <w:tcPr>
            <w:tcW w:w="61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4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8" w:type="dxa"/>
            <w:tcBorders/>
            <w:vAlign w:val="center"/>
          </w:tcPr>
          <w:p>
            <w:pPr>
              <w:pStyle w:val="TableContents"/>
              <w:bidi w:val="0"/>
              <w:spacing w:before="0" w:after="0"/>
              <w:ind w:left="0" w:right="0" w:hanging="0"/>
              <w:jc w:val="center"/>
              <w:rPr/>
            </w:pPr>
            <w:r>
              <w:rPr/>
              <w:t>​</w:t>
            </w:r>
          </w:p>
        </w:tc>
      </w:tr>
      <w:tr>
        <w:trPr/>
        <w:tc>
          <w:tcPr>
            <w:tcW w:w="118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LOANS</w:t>
            </w:r>
          </w:p>
        </w:tc>
        <w:tc>
          <w:tcPr>
            <w:tcW w:w="146" w:type="dxa"/>
            <w:tcBorders/>
            <w:vAlign w:val="center"/>
          </w:tcPr>
          <w:p>
            <w:pPr>
              <w:pStyle w:val="TableContents"/>
              <w:bidi w:val="0"/>
              <w:spacing w:before="0" w:after="0"/>
              <w:ind w:left="0" w:right="0" w:hanging="0"/>
              <w:jc w:val="left"/>
              <w:rPr/>
            </w:pPr>
            <w:r>
              <w:rPr/>
              <w:t> </w:t>
            </w:r>
          </w:p>
        </w:tc>
        <w:tc>
          <w:tcPr>
            <w:tcW w:w="578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47"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r>
      <w:tr>
        <w:trPr/>
        <w:tc>
          <w:tcPr>
            <w:tcW w:w="1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Indirect home improvement</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vAlign w:val="center"/>
          </w:tcPr>
          <w:p>
            <w:pPr>
              <w:pStyle w:val="TableContents"/>
              <w:bidi w:val="0"/>
              <w:spacing w:before="0" w:after="0"/>
              <w:ind w:left="0" w:right="0" w:hanging="0"/>
              <w:jc w:val="left"/>
              <w:rPr/>
            </w:pPr>
            <w:r>
              <w:rPr/>
              <w:t> </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109,645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236,709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106,692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40,712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35,229</w:t>
            </w:r>
          </w:p>
        </w:tc>
        <w:tc>
          <w:tcPr>
            <w:tcW w:w="1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555,985</w:t>
            </w:r>
          </w:p>
        </w:tc>
      </w:tr>
      <w:tr>
        <w:trPr/>
        <w:tc>
          <w:tcPr>
            <w:tcW w:w="1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1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w:t>
            </w:r>
          </w:p>
        </w:tc>
      </w:tr>
      <w:tr>
        <w:trPr/>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indirect home improvement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109,745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237,344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107,181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40,905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27,238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35,398</w:t>
            </w:r>
          </w:p>
        </w:tc>
        <w:tc>
          <w:tcPr>
            <w:tcW w:w="1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557,818</w:t>
            </w:r>
          </w:p>
        </w:tc>
      </w:tr>
      <w:tr>
        <w:trPr/>
        <w:tc>
          <w:tcPr>
            <w:tcW w:w="1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Indirect home improvement gross charge-offs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w:t>
            </w:r>
          </w:p>
        </w:tc>
        <w:tc>
          <w:tcPr>
            <w:tcW w:w="1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1,181</w:t>
            </w:r>
          </w:p>
        </w:tc>
      </w:tr>
      <w:tr>
        <w:trPr/>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Marine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left"/>
              <w:rPr/>
            </w:pPr>
            <w:r>
              <w:rPr/>
              <w:t>​</w:t>
            </w:r>
          </w:p>
        </w:tc>
      </w:tr>
      <w:tr>
        <w:trPr/>
        <w:tc>
          <w:tcPr>
            <w:tcW w:w="1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25,589</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10,717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14,130</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8,053</w:t>
            </w:r>
          </w:p>
        </w:tc>
        <w:tc>
          <w:tcPr>
            <w:tcW w:w="1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72,013</w:t>
            </w:r>
          </w:p>
        </w:tc>
      </w:tr>
      <w:tr>
        <w:trPr/>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299</w:t>
            </w:r>
          </w:p>
        </w:tc>
        <w:tc>
          <w:tcPr>
            <w:tcW w:w="1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w:t>
            </w:r>
          </w:p>
        </w:tc>
      </w:tr>
      <w:tr>
        <w:trPr/>
        <w:tc>
          <w:tcPr>
            <w:tcW w:w="1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marine</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25,589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10,742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14,130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5,670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8,352</w:t>
            </w:r>
          </w:p>
        </w:tc>
        <w:tc>
          <w:tcPr>
            <w:tcW w:w="1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72,484</w:t>
            </w:r>
          </w:p>
        </w:tc>
      </w:tr>
      <w:tr>
        <w:trPr/>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Marine gross charge-offs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182</w:t>
            </w:r>
          </w:p>
        </w:tc>
        <w:tc>
          <w:tcPr>
            <w:tcW w:w="1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w:t>
            </w:r>
          </w:p>
        </w:tc>
      </w:tr>
      <w:tr>
        <w:trPr/>
        <w:tc>
          <w:tcPr>
            <w:tcW w:w="1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consumer</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left"/>
              <w:rPr/>
            </w:pPr>
            <w:r>
              <w:rPr/>
              <w:t>​</w:t>
            </w:r>
          </w:p>
        </w:tc>
      </w:tr>
      <w:tr>
        <w:trPr/>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14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2,184</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3,603</w:t>
            </w:r>
          </w:p>
        </w:tc>
      </w:tr>
      <w:tr>
        <w:trPr/>
        <w:tc>
          <w:tcPr>
            <w:tcW w:w="1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consumer</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231</w:t>
            </w:r>
          </w:p>
        </w:tc>
        <w:tc>
          <w:tcPr>
            <w:tcW w:w="1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2,187</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3,606</w:t>
            </w:r>
          </w:p>
        </w:tc>
      </w:tr>
      <w:tr>
        <w:trPr/>
        <w:tc>
          <w:tcPr>
            <w:tcW w:w="11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Other consumer gross charge-offs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109"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w:t>
            </w:r>
          </w:p>
        </w:tc>
      </w:tr>
      <w:tr>
        <w:trPr/>
        <w:tc>
          <w:tcPr>
            <w:tcW w:w="11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 loans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117,847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263,640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118,167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55,150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32,929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43,981</w:t>
            </w:r>
          </w:p>
        </w:tc>
        <w:tc>
          <w:tcPr>
            <w:tcW w:w="146"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2,194</w:t>
            </w:r>
          </w:p>
        </w:tc>
        <w:tc>
          <w:tcPr>
            <w:tcW w:w="109"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8"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633,908</w:t>
            </w:r>
          </w:p>
        </w:tc>
      </w:tr>
    </w:tbl>
    <w:p>
      <w:pPr>
        <w:pStyle w:val="TextBody"/>
        <w:bidi w:val="0"/>
        <w:spacing w:before="0" w:after="0"/>
        <w:ind w:left="0" w:right="0" w:hanging="0"/>
        <w:jc w:val="left"/>
        <w:rPr/>
      </w:pPr>
      <w:r>
        <w:rPr/>
        <w:t>​</w:t>
      </w:r>
    </w:p>
    <w:tbl>
      <w:tblPr>
        <w:tblW w:w="10685" w:type="dxa"/>
        <w:jc w:val="left"/>
        <w:tblInd w:w="0" w:type="dxa"/>
        <w:tblLayout w:type="fixed"/>
        <w:tblCellMar>
          <w:top w:w="0" w:type="dxa"/>
          <w:left w:w="0" w:type="dxa"/>
          <w:bottom w:w="0" w:type="dxa"/>
          <w:right w:w="0" w:type="dxa"/>
        </w:tblCellMar>
      </w:tblPr>
      <w:tblGrid>
        <w:gridCol w:w="1306"/>
        <w:gridCol w:w="146"/>
        <w:gridCol w:w="196"/>
        <w:gridCol w:w="691"/>
        <w:gridCol w:w="146"/>
        <w:gridCol w:w="196"/>
        <w:gridCol w:w="691"/>
        <w:gridCol w:w="146"/>
        <w:gridCol w:w="196"/>
        <w:gridCol w:w="691"/>
        <w:gridCol w:w="146"/>
        <w:gridCol w:w="196"/>
        <w:gridCol w:w="691"/>
        <w:gridCol w:w="146"/>
        <w:gridCol w:w="196"/>
        <w:gridCol w:w="691"/>
        <w:gridCol w:w="146"/>
        <w:gridCol w:w="196"/>
        <w:gridCol w:w="691"/>
        <w:gridCol w:w="146"/>
        <w:gridCol w:w="196"/>
        <w:gridCol w:w="691"/>
        <w:gridCol w:w="109"/>
        <w:gridCol w:w="283"/>
        <w:gridCol w:w="543"/>
        <w:gridCol w:w="146"/>
        <w:gridCol w:w="196"/>
        <w:gridCol w:w="871"/>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829310" cy="175260"/>
                      <wp:effectExtent l="0" t="0" r="0" b="0"/>
                      <wp:wrapNone/>
                      <wp:docPr id="320" name="Frame320"/>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92710" cy="175260"/>
                      <wp:effectExtent l="0" t="0" r="0" b="0"/>
                      <wp:wrapNone/>
                      <wp:docPr id="321" name="Frame3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24460" cy="175260"/>
                      <wp:effectExtent l="0" t="0" r="0" b="0"/>
                      <wp:wrapNone/>
                      <wp:docPr id="322" name="Frame32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438785" cy="175260"/>
                      <wp:effectExtent l="0" t="0" r="0" b="0"/>
                      <wp:wrapNone/>
                      <wp:docPr id="323" name="Frame32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92710" cy="175260"/>
                      <wp:effectExtent l="0" t="0" r="0" b="0"/>
                      <wp:wrapNone/>
                      <wp:docPr id="324" name="Frame32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24460" cy="175260"/>
                      <wp:effectExtent l="0" t="0" r="0" b="0"/>
                      <wp:wrapNone/>
                      <wp:docPr id="325" name="Frame32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38785" cy="175260"/>
                      <wp:effectExtent l="0" t="0" r="0" b="0"/>
                      <wp:wrapNone/>
                      <wp:docPr id="326" name="Frame3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92710" cy="175260"/>
                      <wp:effectExtent l="0" t="0" r="0" b="0"/>
                      <wp:wrapNone/>
                      <wp:docPr id="327" name="Frame3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24460" cy="175260"/>
                      <wp:effectExtent l="0" t="0" r="0" b="0"/>
                      <wp:wrapNone/>
                      <wp:docPr id="328" name="Frame32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38785" cy="175260"/>
                      <wp:effectExtent l="0" t="0" r="0" b="0"/>
                      <wp:wrapNone/>
                      <wp:docPr id="329" name="Frame3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92710" cy="175260"/>
                      <wp:effectExtent l="0" t="0" r="0" b="0"/>
                      <wp:wrapNone/>
                      <wp:docPr id="330" name="Frame33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24460" cy="175260"/>
                      <wp:effectExtent l="0" t="0" r="0" b="0"/>
                      <wp:wrapNone/>
                      <wp:docPr id="331" name="Frame3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438785" cy="175260"/>
                      <wp:effectExtent l="0" t="0" r="0" b="0"/>
                      <wp:wrapNone/>
                      <wp:docPr id="332" name="Frame3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92710" cy="175260"/>
                      <wp:effectExtent l="0" t="0" r="0" b="0"/>
                      <wp:wrapNone/>
                      <wp:docPr id="333" name="Frame33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24460" cy="175260"/>
                      <wp:effectExtent l="0" t="0" r="0" b="0"/>
                      <wp:wrapNone/>
                      <wp:docPr id="334" name="Frame3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38785" cy="175260"/>
                      <wp:effectExtent l="0" t="0" r="0" b="0"/>
                      <wp:wrapNone/>
                      <wp:docPr id="335" name="Frame3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92710" cy="175260"/>
                      <wp:effectExtent l="0" t="0" r="0" b="0"/>
                      <wp:wrapNone/>
                      <wp:docPr id="336" name="Frame33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24460" cy="175260"/>
                      <wp:effectExtent l="0" t="0" r="0" b="0"/>
                      <wp:wrapNone/>
                      <wp:docPr id="337" name="Frame33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38785" cy="175260"/>
                      <wp:effectExtent l="0" t="0" r="0" b="0"/>
                      <wp:wrapNone/>
                      <wp:docPr id="338" name="Frame33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92710" cy="175260"/>
                      <wp:effectExtent l="0" t="0" r="0" b="0"/>
                      <wp:wrapNone/>
                      <wp:docPr id="339" name="Frame3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460" cy="175260"/>
                      <wp:effectExtent l="0" t="0" r="0" b="0"/>
                      <wp:wrapNone/>
                      <wp:docPr id="340" name="Frame3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38785" cy="175260"/>
                      <wp:effectExtent l="0" t="0" r="0" b="0"/>
                      <wp:wrapNone/>
                      <wp:docPr id="341" name="Frame34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2" name="Frame3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79705" cy="175260"/>
                      <wp:effectExtent l="0" t="0" r="0" b="0"/>
                      <wp:wrapNone/>
                      <wp:docPr id="343" name="Frame34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44805" cy="175260"/>
                      <wp:effectExtent l="0" t="0" r="0" b="0"/>
                      <wp:wrapNone/>
                      <wp:docPr id="344" name="Frame344"/>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92710" cy="175260"/>
                      <wp:effectExtent l="0" t="0" r="0" b="0"/>
                      <wp:wrapNone/>
                      <wp:docPr id="345" name="Frame34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24460" cy="175260"/>
                      <wp:effectExtent l="0" t="0" r="0" b="0"/>
                      <wp:wrapNone/>
                      <wp:docPr id="346" name="Frame34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53085" cy="175260"/>
                      <wp:effectExtent l="0" t="0" r="0" b="0"/>
                      <wp:wrapNone/>
                      <wp:docPr id="347" name="Frame34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233"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2023</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COMMERCIAL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BUSINESS LOANS</w:t>
            </w:r>
          </w:p>
        </w:tc>
        <w:tc>
          <w:tcPr>
            <w:tcW w:w="146" w:type="dxa"/>
            <w:tcBorders/>
            <w:vAlign w:val="center"/>
          </w:tcPr>
          <w:p>
            <w:pPr>
              <w:pStyle w:val="TableContents"/>
              <w:bidi w:val="0"/>
              <w:spacing w:before="0" w:after="0"/>
              <w:ind w:left="0" w:right="0" w:hanging="0"/>
              <w:jc w:val="left"/>
              <w:rPr/>
            </w:pPr>
            <w:r>
              <w:rPr/>
              <w:t>​</w:t>
            </w:r>
          </w:p>
        </w:tc>
        <w:tc>
          <w:tcPr>
            <w:tcW w:w="605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2023</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11,976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24,364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12,793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11,506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116,799</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214,291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Watch</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2,649</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6,563</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11,164</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1,135</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3,529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1,452</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9,977</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26,530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16,919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125,949</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237,403</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 gross charge-offs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Warehouse lending</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28,391</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28,391</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Watch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2,258</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warehouse lending</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30,649</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30,649</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business loans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31,100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26,530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16,919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8,008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13,106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156,598</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268,052</w: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RECEIVABLE, GROSS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 </w:t>
            </w:r>
          </w:p>
        </w:tc>
        <w:tc>
          <w:tcPr>
            <w:tcW w:w="54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266,088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761,000</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489,932</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267,903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138,296</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210,351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195,243</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2,329,711</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Watch</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10,378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8,837</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24,269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1,135</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2,388</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1,670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4,752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1,466</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16,406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loans receivable, gross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269,911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772,013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492,612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272,222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141,907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216,530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206,681</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2,372,774</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gross charge-offs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1,596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421" w:name="Tc_ueR2fWA050-8NaM-tWy_yg_21_26"/>
      <w:bookmarkStart w:id="2422" w:name="Tc_yNs2kE1Or0qw9741jzeURA_21_23"/>
      <w:bookmarkStart w:id="2423" w:name="Tc_Vw-6lwXQQEm7fzz_lB18Cw_21_20"/>
      <w:bookmarkStart w:id="2424" w:name="Tc_3HW_hH_snUS-hamNukGmjg_21_17"/>
      <w:bookmarkStart w:id="2425" w:name="Tc_wnGu2xFHNEibPY9Y4SrELg_21_14"/>
      <w:bookmarkStart w:id="2426" w:name="Tc_c-ocDmW9_kGvpzdopGgOEw_21_11"/>
      <w:bookmarkStart w:id="2427" w:name="Tc_wp4AxPVe6UeAoLXNBPgTzQ_21_8"/>
      <w:bookmarkStart w:id="2428" w:name="Tc_ETSCR2w940ezHt_Htqa_Cw_21_5"/>
      <w:bookmarkStart w:id="2429" w:name="Tc_7SWPzS3NJUOG0t8C6_AmeA_21_2"/>
      <w:bookmarkStart w:id="2430" w:name="Tc_gbSw7Wd04E2gqxF-HBa8BQ_21_0"/>
      <w:bookmarkStart w:id="2431" w:name="Tc_WPge2bIqtU-70FG_Mbclqw_20_0"/>
      <w:bookmarkStart w:id="2432" w:name="Tc_ES_lRVomykOmb2nsF8gyYQ_19_24"/>
      <w:bookmarkStart w:id="2433" w:name="Tc_SJio75MGX0ywPezsLhc9ug_19_18"/>
      <w:bookmarkStart w:id="2434" w:name="Tc_rkN97_ffLkeKIAtx09Isjg_19_15"/>
      <w:bookmarkStart w:id="2435" w:name="Tc_aqkn35znAEKd23NeYGizzw_19_9"/>
      <w:bookmarkStart w:id="2436" w:name="Tc_y5gGYsAxa0eCFuDaL4hiHg_19_6"/>
      <w:bookmarkStart w:id="2437" w:name="Tc_xsuMuXM28EaUPVgNYphBRA_19_3"/>
      <w:bookmarkStart w:id="2438" w:name="Tc_uu1NJOPS5ky8KKHvJXVyDQ_19_0"/>
      <w:bookmarkStart w:id="2439" w:name="Tc_cYP6w1R-WUC1c5FqPGovMA_18_24"/>
      <w:bookmarkStart w:id="2440" w:name="Tc_BsjNCq3ux0-JSW8Ha5DcOQ_18_15"/>
      <w:bookmarkStart w:id="2441" w:name="Tc_2xqY1Ye5LEi9FNUqOHg31A_18_12"/>
      <w:bookmarkStart w:id="2442" w:name="Tc_neL79J13XUCvtkF5bcywdg_18_0"/>
      <w:bookmarkStart w:id="2443" w:name="Tc_FzZoUHPgj0676NWiN4LPuw_17_26"/>
      <w:bookmarkStart w:id="2444" w:name="Tc_8IeOhAgDAU-jIQje7kz72g_17_23"/>
      <w:bookmarkStart w:id="2445" w:name="Tc_oP6Uli_8aU-i08CRc_d08g_17_20"/>
      <w:bookmarkStart w:id="2446" w:name="Tc_ieixTsmoaE-vNlF058SpVg_17_17"/>
      <w:bookmarkStart w:id="2447" w:name="Tc_onOvhBX9OkyR8eWtzi8iyw_17_14"/>
      <w:bookmarkStart w:id="2448" w:name="Tc_kJ1tgg89wUW8of9tXm53aQ_17_11"/>
      <w:bookmarkStart w:id="2449" w:name="Tc_4dUMP7Tfw0y_5jpv6PVu1w_17_8"/>
      <w:bookmarkStart w:id="2450" w:name="Tc_lnz9tQwe70WqxaLQtheyhA_17_5"/>
      <w:bookmarkStart w:id="2451" w:name="Tc_J2Dd5H8kJkepupAhzgJTmA_17_2"/>
      <w:bookmarkStart w:id="2452" w:name="Tc_-t0135gWuk2tApD4MjfH7A_17_0"/>
      <w:bookmarkStart w:id="2453" w:name="Tc_t0InhjgRfEiLt6ad7X2lDw_16_0"/>
      <w:bookmarkStart w:id="2454" w:name="Tc_n0Z7rXmzk0OgtpMctkw3fA_14_26"/>
      <w:bookmarkStart w:id="2455" w:name="Tc_6oQX7uYEQUmla3Sk6Z6-Lg_14_23"/>
      <w:bookmarkStart w:id="2456" w:name="Tc_jTa0VpfPsUiGZTjY2tdYWA_14_20"/>
      <w:bookmarkStart w:id="2457" w:name="Tc_kV3L1rYQ60ypH_jC3OdWfg_14_17"/>
      <w:bookmarkStart w:id="2458" w:name="Tc_TlfhLYlMkkmuxQK045Qebw_14_14"/>
      <w:bookmarkStart w:id="2459" w:name="Tc_byFYIDHSFk-RyrWiK5VrYw_14_11"/>
      <w:bookmarkStart w:id="2460" w:name="Tc_akMoJu9-1kueQACIwCduYg_14_8"/>
      <w:bookmarkStart w:id="2461" w:name="Tc_K9cCN1eBIkq8ilxyXdMjiQ_14_5"/>
      <w:bookmarkStart w:id="2462" w:name="Tc_dVpPMJ3cqUeLPSmqbLsYnA_14_2"/>
      <w:bookmarkStart w:id="2463" w:name="Tc_GUt_WtPkdkWt_k0srPl_Cw_14_0"/>
      <w:bookmarkStart w:id="2464" w:name="Tc_Xo8KkW1_sEujqKbw7c4K-w_13_24"/>
      <w:bookmarkStart w:id="2465" w:name="Tc_waOQxMHrRkGzXkCwqPMT6w_13_18"/>
      <w:bookmarkStart w:id="2466" w:name="Tc_KOepF8UcGU2-fjwLSliLVw_13_15"/>
      <w:bookmarkStart w:id="2467" w:name="Tc_KYfQ-n_9sEeTcxfrimvsdw_13_12"/>
      <w:bookmarkStart w:id="2468" w:name="Tc_vsHxdnkR5EiwJiwxuoiM_Q_13_9"/>
      <w:bookmarkStart w:id="2469" w:name="Tc_espHSupaE0-Eb9ukLB3fHw_13_6"/>
      <w:bookmarkStart w:id="2470" w:name="Tc_vKqetMUvQUy5DsYVeiqjBw_13_3"/>
      <w:bookmarkStart w:id="2471" w:name="Tc_T1K_7AVXzUibOfCOd7wspQ_13_0"/>
      <w:bookmarkStart w:id="2472" w:name="Tc_-fcwhyHcU0uo_TogOeeauw_12_24"/>
      <w:bookmarkStart w:id="2473" w:name="Tc_z_VR2A4UUkSo26cxMKpb4g_12_18"/>
      <w:bookmarkStart w:id="2474" w:name="Tc_B3uRTnJgLUG5AsyCnHRY7Q_12_15"/>
      <w:bookmarkStart w:id="2475" w:name="Tc_D_ehz7OJ50KAb5a3oHHO-g_12_12"/>
      <w:bookmarkStart w:id="2476" w:name="Tc_aXSA_qGW0kya3sdhsVkEzw_12_9"/>
      <w:bookmarkStart w:id="2477" w:name="Tc_e6NBAHs1F0iwEB8M_yP1fw_12_6"/>
      <w:bookmarkStart w:id="2478" w:name="Tc_C5s6IJ4_DkK-iEydHkqdJw_12_3"/>
      <w:bookmarkStart w:id="2479" w:name="Tc_3QDfgLEHP0-APSYpKa68dw_12_0"/>
      <w:bookmarkStart w:id="2480" w:name="Tc_QQkRV2Igx0-i_z6x5Qlobw_11_24"/>
      <w:bookmarkStart w:id="2481" w:name="Tc_FcuyL7ATWUatDUxiaYEKzQ_11_18"/>
      <w:bookmarkStart w:id="2482" w:name="Tc_An-xbpS6y0OvNapxcWE54Q_11_15"/>
      <w:bookmarkStart w:id="2483" w:name="Tc_CDV4XMxKeE6vZmxTKFN9tQ_11_12"/>
      <w:bookmarkStart w:id="2484" w:name="Tc_lQNn3X4W4kiaB6NJLIZPSw_11_9"/>
      <w:bookmarkStart w:id="2485" w:name="Tc_sgk53hGJj0mg5RoBkAFmqg_11_6"/>
      <w:bookmarkStart w:id="2486" w:name="Tc_rA67wtryB066X13sHfpAtA_11_3"/>
      <w:bookmarkStart w:id="2487" w:name="Tc_m8FjcFx9i0mHXR7AJ24x_Q_11_0"/>
      <w:bookmarkStart w:id="2488" w:name="Tc_e65iT6cLQ0C2GGxBFpvXCQ_10_0"/>
      <w:bookmarkStart w:id="2489" w:name="Tc_vxhM6NLjJUSEx0fxH8QJdg_9_0"/>
      <w:bookmarkStart w:id="2490" w:name="Tc_5bdfrjvfTECDHK4cVlDBdg_8_3"/>
      <w:bookmarkStart w:id="2491" w:name="Tc_EqVO8u2jqECgJPvs2fivdg_8_0"/>
      <w:bookmarkStart w:id="2492" w:name="Tc_nyK5E67g6kqv6MsOxzH1_Q_7_24"/>
      <w:bookmarkStart w:id="2493" w:name="Tc_7C4BYsjmakiEXmqcSYNq6w_7_18"/>
      <w:bookmarkStart w:id="2494" w:name="Tc_pLLhC5-RC0Sar7dFMt4iEA_7_15"/>
      <w:bookmarkStart w:id="2495" w:name="Tc_TZW7VDO23EyvkJshMA47rQ_7_9"/>
      <w:bookmarkStart w:id="2496" w:name="Tc__LwHWUYJzEaftVyD7C9DDg_7_6"/>
      <w:bookmarkStart w:id="2497" w:name="Tc_Aok998ytk0ey7co2s8UTgw_7_3"/>
      <w:bookmarkStart w:id="2498" w:name="Tc_LKascP5VcE-yhHJI56NfGw_7_0"/>
      <w:bookmarkStart w:id="2499" w:name="Tc_6rxWflIx6E-WdEYIQRVYIg_6_24"/>
      <w:bookmarkStart w:id="2500" w:name="Tc_KSPijlUFqkalKsHfxk62lQ_6_15"/>
      <w:bookmarkStart w:id="2501" w:name="Tc_L95n6NtrU0aSAIjdBfMmWQ_6_12"/>
      <w:bookmarkStart w:id="2502" w:name="Tc_WPE869Ai6keSZ9_do4BDQQ_6_3"/>
      <w:bookmarkStart w:id="2503" w:name="Tc_AsvOUg2jb0qBN7kfpRScqA_6_0"/>
      <w:bookmarkStart w:id="2504" w:name="Tc_8VFFtN9dG0GLVmZC6NJgZQ_5_26"/>
      <w:bookmarkStart w:id="2505" w:name="Tc_MLyAvs_YpU6TfVGAIBnZNQ_5_24"/>
      <w:bookmarkStart w:id="2506" w:name="Tc_yDldya0zvU-0WDMu_gfroA_5_23"/>
      <w:bookmarkStart w:id="2507" w:name="Tc_FjRqcfPRpEa9fSd196iBvw_5_20"/>
      <w:bookmarkStart w:id="2508" w:name="Tc_xiur2z10SEu_i63ztSwfzQ_5_17"/>
      <w:bookmarkStart w:id="2509" w:name="Tc_lP-pR_imI0mPtH6E70fIyA_5_14"/>
      <w:bookmarkStart w:id="2510" w:name="Tc_Gkpue5A8XkOt26DoaMkDHg_5_11"/>
      <w:bookmarkStart w:id="2511" w:name="Tc_vdiYBY-hG02wrinUaagCmw_5_8"/>
      <w:bookmarkStart w:id="2512" w:name="Tc_jIcSJLOCAUmiaDMoRQaUzQ_5_5"/>
      <w:bookmarkStart w:id="2513" w:name="Tc_AtdoA4_MSkWExA8YUEtl3w_5_2"/>
      <w:bookmarkStart w:id="2514" w:name="Tc_QUbe8WnawkKP0VUfZPReSg_5_0"/>
      <w:bookmarkStart w:id="2515" w:name="Tc_J6eXYmBbJUWN6d2gyF9J1g_4_26"/>
      <w:bookmarkStart w:id="2516" w:name="Tc__7B6qtpAnU-5gdL4Uj9ghA_4_23"/>
      <w:bookmarkStart w:id="2517" w:name="Tc_2NAU0D2CU06GLUnHtQ4GHA_4_20"/>
      <w:bookmarkStart w:id="2518" w:name="Tc_OxGt9u6iqkGqTzXNvPVoPQ_4_17"/>
      <w:bookmarkStart w:id="2519" w:name="Tc_XOrsc7OsCkK1GpS9im_wow_4_14"/>
      <w:bookmarkStart w:id="2520" w:name="Tc_-ALCr3RDOE6Ko6gZIMFN0w_4_11"/>
      <w:bookmarkStart w:id="2521" w:name="Tc_lWk6qn_D-E2gHF79tC5U7A_4_8"/>
      <w:bookmarkStart w:id="2522" w:name="Tc_BpfkznE2OUm66UuM2K24tw_4_5"/>
      <w:bookmarkStart w:id="2523" w:name="Tc_Aiz_Iz_hLEm2NdLRi0jRoQ_4_2"/>
      <w:bookmarkStart w:id="2524" w:name="Tc_e7smanrTEEqW22t9kmRWGA_4_0"/>
      <w:bookmarkStart w:id="2525" w:name="Tc_vGyGBErX4EWJH2N8UoYETg_3_23"/>
      <w:bookmarkStart w:id="2526" w:name="Tc_VLmVFyz7eEu50dL12KYWGA_3_2"/>
      <w:bookmarkStart w:id="2527" w:name="Tc_KKYH3VD0-kGaSUcCNOuBDQ_3_0"/>
      <w:bookmarkStart w:id="2528" w:name="Tc_6JtV-gSjDUqNmleV4AfZZQ_2_23"/>
      <w:bookmarkStart w:id="2529" w:name="Tc_4WjXrQZZXU-XiMOcOWAtGw_2_0"/>
      <w:bookmarkStart w:id="2530" w:name="Tc_-puzRGgpx0KfOywJYBp3Hw_1_2"/>
      <w:bookmarkStart w:id="2531" w:name="_f13cc04c_1dd9_4b62_8faa_370006a845d5"/>
      <w:bookmarkStart w:id="2532" w:name="Tc_pLnaZpmMH0-IqfexFuuMYw_16_26"/>
      <w:bookmarkStart w:id="2533" w:name="Tc_0u-jVEyhxU2-b-QlfOg9mA_16_24"/>
      <w:bookmarkStart w:id="2534" w:name="Tc_b4J4wYw5UUK6HB5Ma3R7Cw_16_23"/>
      <w:bookmarkStart w:id="2535" w:name="Tc_0zI8g5XTd0C-MnKutAmwtg_16_20"/>
      <w:bookmarkStart w:id="2536" w:name="Tc_B5hX2jtsCE6FD0e-K3myuw_16_17"/>
      <w:bookmarkStart w:id="2537" w:name="Tc_cFcebFUNTE-LTrdP9xDwRA_16_14"/>
      <w:bookmarkStart w:id="2538" w:name="Tc_rSLR-hg9AEieW4282uquIA_16_11"/>
      <w:bookmarkStart w:id="2539" w:name="Tc_YxLM6DdNuE2Q7MJRjzX0-w_16_8"/>
      <w:bookmarkStart w:id="2540" w:name="Tc_FjtN7-V8jEKOP4a0pDt_hg_16_5"/>
      <w:bookmarkStart w:id="2541" w:name="Tc_nTRSi-zKzkWIoa54bG8RBA_16_2"/>
      <w:bookmarkStart w:id="2542" w:name="Tc_5QzQkNlHl0q-5N3bnMEl_Q_16_0"/>
      <w:bookmarkStart w:id="2543" w:name="Tc_vQyXUZ_vt0C8P7Oc3j1ltg_15_24"/>
      <w:bookmarkStart w:id="2544" w:name="Tc_iEqxtzE9eE6HLPJoC_PP8w_15_0"/>
      <w:bookmarkStart w:id="2545" w:name="Tc_u9NQ0nu1r0-FCTPTbN8x7w_14_24"/>
      <w:bookmarkStart w:id="2546" w:name="Tc_LACkaCrpf0Ou-82mKlNryA_14_18"/>
      <w:bookmarkStart w:id="2547" w:name="Tc_PI69ckO_a0GLJdrDlWfH_w_14_15"/>
      <w:bookmarkStart w:id="2548" w:name="Tc_LoDtRXsa6Uq-IN0hxsoOAQ_14_12"/>
      <w:bookmarkStart w:id="2549" w:name="Tc_Cqc4RYz39ECFI7t5NKT3Lw_14_9"/>
      <w:bookmarkStart w:id="2550" w:name="Tc_TXWm1045PEeIJSCR-BNdaw_14_0"/>
      <w:bookmarkStart w:id="2551" w:name="Tc_y08k0BLejUCpQETooObJrA_13_24"/>
      <w:bookmarkStart w:id="2552" w:name="Tc_e-HzU7Q8e0uu-EdvPu9Qyw_13_0"/>
      <w:bookmarkStart w:id="2553" w:name="Tc_zooZRFB5kE2YpKD_A9pyxQ_12_0"/>
      <w:bookmarkStart w:id="2554" w:name="Tc_ZZ6tr4_XL0OVvWv3tHrW3w_11_24"/>
      <w:bookmarkStart w:id="2555" w:name="Tc_Lgzv61WVoESsyJ_-r7RzpA_11_21"/>
      <w:bookmarkStart w:id="2556" w:name="Tc_y3QnIEs_4Ei8ylVnbivrcg_11_0"/>
      <w:bookmarkStart w:id="2557" w:name="Tc_1knoiboE102BS-5oWgzk_w_10_24"/>
      <w:bookmarkStart w:id="2558" w:name="Tc_zG99FidU9kOLh2HNvxwR2g_10_21"/>
      <w:bookmarkStart w:id="2559" w:name="Tc_HPoFNBlfpkeD-f5lt7keqA_10_9"/>
      <w:bookmarkStart w:id="2560" w:name="Tc_uf44sJtuDU2zjKXJLqSu8Q_10_6"/>
      <w:bookmarkStart w:id="2561" w:name="Tc_zYT0LceW_kqY27a6afB-cA_10_3"/>
      <w:bookmarkStart w:id="2562" w:name="Tc_lYs-A4yb6EqvMVTVA88Low_10_0"/>
      <w:bookmarkStart w:id="2563" w:name="Tc_empuyZXPJk-Vr28Up-aoMw_9_24"/>
      <w:bookmarkStart w:id="2564" w:name="Tc_j_61vAl7u0egXQ1r2ZBggw_9_21"/>
      <w:bookmarkStart w:id="2565" w:name="Tc_WK6ooVag_UuuIcpKI7EvQQ_9_0"/>
      <w:bookmarkStart w:id="2566" w:name="Tc_NoD_DJnlVU2XPxrArmXCFQ_8_0"/>
      <w:bookmarkStart w:id="2567" w:name="Tc_w9GxoEK5p0K2Ifsvslbjcg_7_24"/>
      <w:bookmarkStart w:id="2568" w:name="Tc_zxqT4AigXUGnbHyjIJjEnA_7_0"/>
      <w:bookmarkStart w:id="2569" w:name="Tc_NIecKGti-kOOUTN1NMGh0A_6_24"/>
      <w:bookmarkStart w:id="2570" w:name="Tc_RIcBPJJDZkyXpVMPwdY3AA_6_21"/>
      <w:bookmarkStart w:id="2571" w:name="Tc_AZWcQo9zIkWXHSvR64qYZg_6_0"/>
      <w:bookmarkStart w:id="2572" w:name="Tc_wsnTPlhdkkqyBZEokkpMbw_5_26"/>
      <w:bookmarkStart w:id="2573" w:name="Tc_oy9ZJYzvMk2zl1niEG3gNw_5_24"/>
      <w:bookmarkStart w:id="2574" w:name="Tc_qMMphd8su0OKYHD5esBxRw_5_23"/>
      <w:bookmarkStart w:id="2575" w:name="Tc_xo4fbwMOvU6EHSuo6r0uzA_5_20"/>
      <w:bookmarkStart w:id="2576" w:name="Tc_hW-UG_4bIE6u4lzHuQYBXg_5_17"/>
      <w:bookmarkStart w:id="2577" w:name="Tc_go3OHqP31U6jvKhtyrZEmw_5_14"/>
      <w:bookmarkStart w:id="2578" w:name="Tc_zypU035_rES-eCP5oGWWyg_5_11"/>
      <w:bookmarkStart w:id="2579" w:name="Tc_0K8In0_bCUKmZ5J2HAf1nA_5_8"/>
      <w:bookmarkStart w:id="2580" w:name="Tc_Zb52pGFcY0GhQwdMo95KGQ_5_5"/>
      <w:bookmarkStart w:id="2581" w:name="Tc_mZ8e5vKD5EGnLZ8A54wznw_5_2"/>
      <w:bookmarkStart w:id="2582" w:name="Tc_-4WjM6VukEO6QqQdxBJEig_5_0"/>
      <w:bookmarkStart w:id="2583" w:name="Tc_dhSjU13EGU2V0uzjjF2BNA_4_26"/>
      <w:bookmarkStart w:id="2584" w:name="Tc_9-zi5QCwP0myaOU853Ip-w_4_23"/>
      <w:bookmarkStart w:id="2585" w:name="Tc_Gl5B_if0Fk-QV5n8T1fX5g_4_20"/>
      <w:bookmarkStart w:id="2586" w:name="Tc_bRYSncsVmU-wA84g7QzRXg_4_17"/>
      <w:bookmarkStart w:id="2587" w:name="Tc_DAPY49w86kazNTpj5QJB2g_4_14"/>
      <w:bookmarkStart w:id="2588" w:name="Tc_OdHVtlELrEeNSJq1TqquHQ_4_11"/>
      <w:bookmarkStart w:id="2589" w:name="Tc_P7qPu9h8O0qAyYpUuUdFxw_4_8"/>
      <w:bookmarkStart w:id="2590" w:name="Tc_zEv_kCh2gEKs8XrZVv8csw_4_5"/>
      <w:bookmarkStart w:id="2591" w:name="Tc__d5BcxdJeEytiJA4J-amFw_4_2"/>
      <w:bookmarkStart w:id="2592" w:name="Tc_omaYuUT7z0qhhktgSX99Bw_4_0"/>
      <w:bookmarkStart w:id="2593" w:name="Tc_nA2pzF1-uUKBrXj3XTK7NQ_3_23"/>
      <w:bookmarkStart w:id="2594" w:name="Tc_B5REEL0eU0ywfcBG_2H3Aw_3_2"/>
      <w:bookmarkStart w:id="2595" w:name="Tc_byBbqhwZeEW1E8w8fDQOqQ_3_0"/>
      <w:bookmarkStart w:id="2596" w:name="Tc_rC24oiJbgEyOpTQgKyrYOw_2_23"/>
      <w:bookmarkStart w:id="2597" w:name="Tc_vkeg5wFUmUygfnfAeK0hCQ_1_2"/>
      <w:bookmarkStart w:id="2598" w:name="_51b87f5e_d5a6_4f84_a5b7_a4df21f40775"/>
      <w:bookmarkStart w:id="2599" w:name="Tc_SUB9D7zoAkGLDRt3MmifcA_24_26"/>
      <w:bookmarkStart w:id="2600" w:name="Tc_OINYl4NXHUe56JqtQnKvHQ_24_23"/>
      <w:bookmarkStart w:id="2601" w:name="Tc_VBSzuHLa-ECE1myRWUgYOQ_24_20"/>
      <w:bookmarkStart w:id="2602" w:name="Tc_4x_Jz_G42kaJ1xjvMZzyMw_24_17"/>
      <w:bookmarkStart w:id="2603" w:name="Tc_OzkoVyjUHUeKpU60jAnA2A_24_14"/>
      <w:bookmarkStart w:id="2604" w:name="Tc_KL_pfjiYAUWywzGFcC7Q-g_24_11"/>
      <w:bookmarkStart w:id="2605" w:name="Tc_Mockl41k5ki5EtObwvMQiQ_24_8"/>
      <w:bookmarkStart w:id="2606" w:name="Tc_aBfCSPP4j0moUD8-ke5Vrg_24_5"/>
      <w:bookmarkStart w:id="2607" w:name="Tc_w0cW8Ly-sk-arvQXBdkMbg_24_2"/>
      <w:bookmarkStart w:id="2608" w:name="Tc_9XU4jRhCLk6KTNAFGVvWfw_24_0"/>
      <w:bookmarkStart w:id="2609" w:name="Tc_ChDb9gReI0-XSC6_U_cV8w_23_24"/>
      <w:bookmarkStart w:id="2610" w:name="Tc_lZoeCf88z0SOHBEpib-P0Q_23_21"/>
      <w:bookmarkStart w:id="2611" w:name="Tc_1ldb_6p8v0GdsS_tSpJCQw_23_0"/>
      <w:bookmarkStart w:id="2612" w:name="Tc_f-TQ-WPWkUOkzCnCDJcAXw_22_24"/>
      <w:bookmarkStart w:id="2613" w:name="Tc_4L-yage6EEq0N6Zihxt50Q_22_21"/>
      <w:bookmarkStart w:id="2614" w:name="Tc_CVs0egPJSk-LcEirUouyUw_22_0"/>
      <w:bookmarkStart w:id="2615" w:name="Tc__5pdvTi8X0e2XehEFv8xrQ_21_0"/>
      <w:bookmarkStart w:id="2616" w:name="Tc_lr7Rkr_CxEqcRAtOWc0S8Q_20_21"/>
      <w:bookmarkStart w:id="2617" w:name="Tc_bFAEeF9uH0yR5Gj8WmKdCg_20_0"/>
      <w:bookmarkStart w:id="2618" w:name="Tc_wn1rTYfBTUOgMCgzEr3U4Q_19_24"/>
      <w:bookmarkStart w:id="2619" w:name="Tc_9YNt1i4Dt0ixAM1LwWUdpQ_19_21"/>
      <w:bookmarkStart w:id="2620" w:name="Tc_yoDx6kyHT0SKv2J5_fVSOA_19_12"/>
      <w:bookmarkStart w:id="2621" w:name="Tc_GlayJpdGr0a7U32nxmKi2Q_19_9"/>
      <w:bookmarkStart w:id="2622" w:name="Tc_S0QaP4LvD06RynWpUodlRA_19_6"/>
      <w:bookmarkStart w:id="2623" w:name="Tc_JkA6jnq7f0aNvRQrbesz7w_19_3"/>
      <w:bookmarkStart w:id="2624" w:name="Tc_GtwgCvOdIkSqCNkzR5olQQ_19_0"/>
      <w:bookmarkStart w:id="2625" w:name="Tc_vS4aiRx_GEGBw6hkpzBqLg_18_21"/>
      <w:bookmarkStart w:id="2626" w:name="Tc_4f2AZNMHa0eOGrZE_mJWTA_18_0"/>
      <w:bookmarkStart w:id="2627" w:name="Tc_jbDGdnM5tUGe64TmUDUTkA_17_0"/>
      <w:bookmarkStart w:id="2628" w:name="Tc_1z3tEzZ1NUmGJkDwklg8tA_16_24"/>
      <w:bookmarkStart w:id="2629" w:name="Tc_Y_sT1FZ0T0qaCEiE0mWrUg_16_0"/>
      <w:bookmarkStart w:id="2630" w:name="Tc_8JpEb7jas0-pCtyyzyJBQQ_15_24"/>
      <w:bookmarkStart w:id="2631" w:name="Tc_TPzQagHa10SDas169U-K0g_15_21"/>
      <w:bookmarkStart w:id="2632" w:name="Tc_cmR_kbjGBEGeVqYIwHAgCQ_15_12"/>
      <w:bookmarkStart w:id="2633" w:name="Tc_wYUyaEvI-Ua5PVzC6cE2Fw_15_9"/>
      <w:bookmarkStart w:id="2634" w:name="Tc_unRQsl86rkio5skGnX0fMg_15_6"/>
      <w:bookmarkStart w:id="2635" w:name="Tc_RMjZo_lFx0CaitZpq1UYbQ_15_3"/>
      <w:bookmarkStart w:id="2636" w:name="Tc_BT0xIe-OQEKZGi3E7_NBvg_15_0"/>
      <w:bookmarkStart w:id="2637" w:name="Tc_v55mTSJSxkqAscfMf1tX2A_14_24"/>
      <w:bookmarkStart w:id="2638" w:name="Tc_9exqSvbaEEG11AnnoBY62Q_14_0"/>
      <w:bookmarkStart w:id="2639" w:name="Tc_3Fe8j_E8SUuRx-vERtfRnQ_13_0"/>
      <w:bookmarkStart w:id="2640" w:name="Tc_6XqxMF99eEqoazbTAsWShw_12_24"/>
      <w:bookmarkStart w:id="2641" w:name="Tc_Ig1Pry6xiE-BmQNm5C78iA_12_21"/>
      <w:bookmarkStart w:id="2642" w:name="Tc_pt9_tjTRLkeEPW1nZXSi0A_12_15"/>
      <w:bookmarkStart w:id="2643" w:name="Tc__iG_QRfHS0-7uyiO6GuEnQ_12_0"/>
      <w:bookmarkStart w:id="2644" w:name="Tc_NufhatejB0WQ6e1BjVwkeQ_11_24"/>
      <w:bookmarkStart w:id="2645" w:name="Tc_v8ebirrn2Uqe1xhZHXA4Hg_11_21"/>
      <w:bookmarkStart w:id="2646" w:name="Tc_SNiI-v8MAESEKZswBO-2hg_11_15"/>
      <w:bookmarkStart w:id="2647" w:name="Tc_hxx0EH0sz0WTgL-FoTzsGw_11_0"/>
      <w:bookmarkStart w:id="2648" w:name="Tc_06mH1DLk0UKOBp7nTVQL4Q_10_0"/>
      <w:bookmarkStart w:id="2649" w:name="Tc_vKrL4MqKjUuX4FU-U848Dg_9_24"/>
      <w:bookmarkStart w:id="2650" w:name="Tc_YgQz6jDGfk-VoLBTfXy5Fg_9_21"/>
      <w:bookmarkStart w:id="2651" w:name="Tc_10cZvj8rOU6drGSqosQCYA_9_0"/>
      <w:bookmarkStart w:id="2652" w:name="Tc_IyALpJ6y20qK7v1xpZ8rPA_8_24"/>
      <w:bookmarkStart w:id="2653" w:name="Tc_jArNnBCgdU-7aVC4zbMgRg_8_21"/>
      <w:bookmarkStart w:id="2654" w:name="Tc_npQyPkj_wU-5f0DSd1Fxbg_8_12"/>
      <w:bookmarkStart w:id="2655" w:name="Tc_-2Ih8N_5Y0y6Ckqago2SIw_8_9"/>
      <w:bookmarkStart w:id="2656" w:name="Tc_qJSiizI5z0GDKcr-J37Qzw_8_6"/>
      <w:bookmarkStart w:id="2657" w:name="Tc_hWRJ2OjAw0KQse85RQolRg_8_3"/>
      <w:bookmarkStart w:id="2658" w:name="Tc_kq54thrP-U6eJW_Uas-Bcw_8_0"/>
      <w:bookmarkStart w:id="2659" w:name="Tc_FXm9UeGvtk6KcM2PSVTGGQ_7_24"/>
      <w:bookmarkStart w:id="2660" w:name="Tc_e6sCOucsz0GiiRO3If8Bgg_7_21"/>
      <w:bookmarkStart w:id="2661" w:name="Tc_GfphTIp_hUudd0729IvO_g_7_18"/>
      <w:bookmarkStart w:id="2662" w:name="Tc_1ArkI-PNVkWhMXK8-UjC7w_7_15"/>
      <w:bookmarkStart w:id="2663" w:name="Tc_Pia4kZJ7j0uRA5EMnmiGdw_7_9"/>
      <w:bookmarkStart w:id="2664" w:name="Tc_wXYFYdpwikC8cmIkJ2n-tA_7_6"/>
      <w:bookmarkStart w:id="2665" w:name="Tc_h5Uk8ZqHMUGcuPb7JWKPMQ_7_3"/>
      <w:bookmarkStart w:id="2666" w:name="Tc_VVWB9t9YbEaFrWNLk7M_Ng_7_0"/>
      <w:bookmarkStart w:id="2667" w:name="Tc_DKrYhs6PY0KbnTrS3smkvA_6_24"/>
      <w:bookmarkStart w:id="2668" w:name="Tc_bx260CMJU0y2vQDCB5Wz6A_6_21"/>
      <w:bookmarkStart w:id="2669" w:name="Tc_vjFKcMbAt0-9GfiZn-07rg_6_18"/>
      <w:bookmarkStart w:id="2670" w:name="Tc_nOmwpLLpLU-L1Rc4aVVWuw_6_15"/>
      <w:bookmarkStart w:id="2671" w:name="Tc_3M_lhTziNEqVNEUYYmt9bQ_6_12"/>
      <w:bookmarkStart w:id="2672" w:name="Tc_Ga4NQcHBeU6lY5uO8zQPEA_6_6"/>
      <w:bookmarkStart w:id="2673" w:name="Tc_R_lu7ryQ0kOFDto_YZJ7Mg_6_0"/>
      <w:bookmarkStart w:id="2674" w:name="Tc_5jIrvLSbLE2qO-NMrLAp-A_5_26"/>
      <w:bookmarkStart w:id="2675" w:name="Tc_vvZ1KvEnI0KYWw_g9KUV2Q_5_24"/>
      <w:bookmarkStart w:id="2676" w:name="Tc_gA1j0JQG_0uFhD0ZknU8Fw_5_23"/>
      <w:bookmarkStart w:id="2677" w:name="Tc_7OunfZGweUWQWecMRVfzGA_5_21"/>
      <w:bookmarkStart w:id="2678" w:name="Tc_dhfQmFzZgkOy_EFi1LQGxw_5_20"/>
      <w:bookmarkStart w:id="2679" w:name="Tc_ycoeM9UiV0SgZiOQ59fPNw_5_17"/>
      <w:bookmarkStart w:id="2680" w:name="Tc_s_Twa2KTKU2qw1NZLV_u3Q_5_14"/>
      <w:bookmarkStart w:id="2681" w:name="Tc_WPQKJdsE4k-LGL6tK0EOEw_5_11"/>
      <w:bookmarkStart w:id="2682" w:name="Tc_dx_p062zsUG2US4-He8Msg_5_8"/>
      <w:bookmarkStart w:id="2683" w:name="Tc_NQhj3ATlc0attgHshqZ2LA_5_5"/>
      <w:bookmarkStart w:id="2684" w:name="Tc_LgrARrAL-0KTRhHr4rdEJg_5_2"/>
      <w:bookmarkStart w:id="2685" w:name="Tc_4bd9WhV5ikSc3iMAtS8VLA_5_0"/>
      <w:bookmarkStart w:id="2686" w:name="Tc_o-pS_PAT0UmMOvgkglYzpw_4_26"/>
      <w:bookmarkStart w:id="2687" w:name="Tc_rLJTOTVSqkmFBI7CqyenFw_4_23"/>
      <w:bookmarkStart w:id="2688" w:name="Tc_cF3YG-_-d0W8YUSW8S3H8Q_4_20"/>
      <w:bookmarkStart w:id="2689" w:name="Tc_LHntq9EkyE-0daBCvdTuFQ_4_17"/>
      <w:bookmarkStart w:id="2690" w:name="Tc_LE-GCZIUb02LTY7akDcmbw_4_14"/>
      <w:bookmarkStart w:id="2691" w:name="Tc_v8PJuU87UEuI4kLkGHCmmw_4_11"/>
      <w:bookmarkStart w:id="2692" w:name="Tc_N-NFq4z9XEWgoZkTQEpbPg_4_8"/>
      <w:bookmarkStart w:id="2693" w:name="Tc_kdcmySM69ES64HXiot02Cw_4_5"/>
      <w:bookmarkStart w:id="2694" w:name="Tc_H7RnRjQ10E-hv5drfE0d4Q_4_2"/>
      <w:bookmarkStart w:id="2695" w:name="Tc_G_5xAO8DmkqKLmfir--gkQ_4_0"/>
      <w:bookmarkStart w:id="2696" w:name="Tc_E1iv9GNbrkOLwWqhQpsJqg_3_23"/>
      <w:bookmarkStart w:id="2697" w:name="Tc_4McF2-406EyALBEHjjFkcw_3_2"/>
      <w:bookmarkStart w:id="2698" w:name="Tc_xJpmrTU2-ke2AwNia0G7gw_3_0"/>
      <w:bookmarkStart w:id="2699" w:name="Tc_ZYRb9A984k6GUHiA9bYJ4Q_2_23"/>
      <w:bookmarkStart w:id="2700" w:name="Tc_5KR6_QgnWkCw1FIBrwNAmQ_1_2"/>
      <w:bookmarkStart w:id="2701" w:name="_6bd62d4d_2942_43ab_a3fc_9366a0ae4540"/>
      <w:bookmarkStart w:id="2702" w:name="Tc_ueR2fWA050-8NaM-tWy_yg_21_26"/>
      <w:bookmarkStart w:id="2703" w:name="Tc_yNs2kE1Or0qw9741jzeURA_21_23"/>
      <w:bookmarkStart w:id="2704" w:name="Tc_Vw-6lwXQQEm7fzz_lB18Cw_21_20"/>
      <w:bookmarkStart w:id="2705" w:name="Tc_3HW_hH_snUS-hamNukGmjg_21_17"/>
      <w:bookmarkStart w:id="2706" w:name="Tc_wnGu2xFHNEibPY9Y4SrELg_21_14"/>
      <w:bookmarkStart w:id="2707" w:name="Tc_c-ocDmW9_kGvpzdopGgOEw_21_11"/>
      <w:bookmarkStart w:id="2708" w:name="Tc_wp4AxPVe6UeAoLXNBPgTzQ_21_8"/>
      <w:bookmarkStart w:id="2709" w:name="Tc_ETSCR2w940ezHt_Htqa_Cw_21_5"/>
      <w:bookmarkStart w:id="2710" w:name="Tc_7SWPzS3NJUOG0t8C6_AmeA_21_2"/>
      <w:bookmarkStart w:id="2711" w:name="Tc_gbSw7Wd04E2gqxF-HBa8BQ_21_0"/>
      <w:bookmarkStart w:id="2712" w:name="Tc_WPge2bIqtU-70FG_Mbclqw_20_0"/>
      <w:bookmarkStart w:id="2713" w:name="Tc_ES_lRVomykOmb2nsF8gyYQ_19_24"/>
      <w:bookmarkStart w:id="2714" w:name="Tc_SJio75MGX0ywPezsLhc9ug_19_18"/>
      <w:bookmarkStart w:id="2715" w:name="Tc_rkN97_ffLkeKIAtx09Isjg_19_15"/>
      <w:bookmarkStart w:id="2716" w:name="Tc_aqkn35znAEKd23NeYGizzw_19_9"/>
      <w:bookmarkStart w:id="2717" w:name="Tc_y5gGYsAxa0eCFuDaL4hiHg_19_6"/>
      <w:bookmarkStart w:id="2718" w:name="Tc_xsuMuXM28EaUPVgNYphBRA_19_3"/>
      <w:bookmarkStart w:id="2719" w:name="Tc_uu1NJOPS5ky8KKHvJXVyDQ_19_0"/>
      <w:bookmarkStart w:id="2720" w:name="Tc_cYP6w1R-WUC1c5FqPGovMA_18_24"/>
      <w:bookmarkStart w:id="2721" w:name="Tc_BsjNCq3ux0-JSW8Ha5DcOQ_18_15"/>
      <w:bookmarkStart w:id="2722" w:name="Tc_2xqY1Ye5LEi9FNUqOHg31A_18_12"/>
      <w:bookmarkStart w:id="2723" w:name="Tc_neL79J13XUCvtkF5bcywdg_18_0"/>
      <w:bookmarkStart w:id="2724" w:name="Tc_FzZoUHPgj0676NWiN4LPuw_17_26"/>
      <w:bookmarkStart w:id="2725" w:name="Tc_8IeOhAgDAU-jIQje7kz72g_17_23"/>
      <w:bookmarkStart w:id="2726" w:name="Tc_oP6Uli_8aU-i08CRc_d08g_17_20"/>
      <w:bookmarkStart w:id="2727" w:name="Tc_ieixTsmoaE-vNlF058SpVg_17_17"/>
      <w:bookmarkStart w:id="2728" w:name="Tc_onOvhBX9OkyR8eWtzi8iyw_17_14"/>
      <w:bookmarkStart w:id="2729" w:name="Tc_kJ1tgg89wUW8of9tXm53aQ_17_11"/>
      <w:bookmarkStart w:id="2730" w:name="Tc_4dUMP7Tfw0y_5jpv6PVu1w_17_8"/>
      <w:bookmarkStart w:id="2731" w:name="Tc_lnz9tQwe70WqxaLQtheyhA_17_5"/>
      <w:bookmarkStart w:id="2732" w:name="Tc_J2Dd5H8kJkepupAhzgJTmA_17_2"/>
      <w:bookmarkStart w:id="2733" w:name="Tc_-t0135gWuk2tApD4MjfH7A_17_0"/>
      <w:bookmarkStart w:id="2734" w:name="Tc_t0InhjgRfEiLt6ad7X2lDw_16_0"/>
      <w:bookmarkStart w:id="2735" w:name="Tc_n0Z7rXmzk0OgtpMctkw3fA_14_26"/>
      <w:bookmarkStart w:id="2736" w:name="Tc_6oQX7uYEQUmla3Sk6Z6-Lg_14_23"/>
      <w:bookmarkStart w:id="2737" w:name="Tc_jTa0VpfPsUiGZTjY2tdYWA_14_20"/>
      <w:bookmarkStart w:id="2738" w:name="Tc_kV3L1rYQ60ypH_jC3OdWfg_14_17"/>
      <w:bookmarkStart w:id="2739" w:name="Tc_TlfhLYlMkkmuxQK045Qebw_14_14"/>
      <w:bookmarkStart w:id="2740" w:name="Tc_byFYIDHSFk-RyrWiK5VrYw_14_11"/>
      <w:bookmarkStart w:id="2741" w:name="Tc_akMoJu9-1kueQACIwCduYg_14_8"/>
      <w:bookmarkStart w:id="2742" w:name="Tc_K9cCN1eBIkq8ilxyXdMjiQ_14_5"/>
      <w:bookmarkStart w:id="2743" w:name="Tc_dVpPMJ3cqUeLPSmqbLsYnA_14_2"/>
      <w:bookmarkStart w:id="2744" w:name="Tc_GUt_WtPkdkWt_k0srPl_Cw_14_0"/>
      <w:bookmarkStart w:id="2745" w:name="Tc_Xo8KkW1_sEujqKbw7c4K-w_13_24"/>
      <w:bookmarkStart w:id="2746" w:name="Tc_waOQxMHrRkGzXkCwqPMT6w_13_18"/>
      <w:bookmarkStart w:id="2747" w:name="Tc_KOepF8UcGU2-fjwLSliLVw_13_15"/>
      <w:bookmarkStart w:id="2748" w:name="Tc_KYfQ-n_9sEeTcxfrimvsdw_13_12"/>
      <w:bookmarkStart w:id="2749" w:name="Tc_vsHxdnkR5EiwJiwxuoiM_Q_13_9"/>
      <w:bookmarkStart w:id="2750" w:name="Tc_espHSupaE0-Eb9ukLB3fHw_13_6"/>
      <w:bookmarkStart w:id="2751" w:name="Tc_vKqetMUvQUy5DsYVeiqjBw_13_3"/>
      <w:bookmarkStart w:id="2752" w:name="Tc_T1K_7AVXzUibOfCOd7wspQ_13_0"/>
      <w:bookmarkStart w:id="2753" w:name="Tc_-fcwhyHcU0uo_TogOeeauw_12_24"/>
      <w:bookmarkStart w:id="2754" w:name="Tc_z_VR2A4UUkSo26cxMKpb4g_12_18"/>
      <w:bookmarkStart w:id="2755" w:name="Tc_B3uRTnJgLUG5AsyCnHRY7Q_12_15"/>
      <w:bookmarkStart w:id="2756" w:name="Tc_D_ehz7OJ50KAb5a3oHHO-g_12_12"/>
      <w:bookmarkStart w:id="2757" w:name="Tc_aXSA_qGW0kya3sdhsVkEzw_12_9"/>
      <w:bookmarkStart w:id="2758" w:name="Tc_e6NBAHs1F0iwEB8M_yP1fw_12_6"/>
      <w:bookmarkStart w:id="2759" w:name="Tc_C5s6IJ4_DkK-iEydHkqdJw_12_3"/>
      <w:bookmarkStart w:id="2760" w:name="Tc_3QDfgLEHP0-APSYpKa68dw_12_0"/>
      <w:bookmarkStart w:id="2761" w:name="Tc_QQkRV2Igx0-i_z6x5Qlobw_11_24"/>
      <w:bookmarkStart w:id="2762" w:name="Tc_FcuyL7ATWUatDUxiaYEKzQ_11_18"/>
      <w:bookmarkStart w:id="2763" w:name="Tc_An-xbpS6y0OvNapxcWE54Q_11_15"/>
      <w:bookmarkStart w:id="2764" w:name="Tc_CDV4XMxKeE6vZmxTKFN9tQ_11_12"/>
      <w:bookmarkStart w:id="2765" w:name="Tc_lQNn3X4W4kiaB6NJLIZPSw_11_9"/>
      <w:bookmarkStart w:id="2766" w:name="Tc_sgk53hGJj0mg5RoBkAFmqg_11_6"/>
      <w:bookmarkStart w:id="2767" w:name="Tc_rA67wtryB066X13sHfpAtA_11_3"/>
      <w:bookmarkStart w:id="2768" w:name="Tc_m8FjcFx9i0mHXR7AJ24x_Q_11_0"/>
      <w:bookmarkStart w:id="2769" w:name="Tc_e65iT6cLQ0C2GGxBFpvXCQ_10_0"/>
      <w:bookmarkStart w:id="2770" w:name="Tc_vxhM6NLjJUSEx0fxH8QJdg_9_0"/>
      <w:bookmarkStart w:id="2771" w:name="Tc_5bdfrjvfTECDHK4cVlDBdg_8_3"/>
      <w:bookmarkStart w:id="2772" w:name="Tc_EqVO8u2jqECgJPvs2fivdg_8_0"/>
      <w:bookmarkStart w:id="2773" w:name="Tc_nyK5E67g6kqv6MsOxzH1_Q_7_24"/>
      <w:bookmarkStart w:id="2774" w:name="Tc_7C4BYsjmakiEXmqcSYNq6w_7_18"/>
      <w:bookmarkStart w:id="2775" w:name="Tc_pLLhC5-RC0Sar7dFMt4iEA_7_15"/>
      <w:bookmarkStart w:id="2776" w:name="Tc_TZW7VDO23EyvkJshMA47rQ_7_9"/>
      <w:bookmarkStart w:id="2777" w:name="Tc__LwHWUYJzEaftVyD7C9DDg_7_6"/>
      <w:bookmarkStart w:id="2778" w:name="Tc_Aok998ytk0ey7co2s8UTgw_7_3"/>
      <w:bookmarkStart w:id="2779" w:name="Tc_LKascP5VcE-yhHJI56NfGw_7_0"/>
      <w:bookmarkStart w:id="2780" w:name="Tc_6rxWflIx6E-WdEYIQRVYIg_6_24"/>
      <w:bookmarkStart w:id="2781" w:name="Tc_KSPijlUFqkalKsHfxk62lQ_6_15"/>
      <w:bookmarkStart w:id="2782" w:name="Tc_L95n6NtrU0aSAIjdBfMmWQ_6_12"/>
      <w:bookmarkStart w:id="2783" w:name="Tc_WPE869Ai6keSZ9_do4BDQQ_6_3"/>
      <w:bookmarkStart w:id="2784" w:name="Tc_AsvOUg2jb0qBN7kfpRScqA_6_0"/>
      <w:bookmarkStart w:id="2785" w:name="Tc_8VFFtN9dG0GLVmZC6NJgZQ_5_26"/>
      <w:bookmarkStart w:id="2786" w:name="Tc_MLyAvs_YpU6TfVGAIBnZNQ_5_24"/>
      <w:bookmarkStart w:id="2787" w:name="Tc_yDldya0zvU-0WDMu_gfroA_5_23"/>
      <w:bookmarkStart w:id="2788" w:name="Tc_FjRqcfPRpEa9fSd196iBvw_5_20"/>
      <w:bookmarkStart w:id="2789" w:name="Tc_xiur2z10SEu_i63ztSwfzQ_5_17"/>
      <w:bookmarkStart w:id="2790" w:name="Tc_lP-pR_imI0mPtH6E70fIyA_5_14"/>
      <w:bookmarkStart w:id="2791" w:name="Tc_Gkpue5A8XkOt26DoaMkDHg_5_11"/>
      <w:bookmarkStart w:id="2792" w:name="Tc_vdiYBY-hG02wrinUaagCmw_5_8"/>
      <w:bookmarkStart w:id="2793" w:name="Tc_jIcSJLOCAUmiaDMoRQaUzQ_5_5"/>
      <w:bookmarkStart w:id="2794" w:name="Tc_AtdoA4_MSkWExA8YUEtl3w_5_2"/>
      <w:bookmarkStart w:id="2795" w:name="Tc_QUbe8WnawkKP0VUfZPReSg_5_0"/>
      <w:bookmarkStart w:id="2796" w:name="Tc_J6eXYmBbJUWN6d2gyF9J1g_4_26"/>
      <w:bookmarkStart w:id="2797" w:name="Tc__7B6qtpAnU-5gdL4Uj9ghA_4_23"/>
      <w:bookmarkStart w:id="2798" w:name="Tc_2NAU0D2CU06GLUnHtQ4GHA_4_20"/>
      <w:bookmarkStart w:id="2799" w:name="Tc_OxGt9u6iqkGqTzXNvPVoPQ_4_17"/>
      <w:bookmarkStart w:id="2800" w:name="Tc_XOrsc7OsCkK1GpS9im_wow_4_14"/>
      <w:bookmarkStart w:id="2801" w:name="Tc_-ALCr3RDOE6Ko6gZIMFN0w_4_11"/>
      <w:bookmarkStart w:id="2802" w:name="Tc_lWk6qn_D-E2gHF79tC5U7A_4_8"/>
      <w:bookmarkStart w:id="2803" w:name="Tc_BpfkznE2OUm66UuM2K24tw_4_5"/>
      <w:bookmarkStart w:id="2804" w:name="Tc_Aiz_Iz_hLEm2NdLRi0jRoQ_4_2"/>
      <w:bookmarkStart w:id="2805" w:name="Tc_e7smanrTEEqW22t9kmRWGA_4_0"/>
      <w:bookmarkStart w:id="2806" w:name="Tc_vGyGBErX4EWJH2N8UoYETg_3_23"/>
      <w:bookmarkStart w:id="2807" w:name="Tc_VLmVFyz7eEu50dL12KYWGA_3_2"/>
      <w:bookmarkStart w:id="2808" w:name="Tc_KKYH3VD0-kGaSUcCNOuBDQ_3_0"/>
      <w:bookmarkStart w:id="2809" w:name="Tc_6JtV-gSjDUqNmleV4AfZZQ_2_23"/>
      <w:bookmarkStart w:id="2810" w:name="Tc_4WjXrQZZXU-XiMOcOWAtGw_2_0"/>
      <w:bookmarkStart w:id="2811" w:name="Tc_-puzRGgpx0KfOywJYBp3Hw_1_2"/>
      <w:bookmarkStart w:id="2812" w:name="_f13cc04c_1dd9_4b62_8faa_370006a845d5"/>
      <w:bookmarkStart w:id="2813" w:name="Tc_pLnaZpmMH0-IqfexFuuMYw_16_26"/>
      <w:bookmarkStart w:id="2814" w:name="Tc_0u-jVEyhxU2-b-QlfOg9mA_16_24"/>
      <w:bookmarkStart w:id="2815" w:name="Tc_b4J4wYw5UUK6HB5Ma3R7Cw_16_23"/>
      <w:bookmarkStart w:id="2816" w:name="Tc_0zI8g5XTd0C-MnKutAmwtg_16_20"/>
      <w:bookmarkStart w:id="2817" w:name="Tc_B5hX2jtsCE6FD0e-K3myuw_16_17"/>
      <w:bookmarkStart w:id="2818" w:name="Tc_cFcebFUNTE-LTrdP9xDwRA_16_14"/>
      <w:bookmarkStart w:id="2819" w:name="Tc_rSLR-hg9AEieW4282uquIA_16_11"/>
      <w:bookmarkStart w:id="2820" w:name="Tc_YxLM6DdNuE2Q7MJRjzX0-w_16_8"/>
      <w:bookmarkStart w:id="2821" w:name="Tc_FjtN7-V8jEKOP4a0pDt_hg_16_5"/>
      <w:bookmarkStart w:id="2822" w:name="Tc_nTRSi-zKzkWIoa54bG8RBA_16_2"/>
      <w:bookmarkStart w:id="2823" w:name="Tc_5QzQkNlHl0q-5N3bnMEl_Q_16_0"/>
      <w:bookmarkStart w:id="2824" w:name="Tc_vQyXUZ_vt0C8P7Oc3j1ltg_15_24"/>
      <w:bookmarkStart w:id="2825" w:name="Tc_iEqxtzE9eE6HLPJoC_PP8w_15_0"/>
      <w:bookmarkStart w:id="2826" w:name="Tc_u9NQ0nu1r0-FCTPTbN8x7w_14_24"/>
      <w:bookmarkStart w:id="2827" w:name="Tc_LACkaCrpf0Ou-82mKlNryA_14_18"/>
      <w:bookmarkStart w:id="2828" w:name="Tc_PI69ckO_a0GLJdrDlWfH_w_14_15"/>
      <w:bookmarkStart w:id="2829" w:name="Tc_LoDtRXsa6Uq-IN0hxsoOAQ_14_12"/>
      <w:bookmarkStart w:id="2830" w:name="Tc_Cqc4RYz39ECFI7t5NKT3Lw_14_9"/>
      <w:bookmarkStart w:id="2831" w:name="Tc_TXWm1045PEeIJSCR-BNdaw_14_0"/>
      <w:bookmarkStart w:id="2832" w:name="Tc_y08k0BLejUCpQETooObJrA_13_24"/>
      <w:bookmarkStart w:id="2833" w:name="Tc_e-HzU7Q8e0uu-EdvPu9Qyw_13_0"/>
      <w:bookmarkStart w:id="2834" w:name="Tc_zooZRFB5kE2YpKD_A9pyxQ_12_0"/>
      <w:bookmarkStart w:id="2835" w:name="Tc_ZZ6tr4_XL0OVvWv3tHrW3w_11_24"/>
      <w:bookmarkStart w:id="2836" w:name="Tc_Lgzv61WVoESsyJ_-r7RzpA_11_21"/>
      <w:bookmarkStart w:id="2837" w:name="Tc_y3QnIEs_4Ei8ylVnbivrcg_11_0"/>
      <w:bookmarkStart w:id="2838" w:name="Tc_1knoiboE102BS-5oWgzk_w_10_24"/>
      <w:bookmarkStart w:id="2839" w:name="Tc_zG99FidU9kOLh2HNvxwR2g_10_21"/>
      <w:bookmarkStart w:id="2840" w:name="Tc_HPoFNBlfpkeD-f5lt7keqA_10_9"/>
      <w:bookmarkStart w:id="2841" w:name="Tc_uf44sJtuDU2zjKXJLqSu8Q_10_6"/>
      <w:bookmarkStart w:id="2842" w:name="Tc_zYT0LceW_kqY27a6afB-cA_10_3"/>
      <w:bookmarkStart w:id="2843" w:name="Tc_lYs-A4yb6EqvMVTVA88Low_10_0"/>
      <w:bookmarkStart w:id="2844" w:name="Tc_empuyZXPJk-Vr28Up-aoMw_9_24"/>
      <w:bookmarkStart w:id="2845" w:name="Tc_j_61vAl7u0egXQ1r2ZBggw_9_21"/>
      <w:bookmarkStart w:id="2846" w:name="Tc_WK6ooVag_UuuIcpKI7EvQQ_9_0"/>
      <w:bookmarkStart w:id="2847" w:name="Tc_NoD_DJnlVU2XPxrArmXCFQ_8_0"/>
      <w:bookmarkStart w:id="2848" w:name="Tc_w9GxoEK5p0K2Ifsvslbjcg_7_24"/>
      <w:bookmarkStart w:id="2849" w:name="Tc_zxqT4AigXUGnbHyjIJjEnA_7_0"/>
      <w:bookmarkStart w:id="2850" w:name="Tc_NIecKGti-kOOUTN1NMGh0A_6_24"/>
      <w:bookmarkStart w:id="2851" w:name="Tc_RIcBPJJDZkyXpVMPwdY3AA_6_21"/>
      <w:bookmarkStart w:id="2852" w:name="Tc_AZWcQo9zIkWXHSvR64qYZg_6_0"/>
      <w:bookmarkStart w:id="2853" w:name="Tc_wsnTPlhdkkqyBZEokkpMbw_5_26"/>
      <w:bookmarkStart w:id="2854" w:name="Tc_oy9ZJYzvMk2zl1niEG3gNw_5_24"/>
      <w:bookmarkStart w:id="2855" w:name="Tc_qMMphd8su0OKYHD5esBxRw_5_23"/>
      <w:bookmarkStart w:id="2856" w:name="Tc_xo4fbwMOvU6EHSuo6r0uzA_5_20"/>
      <w:bookmarkStart w:id="2857" w:name="Tc_hW-UG_4bIE6u4lzHuQYBXg_5_17"/>
      <w:bookmarkStart w:id="2858" w:name="Tc_go3OHqP31U6jvKhtyrZEmw_5_14"/>
      <w:bookmarkStart w:id="2859" w:name="Tc_zypU035_rES-eCP5oGWWyg_5_11"/>
      <w:bookmarkStart w:id="2860" w:name="Tc_0K8In0_bCUKmZ5J2HAf1nA_5_8"/>
      <w:bookmarkStart w:id="2861" w:name="Tc_Zb52pGFcY0GhQwdMo95KGQ_5_5"/>
      <w:bookmarkStart w:id="2862" w:name="Tc_mZ8e5vKD5EGnLZ8A54wznw_5_2"/>
      <w:bookmarkStart w:id="2863" w:name="Tc_-4WjM6VukEO6QqQdxBJEig_5_0"/>
      <w:bookmarkStart w:id="2864" w:name="Tc_dhSjU13EGU2V0uzjjF2BNA_4_26"/>
      <w:bookmarkStart w:id="2865" w:name="Tc_9-zi5QCwP0myaOU853Ip-w_4_23"/>
      <w:bookmarkStart w:id="2866" w:name="Tc_Gl5B_if0Fk-QV5n8T1fX5g_4_20"/>
      <w:bookmarkStart w:id="2867" w:name="Tc_bRYSncsVmU-wA84g7QzRXg_4_17"/>
      <w:bookmarkStart w:id="2868" w:name="Tc_DAPY49w86kazNTpj5QJB2g_4_14"/>
      <w:bookmarkStart w:id="2869" w:name="Tc_OdHVtlELrEeNSJq1TqquHQ_4_11"/>
      <w:bookmarkStart w:id="2870" w:name="Tc_P7qPu9h8O0qAyYpUuUdFxw_4_8"/>
      <w:bookmarkStart w:id="2871" w:name="Tc_zEv_kCh2gEKs8XrZVv8csw_4_5"/>
      <w:bookmarkStart w:id="2872" w:name="Tc__d5BcxdJeEytiJA4J-amFw_4_2"/>
      <w:bookmarkStart w:id="2873" w:name="Tc_omaYuUT7z0qhhktgSX99Bw_4_0"/>
      <w:bookmarkStart w:id="2874" w:name="Tc_nA2pzF1-uUKBrXj3XTK7NQ_3_23"/>
      <w:bookmarkStart w:id="2875" w:name="Tc_B5REEL0eU0ywfcBG_2H3Aw_3_2"/>
      <w:bookmarkStart w:id="2876" w:name="Tc_byBbqhwZeEW1E8w8fDQOqQ_3_0"/>
      <w:bookmarkStart w:id="2877" w:name="Tc_rC24oiJbgEyOpTQgKyrYOw_2_23"/>
      <w:bookmarkStart w:id="2878" w:name="Tc_vkeg5wFUmUygfnfAeK0hCQ_1_2"/>
      <w:bookmarkStart w:id="2879" w:name="_51b87f5e_d5a6_4f84_a5b7_a4df21f40775"/>
      <w:bookmarkStart w:id="2880" w:name="Tc_SUB9D7zoAkGLDRt3MmifcA_24_26"/>
      <w:bookmarkStart w:id="2881" w:name="Tc_OINYl4NXHUe56JqtQnKvHQ_24_23"/>
      <w:bookmarkStart w:id="2882" w:name="Tc_VBSzuHLa-ECE1myRWUgYOQ_24_20"/>
      <w:bookmarkStart w:id="2883" w:name="Tc_4x_Jz_G42kaJ1xjvMZzyMw_24_17"/>
      <w:bookmarkStart w:id="2884" w:name="Tc_OzkoVyjUHUeKpU60jAnA2A_24_14"/>
      <w:bookmarkStart w:id="2885" w:name="Tc_KL_pfjiYAUWywzGFcC7Q-g_24_11"/>
      <w:bookmarkStart w:id="2886" w:name="Tc_Mockl41k5ki5EtObwvMQiQ_24_8"/>
      <w:bookmarkStart w:id="2887" w:name="Tc_aBfCSPP4j0moUD8-ke5Vrg_24_5"/>
      <w:bookmarkStart w:id="2888" w:name="Tc_w0cW8Ly-sk-arvQXBdkMbg_24_2"/>
      <w:bookmarkStart w:id="2889" w:name="Tc_9XU4jRhCLk6KTNAFGVvWfw_24_0"/>
      <w:bookmarkStart w:id="2890" w:name="Tc_ChDb9gReI0-XSC6_U_cV8w_23_24"/>
      <w:bookmarkStart w:id="2891" w:name="Tc_lZoeCf88z0SOHBEpib-P0Q_23_21"/>
      <w:bookmarkStart w:id="2892" w:name="Tc_1ldb_6p8v0GdsS_tSpJCQw_23_0"/>
      <w:bookmarkStart w:id="2893" w:name="Tc_f-TQ-WPWkUOkzCnCDJcAXw_22_24"/>
      <w:bookmarkStart w:id="2894" w:name="Tc_4L-yage6EEq0N6Zihxt50Q_22_21"/>
      <w:bookmarkStart w:id="2895" w:name="Tc_CVs0egPJSk-LcEirUouyUw_22_0"/>
      <w:bookmarkStart w:id="2896" w:name="Tc__5pdvTi8X0e2XehEFv8xrQ_21_0"/>
      <w:bookmarkStart w:id="2897" w:name="Tc_lr7Rkr_CxEqcRAtOWc0S8Q_20_21"/>
      <w:bookmarkStart w:id="2898" w:name="Tc_bFAEeF9uH0yR5Gj8WmKdCg_20_0"/>
      <w:bookmarkStart w:id="2899" w:name="Tc_wn1rTYfBTUOgMCgzEr3U4Q_19_24"/>
      <w:bookmarkStart w:id="2900" w:name="Tc_9YNt1i4Dt0ixAM1LwWUdpQ_19_21"/>
      <w:bookmarkStart w:id="2901" w:name="Tc_yoDx6kyHT0SKv2J5_fVSOA_19_12"/>
      <w:bookmarkStart w:id="2902" w:name="Tc_GlayJpdGr0a7U32nxmKi2Q_19_9"/>
      <w:bookmarkStart w:id="2903" w:name="Tc_S0QaP4LvD06RynWpUodlRA_19_6"/>
      <w:bookmarkStart w:id="2904" w:name="Tc_JkA6jnq7f0aNvRQrbesz7w_19_3"/>
      <w:bookmarkStart w:id="2905" w:name="Tc_GtwgCvOdIkSqCNkzR5olQQ_19_0"/>
      <w:bookmarkStart w:id="2906" w:name="Tc_vS4aiRx_GEGBw6hkpzBqLg_18_21"/>
      <w:bookmarkStart w:id="2907" w:name="Tc_4f2AZNMHa0eOGrZE_mJWTA_18_0"/>
      <w:bookmarkStart w:id="2908" w:name="Tc_jbDGdnM5tUGe64TmUDUTkA_17_0"/>
      <w:bookmarkStart w:id="2909" w:name="Tc_1z3tEzZ1NUmGJkDwklg8tA_16_24"/>
      <w:bookmarkStart w:id="2910" w:name="Tc_Y_sT1FZ0T0qaCEiE0mWrUg_16_0"/>
      <w:bookmarkStart w:id="2911" w:name="Tc_8JpEb7jas0-pCtyyzyJBQQ_15_24"/>
      <w:bookmarkStart w:id="2912" w:name="Tc_TPzQagHa10SDas169U-K0g_15_21"/>
      <w:bookmarkStart w:id="2913" w:name="Tc_cmR_kbjGBEGeVqYIwHAgCQ_15_12"/>
      <w:bookmarkStart w:id="2914" w:name="Tc_wYUyaEvI-Ua5PVzC6cE2Fw_15_9"/>
      <w:bookmarkStart w:id="2915" w:name="Tc_unRQsl86rkio5skGnX0fMg_15_6"/>
      <w:bookmarkStart w:id="2916" w:name="Tc_RMjZo_lFx0CaitZpq1UYbQ_15_3"/>
      <w:bookmarkStart w:id="2917" w:name="Tc_BT0xIe-OQEKZGi3E7_NBvg_15_0"/>
      <w:bookmarkStart w:id="2918" w:name="Tc_v55mTSJSxkqAscfMf1tX2A_14_24"/>
      <w:bookmarkStart w:id="2919" w:name="Tc_9exqSvbaEEG11AnnoBY62Q_14_0"/>
      <w:bookmarkStart w:id="2920" w:name="Tc_3Fe8j_E8SUuRx-vERtfRnQ_13_0"/>
      <w:bookmarkStart w:id="2921" w:name="Tc_6XqxMF99eEqoazbTAsWShw_12_24"/>
      <w:bookmarkStart w:id="2922" w:name="Tc_Ig1Pry6xiE-BmQNm5C78iA_12_21"/>
      <w:bookmarkStart w:id="2923" w:name="Tc_pt9_tjTRLkeEPW1nZXSi0A_12_15"/>
      <w:bookmarkStart w:id="2924" w:name="Tc__iG_QRfHS0-7uyiO6GuEnQ_12_0"/>
      <w:bookmarkStart w:id="2925" w:name="Tc_NufhatejB0WQ6e1BjVwkeQ_11_24"/>
      <w:bookmarkStart w:id="2926" w:name="Tc_v8ebirrn2Uqe1xhZHXA4Hg_11_21"/>
      <w:bookmarkStart w:id="2927" w:name="Tc_SNiI-v8MAESEKZswBO-2hg_11_15"/>
      <w:bookmarkStart w:id="2928" w:name="Tc_hxx0EH0sz0WTgL-FoTzsGw_11_0"/>
      <w:bookmarkStart w:id="2929" w:name="Tc_06mH1DLk0UKOBp7nTVQL4Q_10_0"/>
      <w:bookmarkStart w:id="2930" w:name="Tc_vKrL4MqKjUuX4FU-U848Dg_9_24"/>
      <w:bookmarkStart w:id="2931" w:name="Tc_YgQz6jDGfk-VoLBTfXy5Fg_9_21"/>
      <w:bookmarkStart w:id="2932" w:name="Tc_10cZvj8rOU6drGSqosQCYA_9_0"/>
      <w:bookmarkStart w:id="2933" w:name="Tc_IyALpJ6y20qK7v1xpZ8rPA_8_24"/>
      <w:bookmarkStart w:id="2934" w:name="Tc_jArNnBCgdU-7aVC4zbMgRg_8_21"/>
      <w:bookmarkStart w:id="2935" w:name="Tc_npQyPkj_wU-5f0DSd1Fxbg_8_12"/>
      <w:bookmarkStart w:id="2936" w:name="Tc_-2Ih8N_5Y0y6Ckqago2SIw_8_9"/>
      <w:bookmarkStart w:id="2937" w:name="Tc_qJSiizI5z0GDKcr-J37Qzw_8_6"/>
      <w:bookmarkStart w:id="2938" w:name="Tc_hWRJ2OjAw0KQse85RQolRg_8_3"/>
      <w:bookmarkStart w:id="2939" w:name="Tc_kq54thrP-U6eJW_Uas-Bcw_8_0"/>
      <w:bookmarkStart w:id="2940" w:name="Tc_FXm9UeGvtk6KcM2PSVTGGQ_7_24"/>
      <w:bookmarkStart w:id="2941" w:name="Tc_e6sCOucsz0GiiRO3If8Bgg_7_21"/>
      <w:bookmarkStart w:id="2942" w:name="Tc_GfphTIp_hUudd0729IvO_g_7_18"/>
      <w:bookmarkStart w:id="2943" w:name="Tc_1ArkI-PNVkWhMXK8-UjC7w_7_15"/>
      <w:bookmarkStart w:id="2944" w:name="Tc_Pia4kZJ7j0uRA5EMnmiGdw_7_9"/>
      <w:bookmarkStart w:id="2945" w:name="Tc_wXYFYdpwikC8cmIkJ2n-tA_7_6"/>
      <w:bookmarkStart w:id="2946" w:name="Tc_h5Uk8ZqHMUGcuPb7JWKPMQ_7_3"/>
      <w:bookmarkStart w:id="2947" w:name="Tc_VVWB9t9YbEaFrWNLk7M_Ng_7_0"/>
      <w:bookmarkStart w:id="2948" w:name="Tc_DKrYhs6PY0KbnTrS3smkvA_6_24"/>
      <w:bookmarkStart w:id="2949" w:name="Tc_bx260CMJU0y2vQDCB5Wz6A_6_21"/>
      <w:bookmarkStart w:id="2950" w:name="Tc_vjFKcMbAt0-9GfiZn-07rg_6_18"/>
      <w:bookmarkStart w:id="2951" w:name="Tc_nOmwpLLpLU-L1Rc4aVVWuw_6_15"/>
      <w:bookmarkStart w:id="2952" w:name="Tc_3M_lhTziNEqVNEUYYmt9bQ_6_12"/>
      <w:bookmarkStart w:id="2953" w:name="Tc_Ga4NQcHBeU6lY5uO8zQPEA_6_6"/>
      <w:bookmarkStart w:id="2954" w:name="Tc_R_lu7ryQ0kOFDto_YZJ7Mg_6_0"/>
      <w:bookmarkStart w:id="2955" w:name="Tc_5jIrvLSbLE2qO-NMrLAp-A_5_26"/>
      <w:bookmarkStart w:id="2956" w:name="Tc_vvZ1KvEnI0KYWw_g9KUV2Q_5_24"/>
      <w:bookmarkStart w:id="2957" w:name="Tc_gA1j0JQG_0uFhD0ZknU8Fw_5_23"/>
      <w:bookmarkStart w:id="2958" w:name="Tc_7OunfZGweUWQWecMRVfzGA_5_21"/>
      <w:bookmarkStart w:id="2959" w:name="Tc_dhfQmFzZgkOy_EFi1LQGxw_5_20"/>
      <w:bookmarkStart w:id="2960" w:name="Tc_ycoeM9UiV0SgZiOQ59fPNw_5_17"/>
      <w:bookmarkStart w:id="2961" w:name="Tc_s_Twa2KTKU2qw1NZLV_u3Q_5_14"/>
      <w:bookmarkStart w:id="2962" w:name="Tc_WPQKJdsE4k-LGL6tK0EOEw_5_11"/>
      <w:bookmarkStart w:id="2963" w:name="Tc_dx_p062zsUG2US4-He8Msg_5_8"/>
      <w:bookmarkStart w:id="2964" w:name="Tc_NQhj3ATlc0attgHshqZ2LA_5_5"/>
      <w:bookmarkStart w:id="2965" w:name="Tc_LgrARrAL-0KTRhHr4rdEJg_5_2"/>
      <w:bookmarkStart w:id="2966" w:name="Tc_4bd9WhV5ikSc3iMAtS8VLA_5_0"/>
      <w:bookmarkStart w:id="2967" w:name="Tc_o-pS_PAT0UmMOvgkglYzpw_4_26"/>
      <w:bookmarkStart w:id="2968" w:name="Tc_rLJTOTVSqkmFBI7CqyenFw_4_23"/>
      <w:bookmarkStart w:id="2969" w:name="Tc_cF3YG-_-d0W8YUSW8S3H8Q_4_20"/>
      <w:bookmarkStart w:id="2970" w:name="Tc_LHntq9EkyE-0daBCvdTuFQ_4_17"/>
      <w:bookmarkStart w:id="2971" w:name="Tc_LE-GCZIUb02LTY7akDcmbw_4_14"/>
      <w:bookmarkStart w:id="2972" w:name="Tc_v8PJuU87UEuI4kLkGHCmmw_4_11"/>
      <w:bookmarkStart w:id="2973" w:name="Tc_N-NFq4z9XEWgoZkTQEpbPg_4_8"/>
      <w:bookmarkStart w:id="2974" w:name="Tc_kdcmySM69ES64HXiot02Cw_4_5"/>
      <w:bookmarkStart w:id="2975" w:name="Tc_H7RnRjQ10E-hv5drfE0d4Q_4_2"/>
      <w:bookmarkStart w:id="2976" w:name="Tc_G_5xAO8DmkqKLmfir--gkQ_4_0"/>
      <w:bookmarkStart w:id="2977" w:name="Tc_E1iv9GNbrkOLwWqhQpsJqg_3_23"/>
      <w:bookmarkStart w:id="2978" w:name="Tc_4McF2-406EyALBEHjjFkcw_3_2"/>
      <w:bookmarkStart w:id="2979" w:name="Tc_xJpmrTU2-ke2AwNia0G7gw_3_0"/>
      <w:bookmarkStart w:id="2980" w:name="Tc_ZYRb9A984k6GUHiA9bYJ4Q_2_23"/>
      <w:bookmarkStart w:id="2981" w:name="Tc_5KR6_QgnWkCw1FIBrwNAmQ_1_2"/>
      <w:bookmarkStart w:id="2982" w:name="_6bd62d4d_2942_43ab_a3fc_9366a0ae4540"/>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p>
    <w:tbl>
      <w:tblPr>
        <w:tblW w:w="10759" w:type="dxa"/>
        <w:jc w:val="left"/>
        <w:tblInd w:w="0" w:type="dxa"/>
        <w:tblLayout w:type="fixed"/>
        <w:tblCellMar>
          <w:top w:w="0" w:type="dxa"/>
          <w:left w:w="0" w:type="dxa"/>
          <w:bottom w:w="0" w:type="dxa"/>
          <w:right w:w="0" w:type="dxa"/>
        </w:tblCellMar>
      </w:tblPr>
      <w:tblGrid>
        <w:gridCol w:w="1471"/>
        <w:gridCol w:w="146"/>
        <w:gridCol w:w="196"/>
        <w:gridCol w:w="691"/>
        <w:gridCol w:w="146"/>
        <w:gridCol w:w="196"/>
        <w:gridCol w:w="691"/>
        <w:gridCol w:w="146"/>
        <w:gridCol w:w="196"/>
        <w:gridCol w:w="691"/>
        <w:gridCol w:w="146"/>
        <w:gridCol w:w="196"/>
        <w:gridCol w:w="691"/>
        <w:gridCol w:w="146"/>
        <w:gridCol w:w="196"/>
        <w:gridCol w:w="601"/>
        <w:gridCol w:w="146"/>
        <w:gridCol w:w="196"/>
        <w:gridCol w:w="691"/>
        <w:gridCol w:w="146"/>
        <w:gridCol w:w="203"/>
        <w:gridCol w:w="623"/>
        <w:gridCol w:w="109"/>
        <w:gridCol w:w="283"/>
        <w:gridCol w:w="543"/>
        <w:gridCol w:w="146"/>
        <w:gridCol w:w="196"/>
        <w:gridCol w:w="931"/>
      </w:tblGrid>
      <w:tr>
        <w:trPr/>
        <w:tc>
          <w:tcPr>
            <w:tcW w:w="14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142"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r>
      <w:tr>
        <w:trPr/>
        <w:tc>
          <w:tcPr>
            <w:tcW w:w="14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03" w:type="dxa"/>
            <w:tcBorders/>
            <w:vAlign w:val="center"/>
          </w:tcPr>
          <w:p>
            <w:pPr>
              <w:pStyle w:val="TableContents"/>
              <w:bidi w:val="0"/>
              <w:spacing w:before="0" w:after="0"/>
              <w:ind w:left="0" w:right="0" w:hanging="0"/>
              <w:jc w:val="center"/>
              <w:rPr/>
            </w:pPr>
            <w:r>
              <w:rPr/>
              <w:t>​</w:t>
            </w:r>
          </w:p>
        </w:tc>
        <w:tc>
          <w:tcPr>
            <w:tcW w:w="62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REAL ESTATE LOANS</w:t>
            </w:r>
          </w:p>
        </w:tc>
        <w:tc>
          <w:tcPr>
            <w:tcW w:w="146" w:type="dxa"/>
            <w:tcBorders/>
            <w:vAlign w:val="center"/>
          </w:tcPr>
          <w:p>
            <w:pPr>
              <w:pStyle w:val="TableContents"/>
              <w:bidi w:val="0"/>
              <w:spacing w:before="0" w:after="0"/>
              <w:ind w:left="0" w:right="0" w:hanging="0"/>
              <w:jc w:val="left"/>
              <w:rPr/>
            </w:pPr>
            <w:r>
              <w:rPr/>
              <w:t> </w:t>
            </w:r>
          </w:p>
        </w:tc>
        <w:tc>
          <w:tcPr>
            <w:tcW w:w="596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2018</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86,189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76,030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46,125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38,930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14,101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55,271</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316,646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Watch</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9,504</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2,113</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4,842</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5,423</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commercial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95,693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76,030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46,498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41,043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14,682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60,113</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334,059</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Construction and development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 </w:t>
            </w:r>
          </w:p>
        </w:tc>
        <w:tc>
          <w:tcPr>
            <w:tcW w:w="62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5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left"/>
              <w:rPr/>
            </w:pPr>
            <w:r>
              <w:rPr/>
              <w:t>​</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193,084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118,724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21,966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342,591</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construction and development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193,084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118,724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21,966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8,379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342,591</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1,696</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1,203</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1,572</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39,063</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55,341</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home equity</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6,818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1,605</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39,063</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55,387</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One-to-four-family</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166,388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129,282</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82,461</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31,878</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15,837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40,526</w:t>
            </w:r>
          </w:p>
        </w:tc>
        <w:tc>
          <w:tcPr>
            <w:tcW w:w="14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466,571</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973</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2,914</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one-to-four-family</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166,388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129,282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82,461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31,878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17,778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41,499</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469,485</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Multi-family</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62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41,041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63,353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48,376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38,805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23,987</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219,738</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multi-family</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41,041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63,353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48,376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38,805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4,176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23,987</w:t>
            </w:r>
          </w:p>
        </w:tc>
        <w:tc>
          <w:tcPr>
            <w:tcW w:w="14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219,738</w:t>
            </w:r>
          </w:p>
        </w:tc>
      </w:tr>
      <w:tr>
        <w:trPr/>
        <w:tc>
          <w:tcPr>
            <w:tcW w:w="14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real estate loans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501,184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389,085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206,119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120,116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37,852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127,642</w:t>
            </w:r>
          </w:p>
        </w:tc>
        <w:tc>
          <w:tcPr>
            <w:tcW w:w="14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39,063</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1,421,260</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25"/>
        <w:gridCol w:w="146"/>
        <w:gridCol w:w="196"/>
        <w:gridCol w:w="691"/>
        <w:gridCol w:w="146"/>
        <w:gridCol w:w="196"/>
        <w:gridCol w:w="691"/>
        <w:gridCol w:w="146"/>
        <w:gridCol w:w="196"/>
        <w:gridCol w:w="601"/>
        <w:gridCol w:w="146"/>
        <w:gridCol w:w="196"/>
        <w:gridCol w:w="601"/>
        <w:gridCol w:w="146"/>
        <w:gridCol w:w="196"/>
        <w:gridCol w:w="601"/>
        <w:gridCol w:w="146"/>
        <w:gridCol w:w="196"/>
        <w:gridCol w:w="601"/>
        <w:gridCol w:w="146"/>
        <w:gridCol w:w="241"/>
        <w:gridCol w:w="633"/>
        <w:gridCol w:w="109"/>
        <w:gridCol w:w="315"/>
        <w:gridCol w:w="559"/>
        <w:gridCol w:w="146"/>
        <w:gridCol w:w="196"/>
        <w:gridCol w:w="797"/>
      </w:tblGrid>
      <w:tr>
        <w:trPr/>
        <w:tc>
          <w:tcPr>
            <w:tcW w:w="122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2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8834"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r>
      <w:tr>
        <w:trPr/>
        <w:tc>
          <w:tcPr>
            <w:tcW w:w="1225"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241" w:type="dxa"/>
            <w:tcBorders/>
            <w:vAlign w:val="center"/>
          </w:tcPr>
          <w:p>
            <w:pPr>
              <w:pStyle w:val="TableContents"/>
              <w:bidi w:val="0"/>
              <w:spacing w:before="0" w:after="0"/>
              <w:ind w:left="0" w:right="0" w:hanging="0"/>
              <w:jc w:val="center"/>
              <w:rPr/>
            </w:pPr>
            <w:r>
              <w:rPr/>
              <w:t>​</w:t>
            </w:r>
          </w:p>
        </w:tc>
        <w:tc>
          <w:tcPr>
            <w:tcW w:w="63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7" w:type="dxa"/>
            <w:tcBorders/>
            <w:vAlign w:val="center"/>
          </w:tcPr>
          <w:p>
            <w:pPr>
              <w:pStyle w:val="TableContents"/>
              <w:bidi w:val="0"/>
              <w:spacing w:before="0" w:after="0"/>
              <w:ind w:left="0" w:right="0" w:hanging="0"/>
              <w:jc w:val="center"/>
              <w:rPr/>
            </w:pPr>
            <w:r>
              <w:rPr/>
              <w:t>​</w:t>
            </w:r>
          </w:p>
        </w:tc>
      </w:tr>
      <w:tr>
        <w:trPr/>
        <w:tc>
          <w:tcPr>
            <w:tcW w:w="122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LOANS</w:t>
            </w:r>
          </w:p>
        </w:tc>
        <w:tc>
          <w:tcPr>
            <w:tcW w:w="146" w:type="dxa"/>
            <w:tcBorders/>
            <w:vAlign w:val="center"/>
          </w:tcPr>
          <w:p>
            <w:pPr>
              <w:pStyle w:val="TableContents"/>
              <w:bidi w:val="0"/>
              <w:spacing w:before="0" w:after="0"/>
              <w:ind w:left="0" w:right="0" w:hanging="0"/>
              <w:jc w:val="left"/>
              <w:rPr/>
            </w:pPr>
            <w:r>
              <w:rPr/>
              <w:t> </w:t>
            </w:r>
          </w:p>
        </w:tc>
        <w:tc>
          <w:tcPr>
            <w:tcW w:w="569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Indirect home improvement</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2018</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2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253,495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123,264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46,476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31,251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18,165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22,205</w:t>
            </w:r>
          </w:p>
        </w:tc>
        <w:tc>
          <w:tcPr>
            <w:tcW w:w="1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5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494,865</w:t>
            </w:r>
          </w:p>
        </w:tc>
      </w:tr>
      <w:tr>
        <w:trPr/>
        <w:tc>
          <w:tcPr>
            <w:tcW w:w="1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w:t>
            </w:r>
          </w:p>
        </w:tc>
        <w:tc>
          <w:tcPr>
            <w:tcW w:w="1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w:t>
            </w:r>
          </w:p>
        </w:tc>
      </w:tr>
      <w:tr>
        <w:trPr/>
        <w:tc>
          <w:tcPr>
            <w:tcW w:w="12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indirect home improvement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253,842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123,477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46,613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31,313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22,353</w:t>
            </w:r>
          </w:p>
        </w:tc>
        <w:tc>
          <w:tcPr>
            <w:tcW w:w="1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495,941</w:t>
            </w:r>
          </w:p>
        </w:tc>
      </w:tr>
      <w:tr>
        <w:trPr/>
        <w:tc>
          <w:tcPr>
            <w:tcW w:w="1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Marine</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27,904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11,762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15,139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6,224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3,856</w:t>
            </w:r>
          </w:p>
        </w:tc>
        <w:tc>
          <w:tcPr>
            <w:tcW w:w="1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70,300</w:t>
            </w:r>
          </w:p>
        </w:tc>
      </w:tr>
      <w:tr>
        <w:trPr/>
        <w:tc>
          <w:tcPr>
            <w:tcW w:w="1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w:t>
            </w:r>
          </w:p>
        </w:tc>
        <w:tc>
          <w:tcPr>
            <w:tcW w:w="1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r>
      <w:tr>
        <w:trPr/>
        <w:tc>
          <w:tcPr>
            <w:tcW w:w="12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marine</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27,904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11,762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15,139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3,911</w:t>
            </w:r>
          </w:p>
        </w:tc>
        <w:tc>
          <w:tcPr>
            <w:tcW w:w="1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70,567</w:t>
            </w:r>
          </w:p>
        </w:tc>
      </w:tr>
      <w:tr>
        <w:trPr/>
        <w:tc>
          <w:tcPr>
            <w:tcW w:w="1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consumer</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63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r>
      <w:tr>
        <w:trPr/>
        <w:tc>
          <w:tcPr>
            <w:tcW w:w="12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1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1,251</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3,055</w:t>
            </w:r>
          </w:p>
        </w:tc>
      </w:tr>
      <w:tr>
        <w:trPr/>
        <w:tc>
          <w:tcPr>
            <w:tcW w:w="1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122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other consumer</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w:t>
            </w:r>
          </w:p>
        </w:tc>
        <w:tc>
          <w:tcPr>
            <w:tcW w:w="1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1,254</w:t>
            </w:r>
          </w:p>
        </w:tc>
        <w:tc>
          <w:tcPr>
            <w:tcW w:w="109"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3,064</w:t>
            </w:r>
          </w:p>
        </w:tc>
      </w:tr>
      <w:tr>
        <w:trPr/>
        <w:tc>
          <w:tcPr>
            <w:tcW w:w="12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 loans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282,539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135,998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61,868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37,736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23,824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26,344</w:t>
            </w:r>
          </w:p>
        </w:tc>
        <w:tc>
          <w:tcPr>
            <w:tcW w:w="14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1,263</w:t>
            </w:r>
          </w:p>
        </w:tc>
        <w:tc>
          <w:tcPr>
            <w:tcW w:w="109"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797"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569,572</w:t>
            </w:r>
          </w:p>
        </w:tc>
      </w:tr>
    </w:tbl>
    <w:p>
      <w:pPr>
        <w:pStyle w:val="TextBody"/>
        <w:bidi w:val="0"/>
        <w:spacing w:before="0" w:after="0"/>
        <w:ind w:left="0" w:right="0" w:hanging="0"/>
        <w:jc w:val="left"/>
        <w:rPr/>
      </w:pPr>
      <w:r>
        <w:rPr/>
        <w:t>​</w:t>
      </w:r>
    </w:p>
    <w:tbl>
      <w:tblPr>
        <w:tblW w:w="10655" w:type="dxa"/>
        <w:jc w:val="left"/>
        <w:tblInd w:w="0" w:type="dxa"/>
        <w:tblLayout w:type="fixed"/>
        <w:tblCellMar>
          <w:top w:w="0" w:type="dxa"/>
          <w:left w:w="0" w:type="dxa"/>
          <w:bottom w:w="0" w:type="dxa"/>
          <w:right w:w="0" w:type="dxa"/>
        </w:tblCellMar>
      </w:tblPr>
      <w:tblGrid>
        <w:gridCol w:w="1306"/>
        <w:gridCol w:w="146"/>
        <w:gridCol w:w="196"/>
        <w:gridCol w:w="691"/>
        <w:gridCol w:w="146"/>
        <w:gridCol w:w="196"/>
        <w:gridCol w:w="691"/>
        <w:gridCol w:w="146"/>
        <w:gridCol w:w="196"/>
        <w:gridCol w:w="691"/>
        <w:gridCol w:w="146"/>
        <w:gridCol w:w="196"/>
        <w:gridCol w:w="691"/>
        <w:gridCol w:w="146"/>
        <w:gridCol w:w="196"/>
        <w:gridCol w:w="601"/>
        <w:gridCol w:w="146"/>
        <w:gridCol w:w="196"/>
        <w:gridCol w:w="691"/>
        <w:gridCol w:w="146"/>
        <w:gridCol w:w="196"/>
        <w:gridCol w:w="691"/>
        <w:gridCol w:w="109"/>
        <w:gridCol w:w="283"/>
        <w:gridCol w:w="543"/>
        <w:gridCol w:w="146"/>
        <w:gridCol w:w="196"/>
        <w:gridCol w:w="931"/>
      </w:tblGrid>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203"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xml:space="preserve">COMMERCIAL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BUSINESS LOANS</w:t>
            </w:r>
          </w:p>
        </w:tc>
        <w:tc>
          <w:tcPr>
            <w:tcW w:w="146" w:type="dxa"/>
            <w:tcBorders/>
            <w:vAlign w:val="center"/>
          </w:tcPr>
          <w:p>
            <w:pPr>
              <w:pStyle w:val="TableContents"/>
              <w:bidi w:val="0"/>
              <w:spacing w:before="0" w:after="0"/>
              <w:ind w:left="0" w:right="0" w:hanging="0"/>
              <w:jc w:val="left"/>
              <w:rPr/>
            </w:pPr>
            <w:r>
              <w:rPr/>
              <w:t>​</w:t>
            </w:r>
          </w:p>
        </w:tc>
        <w:tc>
          <w:tcPr>
            <w:tcW w:w="5962"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Term Loans by Year of Origination</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Converted</w:t>
            </w:r>
          </w:p>
        </w:tc>
        <w:tc>
          <w:tcPr>
            <w:tcW w:w="1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2022</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2021</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2020</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2019</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2018</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Prior</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Revolving Loans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 Term</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 Loans</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24,337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22,561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12,461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3,940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3,074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7,701</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104,524</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178,598</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Watch</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2,932</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1,327</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6,132</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963</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2,291</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3,739</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1,093</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10,464</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and industrial</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24,337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25,274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16,658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3,264</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12,186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107,907</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196,791</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Warehouse lending</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31,227</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31,227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Watch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warehouse lending</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31,229</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31,229</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commercial business loans</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24,337</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25,274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16,658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6,865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12,186</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139,136</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228,020</w:t>
            </w:r>
          </w:p>
        </w:tc>
      </w:tr>
      <w:tr>
        <w:trPr/>
        <w:tc>
          <w:tcPr>
            <w:tcW w:w="130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LOANS RECEIVABLE, GROSS</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 </w:t>
            </w:r>
          </w:p>
        </w:tc>
        <w:tc>
          <w:tcPr>
            <w:tcW w:w="54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left"/>
              <w:rPr/>
            </w:pPr>
            <w:r>
              <w:rPr/>
              <w:t>​</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Pass </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798,208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547,426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279,938</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159,466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61,985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155,636</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176,074</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2,178,932</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Watch</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9,504</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1,127</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3,305</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1,329</w:t>
            </w:r>
          </w:p>
        </w:tc>
        <w:tc>
          <w:tcPr>
            <w:tcW w:w="109"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16,011</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Special mention</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963</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43"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3,710</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Substandard </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348</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1,402</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2,504</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2,955</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9,790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1,096</w:t>
            </w:r>
          </w:p>
        </w:tc>
        <w:tc>
          <w:tcPr>
            <w:tcW w:w="109" w:type="dxa"/>
            <w:tcBorders/>
            <w:vAlign w:val="center"/>
          </w:tcPr>
          <w:p>
            <w:pPr>
              <w:pStyle w:val="TableContents"/>
              <w:bidi w:val="0"/>
              <w:spacing w:before="0" w:after="0"/>
              <w:ind w:left="0" w:right="0" w:hanging="0"/>
              <w:jc w:val="left"/>
              <w:rPr/>
            </w:pPr>
            <w:r>
              <w:rPr/>
              <w:t>​</w:t>
            </w:r>
          </w:p>
        </w:tc>
        <w:tc>
          <w:tcPr>
            <w:tcW w:w="2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300</w:t>
            </w:r>
          </w:p>
        </w:tc>
        <w:tc>
          <w:tcPr>
            <w:tcW w:w="1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20,199</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loans receivable, gross</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808,060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550,357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284,645</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164,717</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64,940</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166,172</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179,462</w:t>
            </w:r>
          </w:p>
        </w:tc>
        <w:tc>
          <w:tcPr>
            <w:tcW w:w="109" w:type="dxa"/>
            <w:tcBorders/>
            <w:shd w:fill="CCEEFF" w:val="clear"/>
            <w:vAlign w:val="center"/>
          </w:tcPr>
          <w:p>
            <w:pPr>
              <w:pStyle w:val="TableContents"/>
              <w:bidi w:val="0"/>
              <w:spacing w:before="0" w:after="0"/>
              <w:ind w:left="0" w:right="0" w:hanging="0"/>
              <w:jc w:val="left"/>
              <w:rPr/>
            </w:pPr>
            <w:r>
              <w:rPr/>
              <w:t>​</w:t>
            </w:r>
          </w:p>
        </w:tc>
        <w:tc>
          <w:tcPr>
            <w:tcW w:w="2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w:t>
            </w:r>
          </w:p>
        </w:tc>
        <w:tc>
          <w:tcPr>
            <w:tcW w:w="1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2,218,852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sz w:val="20"/>
        </w:rPr>
      </w:pPr>
      <w:bookmarkStart w:id="2983" w:name="Tc_xFENVD-CqkCVABGSu2FaaQ_14_20"/>
      <w:bookmarkStart w:id="2984" w:name="Tc_RvV1TELXmUSjefsRuMhwTQ_14_17"/>
      <w:bookmarkStart w:id="2985" w:name="Tc_1o61iRJ9HE2h4mAfsASiCQ_14_14"/>
      <w:bookmarkStart w:id="2986" w:name="Tc_ZFAymyZlU0qnWF-JQ53vSQ_14_11"/>
      <w:bookmarkStart w:id="2987" w:name="Tc_9hQCLo2pI0mBFwjjvH5rIg_14_8"/>
      <w:bookmarkStart w:id="2988" w:name="Tc_Z22Z60DPHkOBYsy8Snsr6Q_14_5"/>
      <w:bookmarkStart w:id="2989" w:name="Tc_qNFHtieaHkCUjkf4lE3k8g_14_2"/>
      <w:bookmarkStart w:id="2990" w:name="Tc_IIARxAV3Ck-UaiGNpxmY1w_14_0"/>
      <w:bookmarkStart w:id="2991" w:name="Tc_hROdoK5LzUqLcSzMNaMh9g_13_15"/>
      <w:bookmarkStart w:id="2992" w:name="Tc_vi6h9EQraUSeXusKKScj-w_13_6"/>
      <w:bookmarkStart w:id="2993" w:name="Tc_0-JB2dzU_0qla-_nI7uavw_13_3"/>
      <w:bookmarkStart w:id="2994" w:name="Tc_Zkk_WA1tqUuwVtZD6RM35A_13_0"/>
      <w:bookmarkStart w:id="2995" w:name="Tc_JAi9Ek70ukCHZc1etYDHXg_12_0"/>
      <w:bookmarkStart w:id="2996" w:name="Tc_xK7mb1EIX02RYfBshdi1Tg_11_15"/>
      <w:bookmarkStart w:id="2997" w:name="Tc_PqsSmtYfSkyF4I8WD_n_1w_11_6"/>
      <w:bookmarkStart w:id="2998" w:name="Tc_odGGTE9HbEGK4pWFL0aloQ_11_3"/>
      <w:bookmarkStart w:id="2999" w:name="Tc_8fvjrL2_FEqsjNmuJG2q0w_10_15"/>
      <w:bookmarkStart w:id="3000" w:name="Tc_W6YtDzys70Sw_plX0CjU6Q_10_6"/>
      <w:bookmarkStart w:id="3001" w:name="Tc_cZ6VVpllDE2C8IIHwDqqaw_10_3"/>
      <w:bookmarkStart w:id="3002" w:name="Tc_a4xHElhEA0uPD-jrzsKGzA_10_0"/>
      <w:bookmarkStart w:id="3003" w:name="Tc_Jo_hTwn0M06QStCAE8Uy3Q_9_15"/>
      <w:bookmarkStart w:id="3004" w:name="Tc_3jT0IBMpYU6zlGVwN1bMEA_9_6"/>
      <w:bookmarkStart w:id="3005" w:name="Tc_ON2oDOSYr0-V2jsw_D27og_9_3"/>
      <w:bookmarkStart w:id="3006" w:name="Tc_gluJM-WOYk63wO44rFlymA_9_0"/>
      <w:bookmarkStart w:id="3007" w:name="Tc_zLopsn7z8USP25J8l7j7Yg_8_0"/>
      <w:bookmarkStart w:id="3008" w:name="Tc_VLjvPAfQZkKt8-r1MWFtdQ_7_18"/>
      <w:bookmarkStart w:id="3009" w:name="Tc_ZppCXrfjoU-bllvvLjGabA_7_9"/>
      <w:bookmarkStart w:id="3010" w:name="Tc_-SVXwxC0L0mrCDlDSiR55Q_6_18"/>
      <w:bookmarkStart w:id="3011" w:name="Tc_NA7l3_1KkkaGFusFS8lnAg_6_9"/>
      <w:bookmarkStart w:id="3012" w:name="Tc_kTM5ZR44vEmRq8iXHjnH9g_6_3"/>
      <w:bookmarkStart w:id="3013" w:name="Tc_IOtjjrYRCEqcdciyoIUJkA_6_0"/>
      <w:bookmarkStart w:id="3014" w:name="Tc_p3yBsUpQB06KPNrIvH5J6A_5_18"/>
      <w:bookmarkStart w:id="3015" w:name="Tc_j4N68wBgOkWFMH0iYbQkjg_5_9"/>
      <w:bookmarkStart w:id="3016" w:name="Tc_4kexbgJu5U-dkgHXa4RA4A_5_3"/>
      <w:bookmarkStart w:id="3017" w:name="Tc_5OrGZL3Rt0qDGFcA8vqm4Q_5_0"/>
      <w:bookmarkStart w:id="3018" w:name="Tc_x-G-TmV2gUa9iqYoR3oecw_4_21"/>
      <w:bookmarkStart w:id="3019" w:name="Tc_5xKPo1xKHk2uSgBGTxv5DA_4_20"/>
      <w:bookmarkStart w:id="3020" w:name="Tc_EFCJiFBDZ06MuQr_fDF0mA_4_18"/>
      <w:bookmarkStart w:id="3021" w:name="Tc_SCC3YrfMzEyWLXa0waHC2Q_4_17"/>
      <w:bookmarkStart w:id="3022" w:name="Tc_QGlj-5LyMky_sSuwRqgp0w_4_15"/>
      <w:bookmarkStart w:id="3023" w:name="Tc_DiKzch-ydkmjBZ_IOfAgQg_4_14"/>
      <w:bookmarkStart w:id="3024" w:name="Tc_a3EHdsjgL0W5JWhNxZpT1w_4_11"/>
      <w:bookmarkStart w:id="3025" w:name="Tc__mOOKqOeL0iOU9JD6GKA7g_4_9"/>
      <w:bookmarkStart w:id="3026" w:name="Tc_xA8HvDdc00WLhau7DpQpoQ_4_8"/>
      <w:bookmarkStart w:id="3027" w:name="Tc_msqcw_-r9Eu3XMenW93Www_4_6"/>
      <w:bookmarkStart w:id="3028" w:name="Tc_O4JAah1aNUC2yRgv2yEJTw_4_5"/>
      <w:bookmarkStart w:id="3029" w:name="Tc_55G_Cun52ECH1DFpE2pfKw_4_2"/>
      <w:bookmarkStart w:id="3030" w:name="Tc_quGIinc4bUKXcFkW1KX2Mg_4_0"/>
      <w:bookmarkStart w:id="3031" w:name="Tc_pGAfCf_sK0C3ZMeG12hfCw_3_20"/>
      <w:bookmarkStart w:id="3032" w:name="Tc_7foBC5oHvEifoFSq-kewBw_3_17"/>
      <w:bookmarkStart w:id="3033" w:name="Tc_dwOPzWZ6oUqmypmE2dR6XQ_3_14"/>
      <w:bookmarkStart w:id="3034" w:name="Tc_Au5uJBAjNk6H9aP33XZy_w_3_11"/>
      <w:bookmarkStart w:id="3035" w:name="Tc_vFoyoEzyokmoK8UJMlzQCw_3_8"/>
      <w:bookmarkStart w:id="3036" w:name="Tc_FBnOw7pKfUqj75FbJzD03Q_3_5"/>
      <w:bookmarkStart w:id="3037" w:name="Tc_hvkztv4PiUaoyJPyNNYEHw_3_2"/>
      <w:bookmarkStart w:id="3038" w:name="Tc_N_ItCWr2fU-cqjkaLPNM7Q_3_0"/>
      <w:bookmarkStart w:id="3039" w:name="Tc_KuI8qTNSiECjEfAHe_P00Q_2_17"/>
      <w:bookmarkStart w:id="3040" w:name="Tc_WWgc2sU46EiveR0V_Nw4mA_2_14"/>
      <w:bookmarkStart w:id="3041" w:name="Tc_LPSkXOGPR0-EURbH0oJuOQ_2_8"/>
      <w:bookmarkStart w:id="3042" w:name="Tc_TnZRrzDEl0mhHMVuu_jNew_2_5"/>
      <w:bookmarkStart w:id="3043" w:name="Tc_Q4Wvijjd6kqw4-dAe1Q4Gw_2_2"/>
      <w:bookmarkStart w:id="3044" w:name="Tc_6qls6viyl0WKJuAO_pmpSA_1_14"/>
      <w:bookmarkStart w:id="3045" w:name="Tc_z-Mj3PiEwEqZnx3WDD1kgg_1_2"/>
      <w:bookmarkStart w:id="3046" w:name="Tc_4X0JlnvQLkmblO4ExZLajw_15_17"/>
      <w:bookmarkStart w:id="3047" w:name="Tc_hNHaX9ln5UqsrhVvpVn_8w_15_14"/>
      <w:bookmarkStart w:id="3048" w:name="Tc_pdAZ_ip6FUakqsHTo-97kQ_15_11"/>
      <w:bookmarkStart w:id="3049" w:name="Tc_hkr47hseqkeUvvMoICKFxw_15_8"/>
      <w:bookmarkStart w:id="3050" w:name="Tc_OJ7QrZ_lVkmcKU4vsQlUsw_15_5"/>
      <w:bookmarkStart w:id="3051" w:name="Tc_CKUEeXSgOEaApwVolq6Hlg_15_2"/>
      <w:bookmarkStart w:id="3052" w:name="Tc_ntkgzGbIN0GWzmx53LNxMg_15_0"/>
      <w:bookmarkStart w:id="3053" w:name="Tc_pPwnaUDlqkS6M5_JXqPR2A_14_12"/>
      <w:bookmarkStart w:id="3054" w:name="Tc_xQXbRKjFBUybs574DhrNvw_14_3"/>
      <w:bookmarkStart w:id="3055" w:name="Tc_ecPyWC27-EWdSq_8X6eb5Q_14_0"/>
      <w:bookmarkStart w:id="3056" w:name="Tc_tmdVVBWKnUqbDgaYFXd8fg_13_0"/>
      <w:bookmarkStart w:id="3057" w:name="Tc_GUFZQxC-5Eyo3ZW2KwKwuA_12_12"/>
      <w:bookmarkStart w:id="3058" w:name="Tc_JZV2MjglV0mJe7YsOszYAA_12_3"/>
      <w:bookmarkStart w:id="3059" w:name="Tc_q5IolokdOkuzndPjizZ0ng_11_12"/>
      <w:bookmarkStart w:id="3060" w:name="Tc_5YZQ-3c0wkiOijd44Xdptw_11_3"/>
      <w:bookmarkStart w:id="3061" w:name="Tc_SWgOIcLJnUedNA8VSyyZww_11_0"/>
      <w:bookmarkStart w:id="3062" w:name="Tc_4U1bQPS_00WBKAvVQ_h4ig_10_12"/>
      <w:bookmarkStart w:id="3063" w:name="Tc_kDfDGNNJ4ECKhh-ADyEp4Q_10_3"/>
      <w:bookmarkStart w:id="3064" w:name="Tc_OeLpIGwAAkOQxQNvQLpYEA_10_0"/>
      <w:bookmarkStart w:id="3065" w:name="Tc_xvcVlxFtG0Syg3ew-8ALag_9_12"/>
      <w:bookmarkStart w:id="3066" w:name="Tc_scO9xFCjPUS4wgv5NRGpMg_9_3"/>
      <w:bookmarkStart w:id="3067" w:name="Tc_9DLY_qzFd0igbWOVdm8jEQ_9_0"/>
      <w:bookmarkStart w:id="3068" w:name="Tc_u2jwp5x1KEmWrPWzQhP4Gg_8_0"/>
      <w:bookmarkStart w:id="3069" w:name="Tc_XR06mNi3V0u3QlwfSffPVg_7_15"/>
      <w:bookmarkStart w:id="3070" w:name="Tc_AnjYymeA9UGl1uU6lW5FlQ_7_6"/>
      <w:bookmarkStart w:id="3071" w:name="Tc_u5gV6bBqbkSvmCKUDrgCqQ_6_15"/>
      <w:bookmarkStart w:id="3072" w:name="Tc_sfITpVq_Pke44eGYt9ToCA_6_6"/>
      <w:bookmarkStart w:id="3073" w:name="Tc_pLzwOW962UeWAgasKHjPfw_6_0"/>
      <w:bookmarkStart w:id="3074" w:name="Tc_9BiYd776eUKbp4EqYWfbdA_5_15"/>
      <w:bookmarkStart w:id="3075" w:name="Tc_Ir-HJpM-yEyBSu49ccKJPA_5_6"/>
      <w:bookmarkStart w:id="3076" w:name="Tc__zEW0ZvQkky5BORkCLSHMA_5_0"/>
      <w:bookmarkStart w:id="3077" w:name="Tc_5LITlcUQy0i_kEAmQaBedw_4_18"/>
      <w:bookmarkStart w:id="3078" w:name="Tc_fcYt7EQKtUOE6ONiNetYdQ_4_17"/>
      <w:bookmarkStart w:id="3079" w:name="Tc_8K3ZqNFc9Uawyhi4ldlKeQ_4_15"/>
      <w:bookmarkStart w:id="3080" w:name="Tc_uQt3uYP-ZE66-fp9PS4aHw_4_14"/>
      <w:bookmarkStart w:id="3081" w:name="Tc_CoIE8NoWYUuPnxupjo8Lbg_4_12"/>
      <w:bookmarkStart w:id="3082" w:name="Tc_p5WK-_9E2k-luB6vSqyqEg_4_11"/>
      <w:bookmarkStart w:id="3083" w:name="Tc_Tv-YYoXlfkyqY8W0a1zmXg_4_8"/>
      <w:bookmarkStart w:id="3084" w:name="Tc_tUpEXe6izUeqMHw_ZAXoAQ_4_6"/>
      <w:bookmarkStart w:id="3085" w:name="Tc__B3xB7PlkEGqf9DxWH8sEg_4_5"/>
      <w:bookmarkStart w:id="3086" w:name="Tc_1JhLcnVGYUe7IhdAJe4mrA_4_2"/>
      <w:bookmarkStart w:id="3087" w:name="Tc_LXH69d7dUUqq1qcViV2vnA_4_0"/>
      <w:bookmarkStart w:id="3088" w:name="Tc_rnWC4z6z_0efL4tcCIiM9g_3_17"/>
      <w:bookmarkStart w:id="3089" w:name="Tc_vkMzp85_O0ygmdBlRcpIxg_3_14"/>
      <w:bookmarkStart w:id="3090" w:name="Tc_JQC2JQZxw0mXrKJRf88oig_3_11"/>
      <w:bookmarkStart w:id="3091" w:name="Tc_WZlfQIF6p06bGhn2UqhF3w_3_8"/>
      <w:bookmarkStart w:id="3092" w:name="Tc_MtLmgaTg50m1C_A5SFE-2g_3_5"/>
      <w:bookmarkStart w:id="3093" w:name="Tc_lHNxDNhRCkippTT9meAARw_3_2"/>
      <w:bookmarkStart w:id="3094" w:name="Tc_Wrby7f2MHE2IAw3HqQHqYw_3_0"/>
      <w:bookmarkStart w:id="3095" w:name="Tc_KiWkmNab8U-aUKrvHdKqlg_2_17"/>
      <w:bookmarkStart w:id="3096" w:name="Tc_Fk_iphreSEytC9oop3RSew_2_14"/>
      <w:bookmarkStart w:id="3097" w:name="Tc_Ygi39Myj9k60aHMyu---SA_2_11"/>
      <w:bookmarkStart w:id="3098" w:name="Tc_ngKs3j4D7Uex1Qyw7tkUSg_2_8"/>
      <w:bookmarkStart w:id="3099" w:name="Tc_dBIzBj3as02F23ic-E0Veg_2_5"/>
      <w:bookmarkStart w:id="3100" w:name="Tc_Vt4T_hhy40u12DRg0J8dug_2_2"/>
      <w:bookmarkStart w:id="3101" w:name="Tc_Y_O_RKY9gUy-sJu_lv9NSQ_1_11"/>
      <w:bookmarkStart w:id="3102" w:name="Tc_TRkdgJ5poU6Fiu2-CQ-_lQ_1_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r>
        <w:rPr>
          <w:rFonts w:ascii="Times New Roman;Times;serif" w:hAnsi="Times New Roman;Times;serif"/>
          <w:sz w:val="20"/>
        </w:rPr>
        <w:t>The following table presents the amortized cost basis of loans on nonaccrual status and loans 90 days or more past due and still accruing interest as of the dates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71"/>
        <w:gridCol w:w="109"/>
        <w:gridCol w:w="308"/>
        <w:gridCol w:w="808"/>
        <w:gridCol w:w="326"/>
        <w:gridCol w:w="308"/>
        <w:gridCol w:w="808"/>
        <w:gridCol w:w="326"/>
        <w:gridCol w:w="249"/>
        <w:gridCol w:w="652"/>
        <w:gridCol w:w="206"/>
        <w:gridCol w:w="381"/>
        <w:gridCol w:w="735"/>
        <w:gridCol w:w="326"/>
        <w:gridCol w:w="308"/>
        <w:gridCol w:w="808"/>
        <w:gridCol w:w="326"/>
        <w:gridCol w:w="228"/>
        <w:gridCol w:w="722"/>
      </w:tblGrid>
      <w:tr>
        <w:trPr/>
        <w:tc>
          <w:tcPr>
            <w:tcW w:w="2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442085" cy="175260"/>
                      <wp:effectExtent l="0" t="0" r="0" b="0"/>
                      <wp:wrapNone/>
                      <wp:docPr id="348" name="Frame348"/>
                      <a:graphic xmlns:a="http://schemas.openxmlformats.org/drawingml/2006/main">
                        <a:graphicData uri="http://schemas.microsoft.com/office/word/2010/wordprocessingShape">
                          <wps:wsp>
                            <wps:cNvSpPr txBox="1"/>
                            <wps:spPr>
                              <a:xfrm>
                                <a:off x="0" y="0"/>
                                <a:ext cx="144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215" cy="175260"/>
                      <wp:effectExtent l="0" t="0" r="0" b="0"/>
                      <wp:wrapNone/>
                      <wp:docPr id="349"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95580" cy="175260"/>
                      <wp:effectExtent l="0" t="0" r="0" b="0"/>
                      <wp:wrapNone/>
                      <wp:docPr id="350" name="Frame350"/>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13080" cy="175260"/>
                      <wp:effectExtent l="0" t="0" r="0" b="0"/>
                      <wp:wrapNone/>
                      <wp:docPr id="351" name="Frame351"/>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95580" cy="175260"/>
                      <wp:effectExtent l="0" t="0" r="0" b="0"/>
                      <wp:wrapNone/>
                      <wp:docPr id="353" name="Frame353"/>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13080" cy="175260"/>
                      <wp:effectExtent l="0" t="0" r="0" b="0"/>
                      <wp:wrapNone/>
                      <wp:docPr id="354" name="Frame354"/>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58115" cy="175260"/>
                      <wp:effectExtent l="0" t="0" r="0" b="0"/>
                      <wp:wrapNone/>
                      <wp:docPr id="356" name="Frame356"/>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14020" cy="175260"/>
                      <wp:effectExtent l="0" t="0" r="0" b="0"/>
                      <wp:wrapNone/>
                      <wp:docPr id="357" name="Frame357"/>
                      <a:graphic xmlns:a="http://schemas.openxmlformats.org/drawingml/2006/main">
                        <a:graphicData uri="http://schemas.microsoft.com/office/word/2010/wordprocessingShape">
                          <wps:wsp>
                            <wps:cNvSpPr txBox="1"/>
                            <wps:spPr>
                              <a:xfrm>
                                <a:off x="0" y="0"/>
                                <a:ext cx="414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0810" cy="175260"/>
                      <wp:effectExtent l="0" t="0" r="0" b="0"/>
                      <wp:wrapNone/>
                      <wp:docPr id="358" name="Frame35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41935" cy="175260"/>
                      <wp:effectExtent l="0" t="0" r="0" b="0"/>
                      <wp:wrapNone/>
                      <wp:docPr id="359" name="Frame359"/>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66725" cy="175260"/>
                      <wp:effectExtent l="0" t="0" r="0" b="0"/>
                      <wp:wrapNone/>
                      <wp:docPr id="360" name="Frame360"/>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95580" cy="175260"/>
                      <wp:effectExtent l="0" t="0" r="0" b="0"/>
                      <wp:wrapNone/>
                      <wp:docPr id="362" name="Frame362"/>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13080" cy="175260"/>
                      <wp:effectExtent l="0" t="0" r="0" b="0"/>
                      <wp:wrapNone/>
                      <wp:docPr id="363" name="Frame363"/>
                      <a:graphic xmlns:a="http://schemas.openxmlformats.org/drawingml/2006/main">
                        <a:graphicData uri="http://schemas.microsoft.com/office/word/2010/wordprocessingShape">
                          <wps:wsp>
                            <wps:cNvSpPr txBox="1"/>
                            <wps:spPr>
                              <a:xfrm>
                                <a:off x="0" y="0"/>
                                <a:ext cx="513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4780" cy="175260"/>
                      <wp:effectExtent l="0" t="0" r="0" b="0"/>
                      <wp:wrapNone/>
                      <wp:docPr id="365" name="Frame36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58470" cy="175260"/>
                      <wp:effectExtent l="0" t="0" r="0" b="0"/>
                      <wp:wrapNone/>
                      <wp:docPr id="366" name="Frame366"/>
                      <a:graphic xmlns:a="http://schemas.openxmlformats.org/drawingml/2006/main">
                        <a:graphicData uri="http://schemas.microsoft.com/office/word/2010/wordprocessingShape">
                          <wps:wsp>
                            <wps:cNvSpPr txBox="1"/>
                            <wps:spPr>
                              <a:xfrm>
                                <a:off x="0" y="0"/>
                                <a:ext cx="458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8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2023</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83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r>
      <w:tr>
        <w:trPr/>
        <w:tc>
          <w:tcPr>
            <w:tcW w:w="2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Nonaccrual with</w:t>
            </w:r>
          </w:p>
        </w:tc>
        <w:tc>
          <w:tcPr>
            <w:tcW w:w="326" w:type="dxa"/>
            <w:tcBorders/>
            <w:vAlign w:val="center"/>
          </w:tcPr>
          <w:p>
            <w:pPr>
              <w:pStyle w:val="TableContents"/>
              <w:bidi w:val="0"/>
              <w:spacing w:before="0" w:after="0"/>
              <w:ind w:left="0" w:right="0" w:hanging="0"/>
              <w:jc w:val="center"/>
              <w:rPr/>
            </w:pPr>
            <w:r>
              <w:rPr/>
              <w:t>   </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Nonaccrual with</w:t>
            </w:r>
          </w:p>
        </w:tc>
        <w:tc>
          <w:tcPr>
            <w:tcW w:w="326" w:type="dxa"/>
            <w:tcBorders/>
            <w:vAlign w:val="center"/>
          </w:tcPr>
          <w:p>
            <w:pPr>
              <w:pStyle w:val="TableContents"/>
              <w:bidi w:val="0"/>
              <w:spacing w:before="0" w:after="0"/>
              <w:ind w:left="0" w:right="0" w:hanging="0"/>
              <w:jc w:val="center"/>
              <w:rPr/>
            </w:pPr>
            <w:r>
              <w:rPr/>
              <w:t>  </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206" w:type="dxa"/>
            <w:tcBorders/>
            <w:vAlign w:val="center"/>
          </w:tcPr>
          <w:p>
            <w:pPr>
              <w:pStyle w:val="TableContents"/>
              <w:bidi w:val="0"/>
              <w:spacing w:before="0" w:after="0"/>
              <w:ind w:left="0" w:right="0" w:hanging="0"/>
              <w:jc w:val="left"/>
              <w:rPr/>
            </w:pPr>
            <w:r>
              <w:rPr/>
              <w:t>  </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Nonaccrual with</w:t>
            </w:r>
          </w:p>
        </w:tc>
        <w:tc>
          <w:tcPr>
            <w:tcW w:w="326" w:type="dxa"/>
            <w:tcBorders/>
            <w:vAlign w:val="center"/>
          </w:tcPr>
          <w:p>
            <w:pPr>
              <w:pStyle w:val="TableContents"/>
              <w:bidi w:val="0"/>
              <w:spacing w:before="0" w:after="0"/>
              <w:ind w:left="0" w:right="0" w:hanging="0"/>
              <w:jc w:val="center"/>
              <w:rPr/>
            </w:pPr>
            <w:r>
              <w:rPr/>
              <w:t>  </w:t>
            </w:r>
          </w:p>
        </w:tc>
        <w:tc>
          <w:tcPr>
            <w:tcW w:w="111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Nonaccrual with</w:t>
            </w:r>
          </w:p>
        </w:tc>
        <w:tc>
          <w:tcPr>
            <w:tcW w:w="326" w:type="dxa"/>
            <w:tcBorders/>
            <w:vAlign w:val="center"/>
          </w:tcPr>
          <w:p>
            <w:pPr>
              <w:pStyle w:val="TableContents"/>
              <w:bidi w:val="0"/>
              <w:spacing w:before="0" w:after="0"/>
              <w:ind w:left="0" w:right="0" w:hanging="0"/>
              <w:jc w:val="center"/>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22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REAL ESTATE LOANS</w:t>
            </w:r>
          </w:p>
        </w:tc>
        <w:tc>
          <w:tcPr>
            <w:tcW w:w="109" w:type="dxa"/>
            <w:tcBorders/>
            <w:vAlign w:val="center"/>
          </w:tcPr>
          <w:p>
            <w:pPr>
              <w:pStyle w:val="TableContents"/>
              <w:bidi w:val="0"/>
              <w:spacing w:before="0" w:after="0"/>
              <w:ind w:left="0" w:right="0" w:hanging="0"/>
              <w:jc w:val="left"/>
              <w:rPr/>
            </w:pPr>
            <w:r>
              <w:rPr/>
              <w:t>​</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 ACL</w:t>
            </w:r>
          </w:p>
        </w:tc>
        <w:tc>
          <w:tcPr>
            <w:tcW w:w="326" w:type="dxa"/>
            <w:tcBorders/>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ACL</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Nonaccrual</w:t>
            </w:r>
          </w:p>
        </w:tc>
        <w:tc>
          <w:tcPr>
            <w:tcW w:w="206" w:type="dxa"/>
            <w:tcBorders/>
            <w:vAlign w:val="center"/>
          </w:tcPr>
          <w:p>
            <w:pPr>
              <w:pStyle w:val="TableContents"/>
              <w:bidi w:val="0"/>
              <w:spacing w:before="0" w:after="0"/>
              <w:ind w:left="0" w:right="0" w:hanging="0"/>
              <w:jc w:val="left"/>
              <w:rPr/>
            </w:pPr>
            <w:r>
              <w:rPr/>
              <w:t>​</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 ACL</w:t>
            </w:r>
          </w:p>
        </w:tc>
        <w:tc>
          <w:tcPr>
            <w:tcW w:w="326" w:type="dxa"/>
            <w:tcBorders/>
            <w:vAlign w:val="center"/>
          </w:tcPr>
          <w:p>
            <w:pPr>
              <w:pStyle w:val="TableContents"/>
              <w:bidi w:val="0"/>
              <w:spacing w:before="0" w:after="0"/>
              <w:ind w:left="0" w:right="0" w:hanging="0"/>
              <w:jc w:val="left"/>
              <w:rPr/>
            </w:pPr>
            <w:r>
              <w:rPr/>
              <w:t>    </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ACL</w:t>
            </w:r>
          </w:p>
        </w:tc>
        <w:tc>
          <w:tcPr>
            <w:tcW w:w="326" w:type="dxa"/>
            <w:tcBorders/>
            <w:vAlign w:val="center"/>
          </w:tcPr>
          <w:p>
            <w:pPr>
              <w:pStyle w:val="TableContents"/>
              <w:bidi w:val="0"/>
              <w:spacing w:before="0" w:after="0"/>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Nonaccrual</w:t>
            </w:r>
          </w:p>
        </w:tc>
      </w:tr>
      <w:tr>
        <w:trPr/>
        <w:tc>
          <w:tcPr>
            <w:tcW w:w="22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w:t>
            </w:r>
          </w:p>
        </w:tc>
        <w:tc>
          <w:tcPr>
            <w:tcW w:w="20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2" w:type="dxa"/>
            <w:tcBorders/>
            <w:shd w:fill="CCEEFF" w:val="clear"/>
            <w:vAlign w:val="center"/>
          </w:tcPr>
          <w:p>
            <w:pPr>
              <w:pStyle w:val="TableContents"/>
              <w:bidi w:val="0"/>
              <w:spacing w:before="0" w:after="0"/>
              <w:ind w:left="0" w:right="0" w:hanging="0"/>
              <w:jc w:val="right"/>
              <w:rPr/>
            </w:pPr>
            <w:r>
              <w:rPr/>
              <w:t>—</w:t>
            </w:r>
          </w:p>
        </w:tc>
      </w:tr>
      <w:tr>
        <w:trPr/>
        <w:tc>
          <w:tcPr>
            <w:tcW w:w="22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20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22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One-to-four-family</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w:t>
            </w:r>
          </w:p>
        </w:tc>
        <w:tc>
          <w:tcPr>
            <w:tcW w:w="206" w:type="dxa"/>
            <w:tcBorders/>
            <w:shd w:fill="CCEEFF" w:val="clear"/>
            <w:vAlign w:val="center"/>
          </w:tcPr>
          <w:p>
            <w:pPr>
              <w:pStyle w:val="TableContents"/>
              <w:bidi w:val="0"/>
              <w:spacing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w:t>
            </w:r>
          </w:p>
        </w:tc>
      </w:tr>
      <w:tr>
        <w:trPr/>
        <w:tc>
          <w:tcPr>
            <w:tcW w:w="2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w:t>
            </w:r>
          </w:p>
        </w:tc>
        <w:tc>
          <w:tcPr>
            <w:tcW w:w="206" w:type="dxa"/>
            <w:tcBorders/>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r>
      <w:tr>
        <w:trPr/>
        <w:tc>
          <w:tcPr>
            <w:tcW w:w="2271"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LOANS</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left"/>
              <w:rPr/>
            </w:pPr>
            <w:r>
              <w:rPr/>
              <w:t>​</w:t>
            </w:r>
          </w:p>
        </w:tc>
      </w:tr>
      <w:tr>
        <w:trPr/>
        <w:tc>
          <w:tcPr>
            <w:tcW w:w="22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Indirect home improvement</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65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w:t>
            </w:r>
          </w:p>
        </w:tc>
        <w:tc>
          <w:tcPr>
            <w:tcW w:w="20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80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2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w:t>
            </w:r>
          </w:p>
        </w:tc>
      </w:tr>
      <w:tr>
        <w:trPr/>
        <w:tc>
          <w:tcPr>
            <w:tcW w:w="22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Marine</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65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w:t>
            </w:r>
          </w:p>
        </w:tc>
        <w:tc>
          <w:tcPr>
            <w:tcW w:w="20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pPr>
            <w:r>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80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2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r>
      <w:tr>
        <w:trPr/>
        <w:tc>
          <w:tcPr>
            <w:tcW w:w="22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consumer</w:t>
            </w:r>
          </w:p>
        </w:tc>
        <w:tc>
          <w:tcPr>
            <w:tcW w:w="109"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c>
          <w:tcPr>
            <w:tcW w:w="206" w:type="dxa"/>
            <w:tcBorders/>
            <w:vAlign w:val="center"/>
          </w:tcPr>
          <w:p>
            <w:pPr>
              <w:pStyle w:val="TableContents"/>
              <w:bidi w:val="0"/>
              <w:spacing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2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2,307</w:t>
            </w:r>
          </w:p>
        </w:tc>
        <w:tc>
          <w:tcPr>
            <w:tcW w:w="206" w:type="dxa"/>
            <w:tcBorders/>
            <w:shd w:fill="CCEEFF" w:val="clear"/>
            <w:vAlign w:val="center"/>
          </w:tcPr>
          <w:p>
            <w:pPr>
              <w:pStyle w:val="TableContents"/>
              <w:bidi w:val="0"/>
              <w:spacing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1,352</w:t>
            </w:r>
          </w:p>
        </w:tc>
      </w:tr>
      <w:tr>
        <w:trPr/>
        <w:tc>
          <w:tcPr>
            <w:tcW w:w="22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BUSINESS LOANS</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65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 </w:t>
            </w:r>
          </w:p>
        </w:tc>
        <w:tc>
          <w:tcPr>
            <w:tcW w:w="73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8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22" w:type="dxa"/>
            <w:tcBorders/>
            <w:vAlign w:val="center"/>
          </w:tcPr>
          <w:p>
            <w:pPr>
              <w:pStyle w:val="TableContents"/>
              <w:bidi w:val="0"/>
              <w:spacing w:before="0" w:after="0"/>
              <w:ind w:left="0" w:right="0" w:hanging="0"/>
              <w:jc w:val="left"/>
              <w:rPr/>
            </w:pPr>
            <w:r>
              <w:rPr/>
              <w:t>​</w:t>
            </w:r>
          </w:p>
        </w:tc>
      </w:tr>
      <w:tr>
        <w:trPr/>
        <w:tc>
          <w:tcPr>
            <w:tcW w:w="227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109"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5,645</w:t>
            </w:r>
          </w:p>
        </w:tc>
        <w:tc>
          <w:tcPr>
            <w:tcW w:w="206" w:type="dxa"/>
            <w:tcBorders/>
            <w:shd w:fill="CCEEFF" w:val="clear"/>
            <w:vAlign w:val="center"/>
          </w:tcPr>
          <w:p>
            <w:pPr>
              <w:pStyle w:val="TableContents"/>
              <w:bidi w:val="0"/>
              <w:spacing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6,334</w:t>
            </w:r>
          </w:p>
        </w:tc>
      </w:tr>
      <w:tr>
        <w:trPr/>
        <w:tc>
          <w:tcPr>
            <w:tcW w:w="227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p>
        </w:tc>
        <w:tc>
          <w:tcPr>
            <w:tcW w:w="109"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7,952</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9,272</w:t>
            </w:r>
          </w:p>
        </w:tc>
        <w:tc>
          <w:tcPr>
            <w:tcW w:w="206" w:type="dxa"/>
            <w:tcBorders/>
            <w:vAlign w:val="center"/>
          </w:tcPr>
          <w:p>
            <w:pPr>
              <w:pStyle w:val="TableContents"/>
              <w:bidi w:val="0"/>
              <w:spacing w:before="0" w:after="0"/>
              <w:ind w:left="0" w:right="0" w:hanging="0"/>
              <w:jc w:val="left"/>
              <w:rPr/>
            </w:pPr>
            <w:r>
              <w:rPr/>
              <w:t>​</w:t>
            </w:r>
          </w:p>
        </w:tc>
        <w:tc>
          <w:tcPr>
            <w:tcW w:w="3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c>
          <w:tcPr>
            <w:tcW w:w="326"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7,686</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8,652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recognized interest income on a cash basis for nonaccrual loans of $106,000 and $128,000 during the three months ended June 30, 2023 and 2022, and $168,000 and $226,000 during the six months ended June 30, 2023 and 2022, respectively.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amortized cost basis of collateral dependent loans by class of loans as of the dates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24"/>
        <w:gridCol w:w="266"/>
        <w:gridCol w:w="274"/>
        <w:gridCol w:w="717"/>
        <w:gridCol w:w="266"/>
        <w:gridCol w:w="308"/>
        <w:gridCol w:w="593"/>
        <w:gridCol w:w="266"/>
        <w:gridCol w:w="286"/>
        <w:gridCol w:w="749"/>
        <w:gridCol w:w="326"/>
        <w:gridCol w:w="196"/>
        <w:gridCol w:w="511"/>
        <w:gridCol w:w="326"/>
        <w:gridCol w:w="293"/>
        <w:gridCol w:w="563"/>
        <w:gridCol w:w="326"/>
        <w:gridCol w:w="286"/>
        <w:gridCol w:w="749"/>
        <w:gridCol w:w="266"/>
        <w:gridCol w:w="196"/>
        <w:gridCol w:w="618"/>
      </w:tblGrid>
      <w:tr>
        <w:trPr/>
        <w:tc>
          <w:tcPr>
            <w:tcW w:w="18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449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June 30, 2023</w:t>
            </w:r>
          </w:p>
        </w:tc>
        <w:tc>
          <w:tcPr>
            <w:tcW w:w="326" w:type="dxa"/>
            <w:tcBorders/>
            <w:vAlign w:val="center"/>
          </w:tcPr>
          <w:p>
            <w:pPr>
              <w:pStyle w:val="TableContents"/>
              <w:bidi w:val="0"/>
              <w:spacing w:before="0" w:after="0"/>
              <w:ind w:left="0" w:right="0" w:hanging="0"/>
              <w:jc w:val="left"/>
              <w:rPr/>
            </w:pPr>
            <w:r>
              <w:rPr/>
              <w:t>​</w:t>
            </w:r>
          </w:p>
        </w:tc>
        <w:tc>
          <w:tcPr>
            <w:tcW w:w="32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December 31, 2022</w:t>
            </w:r>
          </w:p>
        </w:tc>
      </w:tr>
      <w:tr>
        <w:trPr/>
        <w:tc>
          <w:tcPr>
            <w:tcW w:w="18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Commercial </w:t>
            </w:r>
          </w:p>
        </w:tc>
        <w:tc>
          <w:tcPr>
            <w:tcW w:w="266" w:type="dxa"/>
            <w:tcBorders/>
            <w:vAlign w:val="center"/>
          </w:tcPr>
          <w:p>
            <w:pPr>
              <w:pStyle w:val="TableContents"/>
              <w:bidi w:val="0"/>
              <w:spacing w:before="0" w:after="0"/>
              <w:ind w:left="0" w:right="0" w:hanging="0"/>
              <w:jc w:val="left"/>
              <w:rPr/>
            </w:pPr>
            <w:r>
              <w:rPr/>
              <w:t>​</w:t>
            </w:r>
          </w:p>
        </w:tc>
        <w:tc>
          <w:tcPr>
            <w:tcW w:w="901"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Residential </w:t>
            </w:r>
          </w:p>
        </w:tc>
        <w:tc>
          <w:tcPr>
            <w:tcW w:w="266"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Other</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Residential</w:t>
            </w:r>
          </w:p>
        </w:tc>
        <w:tc>
          <w:tcPr>
            <w:tcW w:w="326"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Other</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REAL ESTATE LOANS</w:t>
            </w:r>
          </w:p>
        </w:tc>
        <w:tc>
          <w:tcPr>
            <w:tcW w:w="266" w:type="dxa"/>
            <w:tcBorders/>
            <w:vAlign w:val="center"/>
          </w:tcPr>
          <w:p>
            <w:pPr>
              <w:pStyle w:val="TableContents"/>
              <w:bidi w:val="0"/>
              <w:spacing w:before="0" w:after="0"/>
              <w:ind w:left="0" w:right="0" w:hanging="0"/>
              <w:jc w:val="left"/>
              <w:rPr/>
            </w:pPr>
            <w:r>
              <w:rPr/>
              <w:t>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Real Estate</w:t>
            </w:r>
          </w:p>
        </w:tc>
        <w:tc>
          <w:tcPr>
            <w:tcW w:w="26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Real Estate</w:t>
            </w:r>
          </w:p>
        </w:tc>
        <w:tc>
          <w:tcPr>
            <w:tcW w:w="266"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16"/>
              </w:rPr>
              <w:t>Non-Real Estate  </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Real Estate</w:t>
            </w:r>
          </w:p>
        </w:tc>
        <w:tc>
          <w:tcPr>
            <w:tcW w:w="326" w:type="dxa"/>
            <w:tcBorders/>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16"/>
              </w:rPr>
              <w:t>Non-Real Estate  </w:t>
            </w:r>
          </w:p>
        </w:tc>
        <w:tc>
          <w:tcPr>
            <w:tcW w:w="266" w:type="dxa"/>
            <w:tcBorders/>
            <w:vAlign w:val="center"/>
          </w:tcPr>
          <w:p>
            <w:pPr>
              <w:pStyle w:val="TableContents"/>
              <w:bidi w:val="0"/>
              <w:spacing w:before="0" w:after="0"/>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Total</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w:t>
            </w:r>
          </w:p>
        </w:tc>
        <w:tc>
          <w:tcPr>
            <w:tcW w:w="26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w:t>
            </w:r>
          </w:p>
        </w:tc>
        <w:tc>
          <w:tcPr>
            <w:tcW w:w="26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3"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shd w:fill="CCEEFF" w:val="clear"/>
            <w:vAlign w:val="center"/>
          </w:tcPr>
          <w:p>
            <w:pPr>
              <w:pStyle w:val="TableContents"/>
              <w:bidi w:val="0"/>
              <w:spacing w:before="0" w:after="0"/>
              <w:ind w:left="0" w:right="0" w:hanging="0"/>
              <w:jc w:val="right"/>
              <w:rPr/>
            </w:pPr>
            <w:r>
              <w:rPr/>
              <w:t>—</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Home equity</w:t>
            </w:r>
          </w:p>
        </w:tc>
        <w:tc>
          <w:tcPr>
            <w:tcW w:w="26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2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One-to-four-family</w:t>
            </w:r>
          </w:p>
        </w:tc>
        <w:tc>
          <w:tcPr>
            <w:tcW w:w="26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w:t>
            </w:r>
          </w:p>
        </w:tc>
        <w:tc>
          <w:tcPr>
            <w:tcW w:w="26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209</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920</w:t>
            </w:r>
          </w:p>
        </w:tc>
      </w:tr>
      <w:tr>
        <w:trPr/>
        <w:tc>
          <w:tcPr>
            <w:tcW w:w="18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w:t>
            </w:r>
          </w:p>
        </w:tc>
        <w:tc>
          <w:tcPr>
            <w:tcW w:w="26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26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1,320</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LOANS</w:t>
            </w:r>
          </w:p>
        </w:tc>
        <w:tc>
          <w:tcPr>
            <w:tcW w:w="26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18" w:type="dxa"/>
            <w:tcBorders/>
            <w:shd w:fill="CCEEFF" w:val="clear"/>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Indirect home improvement</w:t>
            </w:r>
          </w:p>
        </w:tc>
        <w:tc>
          <w:tcPr>
            <w:tcW w:w="26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1,833</w:t>
            </w:r>
          </w:p>
        </w:tc>
        <w:tc>
          <w:tcPr>
            <w:tcW w:w="326"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74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Marine</w:t>
            </w:r>
          </w:p>
        </w:tc>
        <w:tc>
          <w:tcPr>
            <w:tcW w:w="26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471</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w:t>
            </w:r>
          </w:p>
        </w:tc>
      </w:tr>
      <w:tr>
        <w:trPr/>
        <w:tc>
          <w:tcPr>
            <w:tcW w:w="1824"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2,304</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1,343</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1,343</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COMMERCIAL BUSINESS LOANS</w:t>
            </w:r>
          </w:p>
        </w:tc>
        <w:tc>
          <w:tcPr>
            <w:tcW w:w="26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717"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 </w:t>
            </w:r>
          </w:p>
        </w:tc>
        <w:tc>
          <w:tcPr>
            <w:tcW w:w="593"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shd w:fill="CCEEFF" w:val="clear"/>
            <w:vAlign w:val="center"/>
          </w:tcPr>
          <w:p>
            <w:pPr>
              <w:pStyle w:val="TableContents"/>
              <w:bidi w:val="0"/>
              <w:spacing w:before="0" w:after="0"/>
              <w:ind w:left="0" w:right="0" w:hanging="0"/>
              <w:jc w:val="left"/>
              <w:rPr/>
            </w:pPr>
            <w:r>
              <w:rPr/>
              <w:t> </w:t>
            </w:r>
          </w:p>
        </w:tc>
        <w:tc>
          <w:tcPr>
            <w:tcW w:w="563"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618" w:type="dxa"/>
            <w:tcBorders/>
            <w:shd w:fill="CCEEFF" w:val="clear"/>
            <w:vAlign w:val="center"/>
          </w:tcPr>
          <w:p>
            <w:pPr>
              <w:pStyle w:val="TableContents"/>
              <w:bidi w:val="0"/>
              <w:spacing w:before="0" w:after="0"/>
              <w:ind w:left="0" w:right="0" w:hanging="0"/>
              <w:jc w:val="left"/>
              <w:rPr/>
            </w:pPr>
            <w:r>
              <w:rPr/>
              <w:t>​</w:t>
            </w:r>
          </w:p>
        </w:tc>
      </w:tr>
      <w:tr>
        <w:trPr/>
        <w:tc>
          <w:tcPr>
            <w:tcW w:w="182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industrial</w:t>
            </w:r>
          </w:p>
        </w:tc>
        <w:tc>
          <w:tcPr>
            <w:tcW w:w="26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5,645</w:t>
            </w:r>
          </w:p>
        </w:tc>
        <w:tc>
          <w:tcPr>
            <w:tcW w:w="326" w:type="dxa"/>
            <w:tcBorders/>
            <w:vAlign w:val="center"/>
          </w:tcPr>
          <w:p>
            <w:pPr>
              <w:pStyle w:val="TableContents"/>
              <w:bidi w:val="0"/>
              <w:spacing w:before="0" w:after="0"/>
              <w:ind w:left="0" w:right="0" w:hanging="0"/>
              <w:jc w:val="lef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6,334</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6,334</w:t>
            </w:r>
          </w:p>
        </w:tc>
      </w:tr>
      <w:tr>
        <w:trPr/>
        <w:tc>
          <w:tcPr>
            <w:tcW w:w="182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Total </w:t>
            </w:r>
          </w:p>
        </w:tc>
        <w:tc>
          <w:tcPr>
            <w:tcW w:w="26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1,061</w:t>
            </w:r>
          </w:p>
        </w:tc>
        <w:tc>
          <w:tcPr>
            <w:tcW w:w="266"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w:t>
            </w:r>
          </w:p>
        </w:tc>
        <w:tc>
          <w:tcPr>
            <w:tcW w:w="26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9,269</w:t>
            </w:r>
          </w:p>
        </w:tc>
        <w:tc>
          <w:tcPr>
            <w:tcW w:w="326" w:type="dxa"/>
            <w:tcBorders/>
            <w:shd w:fill="CCEEFF" w:val="clear"/>
            <w:vAlign w:val="center"/>
          </w:tcPr>
          <w:p>
            <w:pPr>
              <w:pStyle w:val="TableContents"/>
              <w:bidi w:val="0"/>
              <w:spacing w:before="0" w:after="0"/>
              <w:ind w:left="0" w:right="0" w:hanging="0"/>
              <w:jc w:val="lef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7,677</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8,643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3103" w:name="Tc_Gs7Bmg2blEiPW5oeQAkLcA_8_5"/>
      <w:bookmarkStart w:id="3104" w:name="Tc__5mjAcF5ukmgOWLpfLn1CQ_8_2"/>
      <w:bookmarkStart w:id="3105" w:name="Tc_elQ6a5vj6UubNGxwqYorrQ_8_0"/>
      <w:bookmarkStart w:id="3106" w:name="Tc_gUhh84ex_k-S5sWKNRVgUQ_7_6"/>
      <w:bookmarkStart w:id="3107" w:name="Tc_omUx6VI4RU-JKi4fPyf3JA_7_0"/>
      <w:bookmarkStart w:id="3108" w:name="Tc_Oa5OSK4vxkqfrmDBf4zdzw_6_0"/>
      <w:bookmarkStart w:id="3109" w:name="Tc_zmw4nXOu506tSePrxDfdiQ_5_0"/>
      <w:bookmarkStart w:id="3110" w:name="Tc_4SGy9m04ckiO9Z3uUU30yg_4_5"/>
      <w:bookmarkStart w:id="3111" w:name="Tc_IS6kPua1gEqBOgOwP4_IcQ_4_2"/>
      <w:bookmarkStart w:id="3112" w:name="Tc_C1dESrKAAkelwkJVrcAdzA_4_0"/>
      <w:bookmarkStart w:id="3113" w:name="Tc_L8_LMajdwkaddsZHJLETAQ_3_5"/>
      <w:bookmarkStart w:id="3114" w:name="Tc_YAWUaU3vPUOUvrTUyyxlGA_3_2"/>
      <w:bookmarkStart w:id="3115" w:name="Tc_aG25zSZ4YkqT5vcK4HC2IA_2_2"/>
      <w:bookmarkStart w:id="3116" w:name="Tc_iE43Q4Ekqk6dL9PWK9oQPA_1_2"/>
      <w:bookmarkStart w:id="3117" w:name="_a1536b28_b8c4_42b6_aca8_4d7cf8c8bcc3"/>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r>
        <w:rPr>
          <w:rFonts w:ascii="Times New Roman;Times;serif" w:hAnsi="Times New Roman;Times;serif"/>
          <w:b/>
          <w:sz w:val="20"/>
        </w:rPr>
        <w:t>NOTE 5 – SERVICING RIGHTS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Loans serviced for others are not included on the Consolidated Balance Sheets. The unpaid principal balance of permanent loans serviced for others was $2.80 billion and $2.78 billion at June 30, 2023 and December 31, 2022, respectively.</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summarizes mortgage servicing rights (“MSR”) activity at or for the dates indicated:</w:t>
      </w:r>
    </w:p>
    <w:p>
      <w:pPr>
        <w:pStyle w:val="TextBody"/>
        <w:bidi w:val="0"/>
        <w:spacing w:before="0" w:after="0"/>
        <w:ind w:left="0" w:right="0" w:hanging="0"/>
        <w:jc w:val="left"/>
        <w:rPr/>
      </w:pPr>
      <w:r>
        <w:rPr/>
        <w:t>​</w:t>
      </w:r>
    </w:p>
    <w:tbl>
      <w:tblPr>
        <w:tblW w:w="7601" w:type="dxa"/>
        <w:jc w:val="left"/>
        <w:tblInd w:w="0" w:type="dxa"/>
        <w:tblLayout w:type="fixed"/>
        <w:tblCellMar>
          <w:top w:w="0" w:type="dxa"/>
          <w:left w:w="0" w:type="dxa"/>
          <w:bottom w:w="0" w:type="dxa"/>
          <w:right w:w="0" w:type="dxa"/>
        </w:tblCellMar>
      </w:tblPr>
      <w:tblGrid>
        <w:gridCol w:w="4306"/>
        <w:gridCol w:w="326"/>
        <w:gridCol w:w="315"/>
        <w:gridCol w:w="1010"/>
        <w:gridCol w:w="162"/>
        <w:gridCol w:w="315"/>
        <w:gridCol w:w="1167"/>
      </w:tblGrid>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10" w:type="dxa"/>
            <w:tcBorders/>
            <w:vAlign w:val="center"/>
          </w:tcPr>
          <w:p>
            <w:pPr>
              <w:pStyle w:val="TableContents"/>
              <w:bidi w:val="0"/>
              <w:spacing w:before="0" w:after="0"/>
              <w:ind w:left="0" w:right="0" w:hanging="0"/>
              <w:jc w:val="left"/>
              <w:rPr/>
            </w:pPr>
            <w:r>
              <w:rPr/>
              <w:t>​</w:t>
            </w:r>
          </w:p>
        </w:tc>
        <w:tc>
          <w:tcPr>
            <w:tcW w:w="162"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167" w:type="dxa"/>
            <w:tcBorders/>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69"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At or For the Three Months Ended </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62" w:type="dxa"/>
            <w:tcBorders/>
            <w:vAlign w:val="center"/>
          </w:tcPr>
          <w:p>
            <w:pPr>
              <w:pStyle w:val="TableContents"/>
              <w:bidi w:val="0"/>
              <w:spacing w:before="0" w:after="0"/>
              <w:ind w:left="0" w:right="0" w:hanging="0"/>
              <w:jc w:val="center"/>
              <w:rPr/>
            </w:pPr>
            <w:r>
              <w:rPr/>
              <w:t>​</w:t>
            </w:r>
          </w:p>
        </w:tc>
        <w:tc>
          <w:tcPr>
            <w:tcW w:w="14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at the lower of cost or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17,599</w:t>
            </w:r>
          </w:p>
        </w:tc>
        <w:tc>
          <w:tcPr>
            <w:tcW w:w="162" w:type="dxa"/>
            <w:tcBorders/>
            <w:shd w:fill="CCEEFF" w:val="clear"/>
            <w:vAlign w:val="center"/>
          </w:tcPr>
          <w:p>
            <w:pPr>
              <w:pStyle w:val="TableContents"/>
              <w:bidi w:val="0"/>
              <w:spacing w:before="0" w:after="0"/>
              <w:ind w:left="0" w:right="0" w:hanging="0"/>
              <w:jc w:val="right"/>
              <w:rPr/>
            </w:pPr>
            <w:r>
              <w:rPr/>
              <w:t>​</w:t>
            </w:r>
          </w:p>
        </w:tc>
        <w:tc>
          <w:tcPr>
            <w:tcW w:w="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18,041</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162" w:type="dxa"/>
            <w:tcBorders/>
            <w:vAlign w:val="center"/>
          </w:tcPr>
          <w:p>
            <w:pPr>
              <w:pStyle w:val="TableContents"/>
              <w:bidi w:val="0"/>
              <w:spacing w:before="0" w:after="0"/>
              <w:ind w:left="0" w:right="0" w:hanging="0"/>
              <w:jc w:val="right"/>
              <w:rPr/>
            </w:pPr>
            <w:r>
              <w:rPr/>
              <w:t>​</w:t>
            </w:r>
          </w:p>
        </w:tc>
        <w:tc>
          <w:tcPr>
            <w:tcW w:w="315" w:type="dxa"/>
            <w:tcBorders/>
            <w:vAlign w:val="center"/>
          </w:tcPr>
          <w:p>
            <w:pPr>
              <w:pStyle w:val="TableContents"/>
              <w:bidi w:val="0"/>
              <w:spacing w:before="0" w:after="0"/>
              <w:ind w:left="0" w:right="0" w:hanging="0"/>
              <w:jc w:val="left"/>
              <w:rPr/>
            </w:pPr>
            <w:r>
              <w:rPr/>
              <w:t> </w:t>
            </w:r>
          </w:p>
        </w:tc>
        <w:tc>
          <w:tcPr>
            <w:tcW w:w="11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MSR amortized</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w:t>
            </w:r>
          </w:p>
        </w:tc>
        <w:tc>
          <w:tcPr>
            <w:tcW w:w="162" w:type="dxa"/>
            <w:tcBorders/>
            <w:shd w:fill="CCEEFF" w:val="clear"/>
            <w:vAlign w:val="center"/>
          </w:tcPr>
          <w:p>
            <w:pPr>
              <w:pStyle w:val="TableContents"/>
              <w:bidi w:val="0"/>
              <w:spacing w:before="0" w:after="0"/>
              <w:ind w:left="0" w:right="0" w:hanging="0"/>
              <w:jc w:val="right"/>
              <w:rPr/>
            </w:pPr>
            <w:r>
              <w:rPr/>
              <w:t>​</w:t>
            </w:r>
          </w:p>
        </w:tc>
        <w:tc>
          <w:tcPr>
            <w:tcW w:w="315" w:type="dxa"/>
            <w:tcBorders/>
            <w:shd w:fill="CCEEFF" w:val="clear"/>
            <w:vAlign w:val="center"/>
          </w:tcPr>
          <w:p>
            <w:pPr>
              <w:pStyle w:val="TableContents"/>
              <w:bidi w:val="0"/>
              <w:spacing w:before="0" w:after="0"/>
              <w:ind w:left="0" w:right="0" w:hanging="0"/>
              <w:jc w:val="left"/>
              <w:rPr/>
            </w:pPr>
            <w:r>
              <w:rPr/>
              <w:t> </w:t>
            </w:r>
          </w:p>
        </w:tc>
        <w:tc>
          <w:tcPr>
            <w:tcW w:w="11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Recovery of servicing rights</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62" w:type="dxa"/>
            <w:tcBorders/>
            <w:vAlign w:val="center"/>
          </w:tcPr>
          <w:p>
            <w:pPr>
              <w:pStyle w:val="TableContents"/>
              <w:bidi w:val="0"/>
              <w:spacing w:before="0" w:after="0"/>
              <w:ind w:left="0" w:right="0" w:hanging="0"/>
              <w:jc w:val="righ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 at the lower of cost or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17,627</w:t>
            </w:r>
          </w:p>
        </w:tc>
        <w:tc>
          <w:tcPr>
            <w:tcW w:w="162" w:type="dxa"/>
            <w:tcBorders/>
            <w:shd w:fill="CCEEFF" w:val="clear"/>
            <w:vAlign w:val="center"/>
          </w:tcPr>
          <w:p>
            <w:pPr>
              <w:pStyle w:val="TableContents"/>
              <w:bidi w:val="0"/>
              <w:spacing w:before="0" w:after="0"/>
              <w:ind w:left="0" w:right="0" w:hanging="0"/>
              <w:jc w:val="righ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18,516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3118" w:name="Tc_1JW8txbnzEG0SMaDt279TQ_21_10"/>
      <w:bookmarkStart w:id="3119" w:name="Tc_KhYeatxMVEmkWpZt73GGzA_21_7"/>
      <w:bookmarkStart w:id="3120" w:name="Tc_SdU6qMwAyEKhe35yicV_1w_21_4"/>
      <w:bookmarkStart w:id="3121" w:name="Tc_ltq79XTxFU-lh-E0IElxvA_21_0"/>
      <w:bookmarkStart w:id="3122" w:name="Tc_eaCRAXfnekifkdpTMpnlfA_20_8"/>
      <w:bookmarkStart w:id="3123" w:name="Tc_NrLN5iyajEGUzCKj8qxrrw_20_5"/>
      <w:bookmarkStart w:id="3124" w:name="Tc_GY3KOYDhVUyMlnhJo42h_g_20_2"/>
      <w:bookmarkStart w:id="3125" w:name="Tc_WQSTv-1yr0ecOg_f9447Hw_20_0"/>
      <w:bookmarkStart w:id="3126" w:name="Tc_2b-n3RZSWE2I8CXMmotB4Q_19_10"/>
      <w:bookmarkStart w:id="3127" w:name="Tc_b5tjO8o0W0CG8Z2_dCmedA_19_7"/>
      <w:bookmarkStart w:id="3128" w:name="Tc_c1qGWIyEUUu0iymYVlehmw_19_4"/>
      <w:bookmarkStart w:id="3129" w:name="Tc_IVtfncKR4E2XRIlCqOoh0Q_19_0"/>
      <w:bookmarkStart w:id="3130" w:name="Tc_LUlO5RFjgE6o7z-yNDQF4g_17_10"/>
      <w:bookmarkStart w:id="3131" w:name="Tc_nQ3O7KOk_UeN1XCzK1Y07Q_17_7"/>
      <w:bookmarkStart w:id="3132" w:name="Tc_8dxj5tpLpEKBlptgUSnjqw_17_4"/>
      <w:bookmarkStart w:id="3133" w:name="Tc_f8P4tjyshkutXtXobSzy3Q_17_0"/>
      <w:bookmarkStart w:id="3134" w:name="Tc_czpP-6uF70S1rT6Hv2aKAQ_16_8"/>
      <w:bookmarkStart w:id="3135" w:name="Tc_tAuz3ZjpRkunie9KJfA3zw_16_5"/>
      <w:bookmarkStart w:id="3136" w:name="Tc_nZDKuXNalUiPIT7XpPk3cg_16_2"/>
      <w:bookmarkStart w:id="3137" w:name="Tc_aya_BYOlq0-Eqnz-4ZHAWQ_16_0"/>
      <w:bookmarkStart w:id="3138" w:name="Tc_hEgJ7vQ-cUmB02-s4Ar4iA_15_10"/>
      <w:bookmarkStart w:id="3139" w:name="Tc_9IKiwr78rEWhGz_712uG6w_15_7"/>
      <w:bookmarkStart w:id="3140" w:name="Tc_Q676sF81gkyRFFzBOlwc3g_15_4"/>
      <w:bookmarkStart w:id="3141" w:name="Tc_i5p-dJ4Wmkyjq70Un8BFbw_15_0"/>
      <w:bookmarkStart w:id="3142" w:name="Tc_yTsfpfWzskK11uEKwnx3mg_14_8"/>
      <w:bookmarkStart w:id="3143" w:name="Tc_-NruNLNgxUOTLMo7AYD1IA_14_5"/>
      <w:bookmarkStart w:id="3144" w:name="Tc_RZKukU1ToE-vIPMRC11N8Q_14_2"/>
      <w:bookmarkStart w:id="3145" w:name="Tc_2NAYv07-NkmI2wAZzqfNzw_14_0"/>
      <w:bookmarkStart w:id="3146" w:name="Tc_a0_U6ytQ2EijFSE0j-_YZg_12_10"/>
      <w:bookmarkStart w:id="3147" w:name="Tc_xqh_xg4qTEGeRwzzr8wkZg_12_7"/>
      <w:bookmarkStart w:id="3148" w:name="Tc_OmRdjm7ihk-jTIwMA3r60Q_12_4"/>
      <w:bookmarkStart w:id="3149" w:name="Tc_1n0w2kwKZ02VgECIGSWm2A_12_0"/>
      <w:bookmarkStart w:id="3150" w:name="Tc_BcCSGY8uc06mC50ImxbIjA_11_8"/>
      <w:bookmarkStart w:id="3151" w:name="Tc_MSVOdUWuhUyVJk4018QrMg_11_5"/>
      <w:bookmarkStart w:id="3152" w:name="Tc_dRs2Do7JnUaFQ4eAAQsVGQ_11_2"/>
      <w:bookmarkStart w:id="3153" w:name="Tc_ZDr4_uPm8kKJ-RW6RqALkQ_11_0"/>
      <w:bookmarkStart w:id="3154" w:name="Tc_cGGH0y7dzkOjQZs1uGKmnA_10_10"/>
      <w:bookmarkStart w:id="3155" w:name="Tc_EGp8Nem7a0CA6rPpI6FOSw_10_7"/>
      <w:bookmarkStart w:id="3156" w:name="Tc_J_itd8-Ta0upm-1QW8l6eA_10_4"/>
      <w:bookmarkStart w:id="3157" w:name="Tc_RAXNuU7DsECNjZ_b_N7NKw_10_0"/>
      <w:bookmarkStart w:id="3158" w:name="Tc_kNimRfWU60WJp0XN2LKi0g_8_10"/>
      <w:bookmarkStart w:id="3159" w:name="Tc_swSS3gKdZ0KvlKMhoqrKDw_8_7"/>
      <w:bookmarkStart w:id="3160" w:name="Tc_tTjSZfc_70yN6Hs21aYk6w_8_4"/>
      <w:bookmarkStart w:id="3161" w:name="Tc_xKYijlmIV0OQo7JtIPOS7Q_8_0"/>
      <w:bookmarkStart w:id="3162" w:name="Tc_Kdv8jWDzMUeeq6wBmKpw0w_7_8"/>
      <w:bookmarkStart w:id="3163" w:name="Tc_LDLFrCO5-UCZa2G77Ei95g_7_5"/>
      <w:bookmarkStart w:id="3164" w:name="Tc_r6T6tKykQ0W7B3Hp7JOEkg_7_2"/>
      <w:bookmarkStart w:id="3165" w:name="Tc_1w6GMUs-t0OcTg_cYiFjag_7_0"/>
      <w:bookmarkStart w:id="3166" w:name="Tc_L3qYvKi9TUqH3af1_Gdlbg_6_10"/>
      <w:bookmarkStart w:id="3167" w:name="Tc_Yxaw3_OPGE-vY58tilvhIg_6_7"/>
      <w:bookmarkStart w:id="3168" w:name="Tc_3Tk6-KGXE0CJjBU8_ts8xw_6_4"/>
      <w:bookmarkStart w:id="3169" w:name="Tc_BUtELZdJR0SyC2WgB-AeNw_6_0"/>
      <w:bookmarkStart w:id="3170" w:name="Tc_DjD6R8HvdEeb7i63miHsdg_5_8"/>
      <w:bookmarkStart w:id="3171" w:name="Tc_TcG2b2dm60iy5qGdTB6xEA_5_5"/>
      <w:bookmarkStart w:id="3172" w:name="Tc_NZ9QgSFGHEOe5mX5JvKhUg_5_2"/>
      <w:bookmarkStart w:id="3173" w:name="Tc_2Yg_KHKdvEyB0-vxZm8fWg_5_0"/>
      <w:bookmarkStart w:id="3174" w:name="Tc_ml_ebwk3LEmQ5wFP2TqFFA_3_10"/>
      <w:bookmarkStart w:id="3175" w:name="Tc_0ADsRl8dLkucqEsh7bEQtQ_3_7"/>
      <w:bookmarkStart w:id="3176" w:name="Tc_oW2qpzOePEm_v10vSE4kRg_3_0"/>
      <w:bookmarkStart w:id="3177" w:name="Tc_X_JronSGakCyLo7J2Q22dw_2_8"/>
      <w:bookmarkStart w:id="3178" w:name="Tc_p-o5ovxiv0eFHEualXrGiQ_2_5"/>
      <w:bookmarkStart w:id="3179" w:name="Tc__iV5p0AbRkKdzfrG72FVYw_2_0"/>
      <w:bookmarkStart w:id="3180" w:name="Tc_kKK6yC5zuUCnnrq-IcJlpQ_1_8"/>
      <w:bookmarkStart w:id="3181" w:name="Tc_AUa9KV971E-BKXiKzrKLSg_1_5"/>
      <w:bookmarkStart w:id="3182" w:name="Tc_DMRvJ7olj0ObNz43Y7pdrQ_5_0"/>
      <w:bookmarkStart w:id="3183" w:name="Tc_CDUkl1ZOP0mbqPScDb5qTg_4_5"/>
      <w:bookmarkStart w:id="3184" w:name="Tc_VveJ3pfSS0qdqynIQmbGNQ_4_3"/>
      <w:bookmarkStart w:id="3185" w:name="Tc_ZmlnzHwHLU-0cVEvJLmMcQ_4_0"/>
      <w:bookmarkStart w:id="3186" w:name="Tc_eJcYW8eSukCsfuUw3wbEEw_3_5"/>
      <w:bookmarkStart w:id="3187" w:name="Tc_oHFtjFGiU0yKcfgbL4iJgg_3_3"/>
      <w:bookmarkStart w:id="3188" w:name="Tc_IOUQMtkPakqJFGm4ghuj5Q_3_0"/>
      <w:bookmarkStart w:id="3189" w:name="Tc_zIhPGBS-30698IEDKxAE_A_2_4"/>
      <w:bookmarkStart w:id="3190" w:name="Tc_UdyMFcE82ES7S11Pq9jCwg_2_2"/>
      <w:bookmarkStart w:id="3191" w:name="Tc_TKUZ2EJMr0iHGPW4t9_5Vg_2_0"/>
      <w:bookmarkStart w:id="3192" w:name="Tc_nhg7GKfRZE2-xkEvDL1WNw_1_4"/>
      <w:bookmarkStart w:id="3193" w:name="Tc_E4yhXkwZRkO5nqbscqkTFQ_1_2"/>
      <w:bookmarkStart w:id="3194" w:name="Tc_BWo6FNfbKU-8XMNej4Wz7A_8_5"/>
      <w:bookmarkStart w:id="3195" w:name="Tc_4aeiPHOIFUue_urkEZ7vrQ_8_2"/>
      <w:bookmarkStart w:id="3196" w:name="Tc_w_7fDfrufk6Szmf7ikzh7g_8_0"/>
      <w:bookmarkStart w:id="3197" w:name="Tc_lyvdfVcBdkO9ya-jYDS_hA_7_3"/>
      <w:bookmarkStart w:id="3198" w:name="Tc_puIXAN7HZUi6GPr4FNWhAA_7_0"/>
      <w:bookmarkStart w:id="3199" w:name="Tc_nyDopeCAGEeiSTkPNeSJtw_6_0"/>
      <w:bookmarkStart w:id="3200" w:name="Tc_lv4CPgaYS0Cya4z47WvkJw_5_0"/>
      <w:bookmarkStart w:id="3201" w:name="Tc_CESY2Z860E6hHR9L93NQQw_4_5"/>
      <w:bookmarkStart w:id="3202" w:name="Tc_mkk1SY44uUC3erGEC_ILLA_4_2"/>
      <w:bookmarkStart w:id="3203" w:name="Tc_tu1g9AXyjEu5wMPR26tHpw_4_0"/>
      <w:bookmarkStart w:id="3204" w:name="Tc_BTHfPLYqU0uI_2GSJNU4oQ_3_5"/>
      <w:bookmarkStart w:id="3205" w:name="Tc_Srte8k9q-UezFaZkUnWQyg_3_2"/>
      <w:bookmarkStart w:id="3206" w:name="Tc__hQuPMlinEyxd0NnUcv-QQ_2_2"/>
      <w:bookmarkStart w:id="3207" w:name="Tc_qsM5_yItNUq7IIv_X_xF_g_1_2"/>
      <w:bookmarkStart w:id="3208" w:name="_448b9ee0_8d5f_4293_a95c_192f1a2e9d75"/>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r>
        <w:rPr/>
        <w:t>​</w:t>
      </w:r>
    </w:p>
    <w:tbl>
      <w:tblPr>
        <w:tblW w:w="7406" w:type="dxa"/>
        <w:jc w:val="left"/>
        <w:tblInd w:w="0" w:type="dxa"/>
        <w:tblLayout w:type="fixed"/>
        <w:tblCellMar>
          <w:top w:w="0" w:type="dxa"/>
          <w:left w:w="0" w:type="dxa"/>
          <w:bottom w:w="0" w:type="dxa"/>
          <w:right w:w="0" w:type="dxa"/>
        </w:tblCellMar>
      </w:tblPr>
      <w:tblGrid>
        <w:gridCol w:w="4306"/>
        <w:gridCol w:w="326"/>
        <w:gridCol w:w="292"/>
        <w:gridCol w:w="957"/>
        <w:gridCol w:w="151"/>
        <w:gridCol w:w="292"/>
        <w:gridCol w:w="1082"/>
      </w:tblGrid>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082" w:type="dxa"/>
            <w:tcBorders/>
            <w:vAlign w:val="center"/>
          </w:tcPr>
          <w:p>
            <w:pPr>
              <w:pStyle w:val="TableContents"/>
              <w:bidi w:val="0"/>
              <w:spacing w:before="0" w:after="0"/>
              <w:ind w:left="0" w:right="0" w:hanging="0"/>
              <w:jc w:val="left"/>
              <w:rPr/>
            </w:pPr>
            <w:r>
              <w:rPr/>
              <w:t>​</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4"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At or For the Six Months Ended </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4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51" w:type="dxa"/>
            <w:tcBorders/>
            <w:vAlign w:val="center"/>
          </w:tcPr>
          <w:p>
            <w:pPr>
              <w:pStyle w:val="TableContents"/>
              <w:bidi w:val="0"/>
              <w:spacing w:before="0" w:after="0"/>
              <w:ind w:left="0" w:right="0" w:hanging="0"/>
              <w:jc w:val="center"/>
              <w:rPr/>
            </w:pPr>
            <w:r>
              <w:rPr/>
              <w:t>​</w:t>
            </w:r>
          </w:p>
        </w:tc>
        <w:tc>
          <w:tcPr>
            <w:tcW w:w="13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 at the lower of cost or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18,017</w:t>
            </w:r>
          </w:p>
        </w:tc>
        <w:tc>
          <w:tcPr>
            <w:tcW w:w="151"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16,970</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1,325</w:t>
            </w:r>
          </w:p>
        </w:tc>
        <w:tc>
          <w:tcPr>
            <w:tcW w:w="151" w:type="dxa"/>
            <w:tcBorders/>
            <w:vAlign w:val="center"/>
          </w:tcPr>
          <w:p>
            <w:pPr>
              <w:pStyle w:val="TableContents"/>
              <w:bidi w:val="0"/>
              <w:spacing w:before="0" w:after="0"/>
              <w:ind w:left="0" w:right="0" w:hanging="0"/>
              <w:jc w:val="right"/>
              <w:rPr/>
            </w:pPr>
            <w:r>
              <w:rPr/>
              <w:t>​</w:t>
            </w:r>
          </w:p>
        </w:tc>
        <w:tc>
          <w:tcPr>
            <w:tcW w:w="292" w:type="dxa"/>
            <w:tcBorders/>
            <w:vAlign w:val="center"/>
          </w:tcPr>
          <w:p>
            <w:pPr>
              <w:pStyle w:val="TableContents"/>
              <w:bidi w:val="0"/>
              <w:spacing w:before="0" w:after="0"/>
              <w:ind w:left="0" w:right="0" w:hanging="0"/>
              <w:jc w:val="left"/>
              <w:rPr/>
            </w:pPr>
            <w:r>
              <w:rPr/>
              <w:t> </w:t>
            </w:r>
          </w:p>
        </w:tc>
        <w:tc>
          <w:tcPr>
            <w:tcW w:w="10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4,010</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MSR amortized</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w:t>
            </w:r>
          </w:p>
        </w:tc>
        <w:tc>
          <w:tcPr>
            <w:tcW w:w="151" w:type="dxa"/>
            <w:tcBorders/>
            <w:shd w:fill="CCEEFF" w:val="clear"/>
            <w:vAlign w:val="center"/>
          </w:tcPr>
          <w:p>
            <w:pPr>
              <w:pStyle w:val="TableContents"/>
              <w:bidi w:val="0"/>
              <w:spacing w:before="0" w:after="0"/>
              <w:ind w:left="0" w:right="0" w:hanging="0"/>
              <w:jc w:val="right"/>
              <w:rPr/>
            </w:pPr>
            <w:r>
              <w:rPr/>
              <w:t>​</w:t>
            </w:r>
          </w:p>
        </w:tc>
        <w:tc>
          <w:tcPr>
            <w:tcW w:w="292" w:type="dxa"/>
            <w:tcBorders/>
            <w:shd w:fill="CCEEFF" w:val="clear"/>
            <w:vAlign w:val="center"/>
          </w:tcPr>
          <w:p>
            <w:pPr>
              <w:pStyle w:val="TableContents"/>
              <w:bidi w:val="0"/>
              <w:spacing w:before="0" w:after="0"/>
              <w:ind w:left="0" w:right="0" w:hanging="0"/>
              <w:jc w:val="left"/>
              <w:rPr/>
            </w:pPr>
            <w:r>
              <w:rPr/>
              <w:t> </w:t>
            </w:r>
          </w:p>
        </w:tc>
        <w:tc>
          <w:tcPr>
            <w:tcW w:w="10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r>
      <w:tr>
        <w:trPr/>
        <w:tc>
          <w:tcPr>
            <w:tcW w:w="4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Recovery of servicing rights</w:t>
            </w:r>
          </w:p>
        </w:tc>
        <w:tc>
          <w:tcPr>
            <w:tcW w:w="326"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righ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 at the lower of cost or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17,627</w:t>
            </w:r>
          </w:p>
        </w:tc>
        <w:tc>
          <w:tcPr>
            <w:tcW w:w="151" w:type="dxa"/>
            <w:tcBorders/>
            <w:shd w:fill="CCEEFF" w:val="clear"/>
            <w:vAlign w:val="center"/>
          </w:tcPr>
          <w:p>
            <w:pPr>
              <w:pStyle w:val="TableContents"/>
              <w:bidi w:val="0"/>
              <w:spacing w:before="0" w:after="0"/>
              <w:ind w:left="0" w:right="0" w:hanging="0"/>
              <w:jc w:val="righ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2"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18,516</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fair value of the servicing rights’ assets was $37.5 million and $35.5 million at June 30, 2023 and December 31, 2022, respectively. Fair value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provides valuation assumptions used in determining the fair value of MSR at the dates indicated:</w:t>
      </w:r>
    </w:p>
    <w:p>
      <w:pPr>
        <w:pStyle w:val="TextBody"/>
        <w:bidi w:val="0"/>
        <w:spacing w:before="0" w:after="0"/>
        <w:ind w:left="0" w:right="0" w:hanging="0"/>
        <w:jc w:val="left"/>
        <w:rPr/>
      </w:pPr>
      <w:r>
        <w:rPr/>
        <w:t>​</w:t>
      </w:r>
    </w:p>
    <w:tbl>
      <w:tblPr>
        <w:tblW w:w="6751" w:type="dxa"/>
        <w:jc w:val="left"/>
        <w:tblInd w:w="0" w:type="dxa"/>
        <w:tblLayout w:type="fixed"/>
        <w:tblCellMar>
          <w:top w:w="0" w:type="dxa"/>
          <w:left w:w="0" w:type="dxa"/>
          <w:bottom w:w="0" w:type="dxa"/>
          <w:right w:w="0" w:type="dxa"/>
        </w:tblCellMar>
      </w:tblPr>
      <w:tblGrid>
        <w:gridCol w:w="3181"/>
        <w:gridCol w:w="326"/>
        <w:gridCol w:w="1066"/>
        <w:gridCol w:w="361"/>
        <w:gridCol w:w="1501"/>
        <w:gridCol w:w="316"/>
      </w:tblGrid>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June 30, </w:t>
            </w:r>
          </w:p>
        </w:tc>
        <w:tc>
          <w:tcPr>
            <w:tcW w:w="361"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December 31, </w:t>
            </w:r>
          </w:p>
        </w:tc>
        <w:tc>
          <w:tcPr>
            <w:tcW w:w="316" w:type="dxa"/>
            <w:tcBorders/>
            <w:vAlign w:val="center"/>
          </w:tcPr>
          <w:p>
            <w:pPr>
              <w:pStyle w:val="TableContents"/>
              <w:bidi w:val="0"/>
              <w:spacing w:before="0" w:after="0"/>
              <w:ind w:left="0" w:right="0" w:hanging="0"/>
              <w:jc w:val="left"/>
              <w:rPr/>
            </w:pPr>
            <w:r>
              <w:rPr/>
              <w:t> </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Key assumptions:</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16" w:type="dxa"/>
            <w:tcBorders/>
            <w:vAlign w:val="center"/>
          </w:tcPr>
          <w:p>
            <w:pPr>
              <w:pStyle w:val="TableContents"/>
              <w:bidi w:val="0"/>
              <w:spacing w:before="0" w:after="0"/>
              <w:ind w:left="0" w:right="0" w:hanging="0"/>
              <w:jc w:val="left"/>
              <w:rPr/>
            </w:pPr>
            <w:r>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Conditional prepayment rate (“CPR”)</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life in years</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61"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Key economic assumptions of the current fair value for single family MSR are presented in the table below.  Also presented is the sensitivity to market rate changes for the par rate coupon for a conventional one-to-four-family FNMA, FHLMC, GNMA, or FHLB serviced home loan.  The table below references a 50 basis point and 100 basis point adverse rate change and the impact on prepayment speeds and discount rates at the dates indicated:</w:t>
      </w:r>
    </w:p>
    <w:p>
      <w:pPr>
        <w:pStyle w:val="TextBody"/>
        <w:bidi w:val="0"/>
        <w:spacing w:before="0" w:after="0"/>
        <w:ind w:left="0" w:right="0" w:hanging="0"/>
        <w:jc w:val="left"/>
        <w:rPr/>
      </w:pPr>
      <w:r>
        <w:rPr/>
        <w:t>​</w:t>
      </w:r>
    </w:p>
    <w:tbl>
      <w:tblPr>
        <w:tblW w:w="9947" w:type="dxa"/>
        <w:jc w:val="left"/>
        <w:tblInd w:w="0" w:type="dxa"/>
        <w:tblLayout w:type="fixed"/>
        <w:tblCellMar>
          <w:top w:w="0" w:type="dxa"/>
          <w:left w:w="0" w:type="dxa"/>
          <w:bottom w:w="0" w:type="dxa"/>
          <w:right w:w="0" w:type="dxa"/>
        </w:tblCellMar>
      </w:tblPr>
      <w:tblGrid>
        <w:gridCol w:w="3226"/>
        <w:gridCol w:w="146"/>
        <w:gridCol w:w="211"/>
        <w:gridCol w:w="676"/>
        <w:gridCol w:w="361"/>
        <w:gridCol w:w="429"/>
        <w:gridCol w:w="1896"/>
        <w:gridCol w:w="361"/>
        <w:gridCol w:w="429"/>
        <w:gridCol w:w="1896"/>
        <w:gridCol w:w="316"/>
      </w:tblGrid>
      <w:tr>
        <w:trPr/>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48510" cy="175260"/>
                      <wp:effectExtent l="0" t="0" r="0" b="0"/>
                      <wp:wrapNone/>
                      <wp:docPr id="367" name="Frame367"/>
                      <a:graphic xmlns:a="http://schemas.openxmlformats.org/drawingml/2006/main">
                        <a:graphicData uri="http://schemas.microsoft.com/office/word/2010/wordprocessingShape">
                          <wps:wsp>
                            <wps:cNvSpPr txBox="1"/>
                            <wps:spPr>
                              <a:xfrm>
                                <a:off x="0" y="0"/>
                                <a:ext cx="2048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92710" cy="175260"/>
                      <wp:effectExtent l="0" t="0" r="0" b="0"/>
                      <wp:wrapNone/>
                      <wp:docPr id="368" name="Frame36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29260" cy="175260"/>
                      <wp:effectExtent l="0" t="0" r="0" b="0"/>
                      <wp:wrapNone/>
                      <wp:docPr id="370" name="Frame3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29235" cy="175260"/>
                      <wp:effectExtent l="0" t="0" r="0" b="0"/>
                      <wp:wrapNone/>
                      <wp:docPr id="371" name="Frame37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72415" cy="175260"/>
                      <wp:effectExtent l="0" t="0" r="0" b="0"/>
                      <wp:wrapNone/>
                      <wp:docPr id="372" name="Frame372"/>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203960" cy="175260"/>
                      <wp:effectExtent l="0" t="0" r="0" b="0"/>
                      <wp:wrapNone/>
                      <wp:docPr id="373" name="Frame373"/>
                      <a:graphic xmlns:a="http://schemas.openxmlformats.org/drawingml/2006/main">
                        <a:graphicData uri="http://schemas.microsoft.com/office/word/2010/wordprocessingShape">
                          <wps:wsp>
                            <wps:cNvSpPr txBox="1"/>
                            <wps:spPr>
                              <a:xfrm>
                                <a:off x="0" y="0"/>
                                <a:ext cx="1203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29235" cy="175260"/>
                      <wp:effectExtent l="0" t="0" r="0" b="0"/>
                      <wp:wrapNone/>
                      <wp:docPr id="374" name="Frame3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72415" cy="175260"/>
                      <wp:effectExtent l="0" t="0" r="0" b="0"/>
                      <wp:wrapNone/>
                      <wp:docPr id="375" name="Frame375"/>
                      <a:graphic xmlns:a="http://schemas.openxmlformats.org/drawingml/2006/main">
                        <a:graphicData uri="http://schemas.microsoft.com/office/word/2010/wordprocessingShape">
                          <wps:wsp>
                            <wps:cNvSpPr txBox="1"/>
                            <wps:spPr>
                              <a:xfrm>
                                <a:off x="0" y="0"/>
                                <a:ext cx="272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203960" cy="175260"/>
                      <wp:effectExtent l="0" t="0" r="0" b="0"/>
                      <wp:wrapNone/>
                      <wp:docPr id="376" name="Frame376"/>
                      <a:graphic xmlns:a="http://schemas.openxmlformats.org/drawingml/2006/main">
                        <a:graphicData uri="http://schemas.microsoft.com/office/word/2010/wordprocessingShape">
                          <wps:wsp>
                            <wps:cNvSpPr txBox="1"/>
                            <wps:spPr>
                              <a:xfrm>
                                <a:off x="0" y="0"/>
                                <a:ext cx="1203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0660" cy="175260"/>
                      <wp:effectExtent l="0" t="0" r="0" b="0"/>
                      <wp:wrapNone/>
                      <wp:docPr id="377" name="Frame3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2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361" w:type="dxa"/>
            <w:tcBorders/>
            <w:vAlign w:val="center"/>
          </w:tcPr>
          <w:p>
            <w:pPr>
              <w:pStyle w:val="TableContents"/>
              <w:bidi w:val="0"/>
              <w:spacing w:before="0" w:after="0"/>
              <w:ind w:left="0" w:right="0" w:hanging="0"/>
              <w:jc w:val="left"/>
              <w:rPr/>
            </w:pPr>
            <w:r>
              <w:rPr/>
              <w:t>​</w:t>
            </w:r>
          </w:p>
        </w:tc>
        <w:tc>
          <w:tcPr>
            <w:tcW w:w="2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Aggregate portfolio principal balance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4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2,801,966</w:t>
            </w:r>
          </w:p>
        </w:tc>
        <w:tc>
          <w:tcPr>
            <w:tcW w:w="361" w:type="dxa"/>
            <w:tcBorders/>
            <w:shd w:fill="CCEEFF" w:val="clear"/>
            <w:vAlign w:val="center"/>
          </w:tcPr>
          <w:p>
            <w:pPr>
              <w:pStyle w:val="TableContents"/>
              <w:bidi w:val="0"/>
              <w:spacing w:before="0" w:after="0"/>
              <w:ind w:left="0" w:right="0" w:hanging="0"/>
              <w:jc w:val="left"/>
              <w:rPr/>
            </w:pPr>
            <w:r>
              <w:rPr/>
              <w:t> </w:t>
            </w:r>
          </w:p>
        </w:tc>
        <w:tc>
          <w:tcPr>
            <w:tcW w:w="4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2,783,458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rate of note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2023</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Base</w:t>
            </w:r>
          </w:p>
        </w:tc>
        <w:tc>
          <w:tcPr>
            <w:tcW w:w="361" w:type="dxa"/>
            <w:tcBorders/>
            <w:vAlign w:val="center"/>
          </w:tcPr>
          <w:p>
            <w:pPr>
              <w:pStyle w:val="TableContents"/>
              <w:bidi w:val="0"/>
              <w:spacing w:before="0" w:after="0"/>
              <w:ind w:left="0" w:right="0" w:hanging="0"/>
              <w:jc w:val="left"/>
              <w:rPr/>
            </w:pPr>
            <w:r>
              <w:rPr/>
              <w:t> </w:t>
            </w:r>
          </w:p>
        </w:tc>
        <w:tc>
          <w:tcPr>
            <w:tcW w:w="2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 Adverse Rate Change</w:t>
            </w:r>
          </w:p>
        </w:tc>
        <w:tc>
          <w:tcPr>
            <w:tcW w:w="361" w:type="dxa"/>
            <w:tcBorders/>
            <w:vAlign w:val="center"/>
          </w:tcPr>
          <w:p>
            <w:pPr>
              <w:pStyle w:val="TableContents"/>
              <w:bidi w:val="0"/>
              <w:spacing w:before="0" w:after="0"/>
              <w:ind w:left="0" w:right="0" w:hanging="0"/>
              <w:jc w:val="left"/>
              <w:rPr/>
            </w:pPr>
            <w:r>
              <w:rPr/>
              <w:t> </w:t>
            </w:r>
          </w:p>
        </w:tc>
        <w:tc>
          <w:tcPr>
            <w:tcW w:w="2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Adverse Rate Change</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Conditional prepayment rate</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MSR</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37,486</w:t>
            </w:r>
          </w:p>
        </w:tc>
        <w:tc>
          <w:tcPr>
            <w:tcW w:w="361"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36,845</w:t>
            </w:r>
          </w:p>
        </w:tc>
        <w:tc>
          <w:tcPr>
            <w:tcW w:w="361"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35,649</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of MSR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MSR</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37,486</w:t>
            </w:r>
          </w:p>
        </w:tc>
        <w:tc>
          <w:tcPr>
            <w:tcW w:w="361"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36,651</w:t>
            </w:r>
          </w:p>
        </w:tc>
        <w:tc>
          <w:tcPr>
            <w:tcW w:w="361"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35,851</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of MSR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December 31, 2022</w:t>
            </w:r>
          </w:p>
        </w:tc>
        <w:tc>
          <w:tcPr>
            <w:tcW w:w="14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Base</w:t>
            </w:r>
          </w:p>
        </w:tc>
        <w:tc>
          <w:tcPr>
            <w:tcW w:w="361" w:type="dxa"/>
            <w:tcBorders/>
            <w:vAlign w:val="center"/>
          </w:tcPr>
          <w:p>
            <w:pPr>
              <w:pStyle w:val="TableContents"/>
              <w:bidi w:val="0"/>
              <w:spacing w:before="0" w:after="0"/>
              <w:ind w:left="0" w:right="0" w:hanging="0"/>
              <w:jc w:val="left"/>
              <w:rPr/>
            </w:pPr>
            <w:r>
              <w:rPr/>
              <w:t> </w:t>
            </w:r>
          </w:p>
        </w:tc>
        <w:tc>
          <w:tcPr>
            <w:tcW w:w="2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0.5% Adverse Rate Change</w:t>
            </w:r>
          </w:p>
        </w:tc>
        <w:tc>
          <w:tcPr>
            <w:tcW w:w="361" w:type="dxa"/>
            <w:tcBorders/>
            <w:vAlign w:val="center"/>
          </w:tcPr>
          <w:p>
            <w:pPr>
              <w:pStyle w:val="TableContents"/>
              <w:bidi w:val="0"/>
              <w:spacing w:before="0" w:after="0"/>
              <w:ind w:left="0" w:right="0" w:hanging="0"/>
              <w:jc w:val="left"/>
              <w:rPr/>
            </w:pPr>
            <w:r>
              <w:rPr/>
              <w:t> </w:t>
            </w:r>
          </w:p>
        </w:tc>
        <w:tc>
          <w:tcPr>
            <w:tcW w:w="23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 Adverse Rate Change</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Conditional prepayment rate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MSR</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35,478</w:t>
            </w:r>
          </w:p>
        </w:tc>
        <w:tc>
          <w:tcPr>
            <w:tcW w:w="361"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34,997</w:t>
            </w:r>
          </w:p>
        </w:tc>
        <w:tc>
          <w:tcPr>
            <w:tcW w:w="361"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34,188</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of MSR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429"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MSR</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35,478</w:t>
            </w:r>
          </w:p>
        </w:tc>
        <w:tc>
          <w:tcPr>
            <w:tcW w:w="361"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34,715</w:t>
            </w:r>
          </w:p>
        </w:tc>
        <w:tc>
          <w:tcPr>
            <w:tcW w:w="361" w:type="dxa"/>
            <w:tcBorders/>
            <w:vAlign w:val="center"/>
          </w:tcPr>
          <w:p>
            <w:pPr>
              <w:pStyle w:val="TableContents"/>
              <w:bidi w:val="0"/>
              <w:spacing w:before="0" w:after="0"/>
              <w:ind w:left="0" w:right="0" w:hanging="0"/>
              <w:jc w:val="left"/>
              <w:rPr/>
            </w:pPr>
            <w:r>
              <w:rPr/>
              <w:t> </w:t>
            </w:r>
          </w:p>
        </w:tc>
        <w:tc>
          <w:tcPr>
            <w:tcW w:w="4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33,984</w:t>
            </w:r>
          </w:p>
        </w:tc>
        <w:tc>
          <w:tcPr>
            <w:tcW w:w="316" w:type="dxa"/>
            <w:tcBorders/>
            <w:vAlign w:val="center"/>
          </w:tcPr>
          <w:p>
            <w:pPr>
              <w:pStyle w:val="TableContents"/>
              <w:bidi w:val="0"/>
              <w:spacing w:before="0" w:after="0"/>
              <w:ind w:left="0" w:right="0" w:hanging="0"/>
              <w:jc w:val="left"/>
              <w:rPr/>
            </w:pPr>
            <w:r>
              <w:rPr/>
              <w:t>​</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of MSR</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29" w:type="dxa"/>
            <w:tcBorders/>
            <w:shd w:fill="CCEEFF" w:val="clear"/>
            <w:vAlign w:val="center"/>
          </w:tcPr>
          <w:p>
            <w:pPr>
              <w:pStyle w:val="TableContents"/>
              <w:bidi w:val="0"/>
              <w:spacing w:before="0" w:after="0"/>
              <w:ind w:left="0" w:right="0" w:hanging="0"/>
              <w:jc w:val="left"/>
              <w:rPr/>
            </w:pPr>
            <w:r>
              <w:rPr/>
              <w:t> </w:t>
            </w:r>
          </w:p>
        </w:tc>
        <w:tc>
          <w:tcPr>
            <w:tcW w:w="1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These sensitivities are hypothetical and should be used with caution as the tables above demonstrate the Company’s methodology for estimating the fair value of MSR which is highly sensitive to changes in key assumptions. For example, actual prepayment experience may differ and any difference may have a material effect on the fair value of MSR. Changes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fair value resulting from changes in assumptions generally cannot be extrapolated because the relationship of the change in the assumption to the change in fair value may not be linear. Also, in these tables, the effects of a variation in a particular assumption on the fair value of MSR is calculated without changing any other assumption; in reality, changes in one factor may be associated with changes in another (for example, decreases in market interest rates may provide an incentive to refinance, however, this may also indicate a slowing economy and an increase in the unemployment rate, which reduces the number of borrowers who qualify for refinancing), which may magnify or counteract the sensitivities. Thus, any measurement of the fair value of MSR is limited by the conditions existing and assumptions made at a particular point in time. Those assumptions may not be appropriate if they are applied to a different time.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recorded $1.8 million of gross contractually specified servicing fees, late fees, and other ancillary fees resulting from servicing of loans for both the three months ended June 30, 2023 and 2022, and $3.6 million and $3.5 million for the six months ended June 30, 2023 and 2022, respectively.  The income, net of MSR amortization, is reported in “Service charges and fee income” on the Consolidated Statements of Income.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6 – DERIVATIVES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Mortgage Banking Derivatives Not Designated as Hedges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regularly enters into commitments to originate and sell loans held for sale. The Company has exposure to movements in interest rates associated with written interest rate lock commitments with potential borrowers to originate one-to four-family loans that are intended to be sold and for closed one-to-four-family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one-to-four-family mortgage loans or into contracts to sell forward To-Be-Announced (“TBA”) mortgage-backed securities. These commitments and contracts are considered derivatives but have not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Customer Swaps Not Designated as Hedges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also enters into derivative contracts, which consist of interest rate swaps, to facilitate the needs of clients desiring to manage interest rate risk. These swaps are not designated as accounting hedges under ASC 815, Derivatives and Hedging. To economically hedge the interest rate risk associated with offering this product, the Company simultaneously enters into derivative contracts with third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not speculative and arise from a service provided to clients.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i/>
          <w:color w:val="212529"/>
          <w:sz w:val="20"/>
        </w:rPr>
      </w:pPr>
      <w:bookmarkStart w:id="3209" w:name="Tc_IuEbppkEcUeVy09_0mO8eA_11_5"/>
      <w:bookmarkStart w:id="3210" w:name="Tc_CDfMpYV36k6DgYFtC8sGnw_11_2"/>
      <w:bookmarkStart w:id="3211" w:name="Tc_uqLf5lcqr0q-fxvxuj-Fng_11_0"/>
      <w:bookmarkStart w:id="3212" w:name="Tc_n4HDekx20kO1cggEEE1QbQ_10_5"/>
      <w:bookmarkStart w:id="3213" w:name="Tc_FscyNODQd0GChIZyIoDxmg_10_2"/>
      <w:bookmarkStart w:id="3214" w:name="Tc_ha1r8RiV5E6AfLfxyj775A_10_0"/>
      <w:bookmarkStart w:id="3215" w:name="Tc_TO0cVzJ9zEKxRddjnanVNw_9_0"/>
      <w:bookmarkStart w:id="3216" w:name="Tc_0AbeFHeNLk2kde8JU2OfBw_7_5"/>
      <w:bookmarkStart w:id="3217" w:name="Tc_OUTPvVlUZUSBHEsjAri8Aw_7_2"/>
      <w:bookmarkStart w:id="3218" w:name="Tc_Q302i1qz9EW-q278F7etBA_7_0"/>
      <w:bookmarkStart w:id="3219" w:name="Tc_nmOj8mrb8kC-1feTFgUxhA_6_5"/>
      <w:bookmarkStart w:id="3220" w:name="Tc_HYLsYgIQmkGRuBYISCTN5g_6_2"/>
      <w:bookmarkStart w:id="3221" w:name="Tc_-nyPqomLKky9wJe6ZNGf3g_6_0"/>
      <w:bookmarkStart w:id="3222" w:name="Tc_ccOv3800MkyB0JQBQDbg0Q_5_0"/>
      <w:bookmarkStart w:id="3223" w:name="Tc_V67O4U6AIk2tbpPzVmmlLg_4_5"/>
      <w:bookmarkStart w:id="3224" w:name="Tc_HfYjtt13e0a4u2703BWJsw_4_2"/>
      <w:bookmarkStart w:id="3225" w:name="Tc_p_iOzU-Xy0aDerdEAxBjYA_4_0"/>
      <w:bookmarkStart w:id="3226" w:name="Tc_RFsUn8x5sk-ciOfaqS4IxA_3_5"/>
      <w:bookmarkStart w:id="3227" w:name="Tc_3CjdfLE-qkmbpnA5iTlR6g_3_2"/>
      <w:bookmarkStart w:id="3228" w:name="Tc_RIS6NWTm0kmlwaLPovY0tg_3_0"/>
      <w:bookmarkStart w:id="3229" w:name="Tc_57aIn6s9WkKfH3UYxbPD7g_2_5"/>
      <w:bookmarkStart w:id="3230" w:name="Tc_SAZCQeN33U2tbjKlkEwk9A_2_0"/>
      <w:bookmarkStart w:id="3231" w:name="Tc_Ih5MCHCkPEWyyJOS4x42Uw_1_5"/>
      <w:bookmarkStart w:id="3232" w:name="_1d1b56bd_2b0b_462a_89e7_7855d235dfa5"/>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r>
        <w:rPr>
          <w:rFonts w:ascii="Times New Roman;Times;serif" w:hAnsi="Times New Roman;Times;serif"/>
          <w:b/>
          <w:i/>
          <w:color w:val="212529"/>
          <w:sz w:val="20"/>
        </w:rPr>
        <w:t>Cash Flow Hedges</w:t>
      </w:r>
    </w:p>
    <w:p>
      <w:pPr>
        <w:pStyle w:val="TextBody"/>
        <w:bidi w:val="0"/>
        <w:spacing w:before="0" w:after="200"/>
        <w:ind w:left="0" w:right="0" w:hanging="0"/>
        <w:jc w:val="both"/>
        <w:rPr>
          <w:rFonts w:ascii="Times New Roman;Times;serif" w:hAnsi="Times New Roman;Times;serif"/>
          <w:color w:val="212529"/>
          <w:sz w:val="20"/>
        </w:rPr>
      </w:pPr>
      <w:r>
        <w:rPr>
          <w:rFonts w:ascii="Times New Roman;Times;serif" w:hAnsi="Times New Roman;Times;serif"/>
          <w:color w:val="212529"/>
          <w:sz w:val="20"/>
        </w:rPr>
        <w:t>The Bank has entered into interest rate swaps to reduce the exposure to variability in interest-related cash outflows  related to brokered deposits. These derivative instruments are designated as cash flow hedges.  Changes to the amount of interest payment cash flows for the hedged transactions attributable to a change in credit risk are excluded from management’s assessment of hedge effectiveness. The Bank tests hedging effectiveness on a quarterly basis. The accumulated other comprehensive income is subsequently reclassified into earnings in the period that the hedged forecasted transaction affects earnings. The Bank has not recorded any hedge ineffectiveness since inception.  </w:t>
      </w:r>
    </w:p>
    <w:p>
      <w:pPr>
        <w:pStyle w:val="TextBody"/>
        <w:bidi w:val="0"/>
        <w:spacing w:before="0" w:after="200"/>
        <w:ind w:left="0" w:right="0" w:hanging="0"/>
        <w:jc w:val="both"/>
        <w:rPr>
          <w:rFonts w:ascii="Times New Roman;Times;serif" w:hAnsi="Times New Roman;Times;serif"/>
          <w:color w:val="212529"/>
          <w:sz w:val="20"/>
        </w:rPr>
      </w:pPr>
      <w:r>
        <w:rPr>
          <w:rFonts w:ascii="Times New Roman;Times;serif" w:hAnsi="Times New Roman;Times;serif"/>
          <w:color w:val="212529"/>
          <w:sz w:val="20"/>
        </w:rPr>
        <w:t>The Bank expects that approximately $5.5 million will be reclassified from accumulated other comprehensive loss as a decrease to interest expense over the next 12 months related to these cash flow hedges.</w:t>
      </w:r>
    </w:p>
    <w:p>
      <w:pPr>
        <w:pStyle w:val="TextBody"/>
        <w:bidi w:val="0"/>
        <w:spacing w:before="0" w:after="200"/>
        <w:ind w:left="0" w:right="0" w:hanging="0"/>
        <w:jc w:val="both"/>
        <w:rPr>
          <w:rFonts w:ascii="Times New Roman;Times;serif" w:hAnsi="Times New Roman;Times;serif"/>
          <w:b/>
          <w:i/>
          <w:color w:val="212529"/>
          <w:sz w:val="20"/>
        </w:rPr>
      </w:pPr>
      <w:r>
        <w:rPr>
          <w:rFonts w:ascii="Times New Roman;Times;serif" w:hAnsi="Times New Roman;Times;serif"/>
          <w:b/>
          <w:i/>
          <w:color w:val="212529"/>
          <w:sz w:val="20"/>
        </w:rPr>
        <w:t>Fair Value Hedges</w:t>
      </w:r>
    </w:p>
    <w:p>
      <w:pPr>
        <w:pStyle w:val="TextBody"/>
        <w:bidi w:val="0"/>
        <w:spacing w:before="0" w:after="200"/>
        <w:ind w:left="0" w:right="0" w:hanging="0"/>
        <w:jc w:val="both"/>
        <w:rPr>
          <w:rFonts w:ascii="Times New Roman;Times;serif" w:hAnsi="Times New Roman;Times;serif"/>
          <w:color w:val="212529"/>
          <w:sz w:val="20"/>
        </w:rPr>
      </w:pPr>
      <w:r>
        <w:rPr>
          <w:rFonts w:ascii="Times New Roman;Times;serif" w:hAnsi="Times New Roman;Times;serif"/>
          <w:color w:val="212529"/>
          <w:sz w:val="20"/>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amounts were recorded on the balance sheet  related to cumulative-basis adjustment for fair value hedges for the dates indicated:  </w:t>
      </w:r>
    </w:p>
    <w:p>
      <w:pPr>
        <w:pStyle w:val="TextBody"/>
        <w:bidi w:val="0"/>
        <w:spacing w:before="0" w:after="0"/>
        <w:ind w:left="0" w:right="0" w:hanging="0"/>
        <w:jc w:val="left"/>
        <w:rPr/>
      </w:pPr>
      <w:r>
        <w:rPr/>
        <w:t>​</w:t>
      </w:r>
    </w:p>
    <w:tbl>
      <w:tblPr>
        <w:tblW w:w="9773" w:type="dxa"/>
        <w:jc w:val="left"/>
        <w:tblInd w:w="0" w:type="dxa"/>
        <w:tblLayout w:type="fixed"/>
        <w:tblCellMar>
          <w:top w:w="0" w:type="dxa"/>
          <w:left w:w="0" w:type="dxa"/>
          <w:bottom w:w="0" w:type="dxa"/>
          <w:right w:w="0" w:type="dxa"/>
        </w:tblCellMar>
      </w:tblPr>
      <w:tblGrid>
        <w:gridCol w:w="3211"/>
        <w:gridCol w:w="266"/>
        <w:gridCol w:w="578"/>
        <w:gridCol w:w="1852"/>
        <w:gridCol w:w="686"/>
        <w:gridCol w:w="755"/>
        <w:gridCol w:w="2425"/>
      </w:tblGrid>
      <w:tr>
        <w:trPr/>
        <w:tc>
          <w:tcPr>
            <w:tcW w:w="321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left"/>
              <w:rPr/>
            </w:pPr>
            <w:r>
              <w:rPr/>
              <w:t>​</w:t>
            </w:r>
          </w:p>
        </w:tc>
        <w:tc>
          <w:tcPr>
            <w:tcW w:w="1852"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c>
          <w:tcPr>
            <w:tcW w:w="2425" w:type="dxa"/>
            <w:tcBorders/>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Cumulative Amount of Fair Value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Line item in the statement of financial</w:t>
            </w:r>
          </w:p>
        </w:tc>
        <w:tc>
          <w:tcPr>
            <w:tcW w:w="26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Hedging Adjustment Included in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position in which the hedged Item is</w:t>
            </w:r>
          </w:p>
        </w:tc>
        <w:tc>
          <w:tcPr>
            <w:tcW w:w="266" w:type="dxa"/>
            <w:tcBorders/>
            <w:vAlign w:val="center"/>
          </w:tcPr>
          <w:p>
            <w:pPr>
              <w:pStyle w:val="TableContents"/>
              <w:bidi w:val="0"/>
              <w:spacing w:before="0" w:after="0"/>
              <w:ind w:left="0" w:right="0" w:hanging="0"/>
              <w:jc w:val="left"/>
              <w:rPr/>
            </w:pPr>
            <w:r>
              <w:rPr/>
              <w:t>​</w:t>
            </w:r>
          </w:p>
        </w:tc>
        <w:tc>
          <w:tcPr>
            <w:tcW w:w="2430"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Carrying Amount of the      </w:t>
            </w:r>
          </w:p>
        </w:tc>
        <w:tc>
          <w:tcPr>
            <w:tcW w:w="686" w:type="dxa"/>
            <w:tcBorders/>
            <w:vAlign w:val="center"/>
          </w:tcPr>
          <w:p>
            <w:pPr>
              <w:pStyle w:val="TableContents"/>
              <w:bidi w:val="0"/>
              <w:spacing w:before="0" w:after="0"/>
              <w:ind w:left="0" w:right="0" w:hanging="0"/>
              <w:jc w:val="left"/>
              <w:rPr/>
            </w:pPr>
            <w:r>
              <w:rPr/>
              <w:t>​</w:t>
            </w:r>
          </w:p>
        </w:tc>
        <w:tc>
          <w:tcPr>
            <w:tcW w:w="3180"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sz w:val="20"/>
              </w:rPr>
              <w:t xml:space="preserve">the Carrying Amount of the  </w:t>
            </w:r>
          </w:p>
        </w:tc>
      </w:tr>
      <w:tr>
        <w:trPr/>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included</w:t>
            </w:r>
          </w:p>
        </w:tc>
        <w:tc>
          <w:tcPr>
            <w:tcW w:w="266" w:type="dxa"/>
            <w:tcBorders/>
            <w:vAlign w:val="center"/>
          </w:tcPr>
          <w:p>
            <w:pPr>
              <w:pStyle w:val="TableContents"/>
              <w:bidi w:val="0"/>
              <w:spacing w:before="0" w:after="0"/>
              <w:ind w:left="0" w:right="0" w:hanging="0"/>
              <w:jc w:val="left"/>
              <w:rPr/>
            </w:pPr>
            <w:r>
              <w:rPr/>
              <w:t>   </w:t>
            </w:r>
          </w:p>
        </w:tc>
        <w:tc>
          <w:tcPr>
            <w:tcW w:w="24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Hedged Assets</w:t>
            </w:r>
          </w:p>
        </w:tc>
        <w:tc>
          <w:tcPr>
            <w:tcW w:w="686" w:type="dxa"/>
            <w:tcBorders/>
            <w:vAlign w:val="center"/>
          </w:tcPr>
          <w:p>
            <w:pPr>
              <w:pStyle w:val="TableContents"/>
              <w:bidi w:val="0"/>
              <w:spacing w:before="0" w:after="0"/>
              <w:ind w:left="0" w:right="0" w:hanging="0"/>
              <w:jc w:val="left"/>
              <w:rPr/>
            </w:pPr>
            <w:r>
              <w:rPr/>
              <w:t>          </w:t>
            </w:r>
          </w:p>
        </w:tc>
        <w:tc>
          <w:tcPr>
            <w:tcW w:w="3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Hedged Assets </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2023</w:t>
            </w:r>
          </w:p>
        </w:tc>
        <w:tc>
          <w:tcPr>
            <w:tcW w:w="266"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center"/>
              <w:rPr/>
            </w:pPr>
            <w:r>
              <w:rPr/>
              <w:t>​</w:t>
            </w:r>
          </w:p>
        </w:tc>
        <w:tc>
          <w:tcPr>
            <w:tcW w:w="1852" w:type="dxa"/>
            <w:tcBorders/>
            <w:vAlign w:val="center"/>
          </w:tcPr>
          <w:p>
            <w:pPr>
              <w:pStyle w:val="TableContents"/>
              <w:bidi w:val="0"/>
              <w:spacing w:before="0" w:after="0"/>
              <w:ind w:left="0" w:right="0" w:hanging="0"/>
              <w:jc w:val="center"/>
              <w:rPr/>
            </w:pPr>
            <w:r>
              <w:rPr/>
              <w:t>​</w:t>
            </w:r>
          </w:p>
        </w:tc>
        <w:tc>
          <w:tcPr>
            <w:tcW w:w="68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center"/>
              <w:rPr/>
            </w:pPr>
            <w:r>
              <w:rPr/>
              <w:t>​</w:t>
            </w:r>
          </w:p>
        </w:tc>
        <w:tc>
          <w:tcPr>
            <w:tcW w:w="2425" w:type="dxa"/>
            <w:tcBorders/>
            <w:vAlign w:val="center"/>
          </w:tcPr>
          <w:p>
            <w:pPr>
              <w:pStyle w:val="TableContents"/>
              <w:bidi w:val="0"/>
              <w:spacing w:before="0" w:after="0"/>
              <w:ind w:left="0" w:right="0" w:hanging="0"/>
              <w:jc w:val="center"/>
              <w:rPr/>
            </w:pPr>
            <w:r>
              <w:rPr/>
              <w:t>​</w:t>
            </w:r>
          </w:p>
        </w:tc>
      </w:tr>
      <w:tr>
        <w:trPr/>
        <w:tc>
          <w:tcPr>
            <w:tcW w:w="32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 securities </w:t>
            </w:r>
            <w:r>
              <w:rPr>
                <w:rFonts w:ascii="Times New Roman;Times;serif" w:hAnsi="Times New Roman;Times;serif"/>
                <w:sz w:val="15"/>
              </w:rPr>
              <w:t>(1)</w:t>
            </w:r>
          </w:p>
        </w:tc>
        <w:tc>
          <w:tcPr>
            <w:tcW w:w="266" w:type="dxa"/>
            <w:tcBorders/>
            <w:shd w:fill="CCEEFF" w:val="clear"/>
            <w:vAlign w:val="center"/>
          </w:tcPr>
          <w:p>
            <w:pPr>
              <w:pStyle w:val="TableContents"/>
              <w:bidi w:val="0"/>
              <w:spacing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55,833</w:t>
            </w:r>
          </w:p>
        </w:tc>
        <w:tc>
          <w:tcPr>
            <w:tcW w:w="686" w:type="dxa"/>
            <w:tcBorders/>
            <w:shd w:fill="CCEEFF" w:val="cle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66" w:type="dxa"/>
            <w:tcBorders/>
            <w:vAlign w:val="center"/>
          </w:tcPr>
          <w:p>
            <w:pPr>
              <w:pStyle w:val="TableContents"/>
              <w:bidi w:val="0"/>
              <w:spacing w:before="0" w:after="0"/>
              <w:ind w:left="0" w:right="0" w:hanging="0"/>
              <w:jc w:val="left"/>
              <w:rPr/>
            </w:pPr>
            <w:r>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55,833</w:t>
            </w:r>
          </w:p>
        </w:tc>
        <w:tc>
          <w:tcPr>
            <w:tcW w:w="686" w:type="dxa"/>
            <w:tcBorders/>
            <w:vAlign w:val="center"/>
          </w:tcPr>
          <w:p>
            <w:pPr>
              <w:pStyle w:val="TableContents"/>
              <w:bidi w:val="0"/>
              <w:spacing w:before="0" w:after="0"/>
              <w:ind w:left="0" w:right="0" w:hanging="0"/>
              <w:jc w:val="left"/>
              <w:rPr/>
            </w:pPr>
            <w:r>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4,167</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left"/>
              <w:rPr/>
            </w:pPr>
            <w:r>
              <w:rPr/>
              <w:t>​</w:t>
            </w:r>
          </w:p>
        </w:tc>
        <w:tc>
          <w:tcPr>
            <w:tcW w:w="1852"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left"/>
              <w:rPr/>
            </w:pPr>
            <w:r>
              <w:rPr/>
              <w:t>​</w:t>
            </w:r>
          </w:p>
        </w:tc>
        <w:tc>
          <w:tcPr>
            <w:tcW w:w="2425" w:type="dxa"/>
            <w:tcBorders/>
            <w:shd w:fill="CCEEFF" w:val="clear"/>
            <w:vAlign w:val="center"/>
          </w:tcPr>
          <w:p>
            <w:pPr>
              <w:pStyle w:val="TableContents"/>
              <w:bidi w:val="0"/>
              <w:spacing w:before="0" w:after="0"/>
              <w:ind w:left="0" w:right="0" w:hanging="0"/>
              <w:jc w:val="lef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266"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left"/>
              <w:rPr/>
            </w:pPr>
            <w:r>
              <w:rPr/>
              <w:t>​</w:t>
            </w:r>
          </w:p>
        </w:tc>
        <w:tc>
          <w:tcPr>
            <w:tcW w:w="1852"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c>
          <w:tcPr>
            <w:tcW w:w="2425" w:type="dxa"/>
            <w:tcBorders/>
            <w:vAlign w:val="center"/>
          </w:tcPr>
          <w:p>
            <w:pPr>
              <w:pStyle w:val="TableContents"/>
              <w:bidi w:val="0"/>
              <w:spacing w:before="0" w:after="0"/>
              <w:ind w:left="0" w:right="0" w:hanging="0"/>
              <w:jc w:val="left"/>
              <w:rPr/>
            </w:pPr>
            <w:r>
              <w:rPr/>
              <w:t>​</w:t>
            </w:r>
          </w:p>
        </w:tc>
      </w:tr>
      <w:tr>
        <w:trPr/>
        <w:tc>
          <w:tcPr>
            <w:tcW w:w="32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Investment securities </w:t>
            </w:r>
            <w:r>
              <w:rPr>
                <w:rFonts w:ascii="Times New Roman;Times;serif" w:hAnsi="Times New Roman;Times;serif"/>
                <w:sz w:val="15"/>
              </w:rPr>
              <w:t>(1)</w:t>
            </w:r>
          </w:p>
        </w:tc>
        <w:tc>
          <w:tcPr>
            <w:tcW w:w="266" w:type="dxa"/>
            <w:tcBorders/>
            <w:shd w:fill="CCEEFF" w:val="clear"/>
            <w:vAlign w:val="center"/>
          </w:tcPr>
          <w:p>
            <w:pPr>
              <w:pStyle w:val="TableContents"/>
              <w:bidi w:val="0"/>
              <w:spacing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55,893</w:t>
            </w:r>
          </w:p>
        </w:tc>
        <w:tc>
          <w:tcPr>
            <w:tcW w:w="686" w:type="dxa"/>
            <w:tcBorders/>
            <w:shd w:fill="CCEEFF" w:val="cle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4,107</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266" w:type="dxa"/>
            <w:tcBorders/>
            <w:vAlign w:val="center"/>
          </w:tcPr>
          <w:p>
            <w:pPr>
              <w:pStyle w:val="TableContents"/>
              <w:bidi w:val="0"/>
              <w:spacing w:before="0" w:after="0"/>
              <w:ind w:left="0" w:right="0" w:hanging="0"/>
              <w:jc w:val="left"/>
              <w:rPr/>
            </w:pPr>
            <w:r>
              <w:rPr/>
              <w:t>​</w:t>
            </w:r>
          </w:p>
        </w:tc>
        <w:tc>
          <w:tcPr>
            <w:tcW w:w="57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55,893</w:t>
            </w:r>
          </w:p>
        </w:tc>
        <w:tc>
          <w:tcPr>
            <w:tcW w:w="686" w:type="dxa"/>
            <w:tcBorders/>
            <w:vAlign w:val="center"/>
          </w:tcPr>
          <w:p>
            <w:pPr>
              <w:pStyle w:val="TableContents"/>
              <w:bidi w:val="0"/>
              <w:spacing w:before="0" w:after="0"/>
              <w:ind w:left="0" w:right="0" w:hanging="0"/>
              <w:jc w:val="left"/>
              <w:rPr/>
            </w:pPr>
            <w:r>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2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4,107</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color w:val="212529"/>
                <w:sz w:val="20"/>
              </w:rPr>
            </w:pPr>
            <w:r>
              <w:rPr>
                <w:rFonts w:ascii="Times New Roman;Times;serif" w:hAnsi="Times New Roman;Times;serif"/>
                <w:color w:val="212529"/>
                <w:sz w:val="20"/>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12529"/>
                <w:sz w:val="20"/>
              </w:rPr>
              <w:t>These amounts include the amortized cost basis of closed portfolios used in designated hedging relationships in which the hedged item is the last layer expected to be remaining at the end of the hedging relationship.  At June 30, 2023, the amortized cost basis of the closed portfolios used in these hedging relationships was $240.1</w:t>
            </w:r>
            <w:r>
              <w:rPr>
                <w:caps w:val="false"/>
                <w:smallCaps w:val="false"/>
                <w:color w:val="212529"/>
              </w:rPr>
              <w:t xml:space="preserve"> </w:t>
            </w:r>
            <w:r>
              <w:rPr>
                <w:rFonts w:ascii="Times New Roman;Times;serif" w:hAnsi="Times New Roman;Times;serif"/>
                <w:b w:val="false"/>
                <w:i w:val="false"/>
                <w:caps w:val="false"/>
                <w:smallCaps w:val="false"/>
                <w:color w:val="212529"/>
                <w:sz w:val="20"/>
              </w:rPr>
              <w:t>million; the cumulative basis adjustments associated with these hedging relationships was $4.2 million; and the amounts of the designated hedged items was $60.0 million.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3233" w:name="Tc_6uKhHY--OkioGtUg-_Ltaw_15_12"/>
      <w:bookmarkStart w:id="3234" w:name="Tc_ome4TnG4_EWVc7zduK8PrA_15_11"/>
      <w:bookmarkStart w:id="3235" w:name="Tc_SdyzQnY4aUqm6FSl9C3vUQ_15_8"/>
      <w:bookmarkStart w:id="3236" w:name="Tc_cGUzZBoIski81ZfM0mPjDQ_15_6"/>
      <w:bookmarkStart w:id="3237" w:name="Tc_cnKY4T--BES8GYAtegKFRQ_15_5"/>
      <w:bookmarkStart w:id="3238" w:name="Tc_bY2pvVbEd0qmDuYmWpZRoA_15_2"/>
      <w:bookmarkStart w:id="3239" w:name="Tc_3vrxJYUUu0erZUroMC94fA_15_0"/>
      <w:bookmarkStart w:id="3240" w:name="Tc_I4xtocOcrEewvn9rXzbh7A_14_12"/>
      <w:bookmarkStart w:id="3241" w:name="Tc_H4kE__nUVkihuAQI0sFu7A_14_11"/>
      <w:bookmarkStart w:id="3242" w:name="Tc_KkR5zf62FEW6Bcrcadnx0A_14_8"/>
      <w:bookmarkStart w:id="3243" w:name="Tc_fAOMkey29EOAUPQZxAYqig_14_6"/>
      <w:bookmarkStart w:id="3244" w:name="Tc_n6p5q8dYhUmIouONxC-Y1Q_14_5"/>
      <w:bookmarkStart w:id="3245" w:name="Tc_fJKWOUYGL0qEIa5kgVDKZQ_14_2"/>
      <w:bookmarkStart w:id="3246" w:name="Tc_53IZmHpiBUCkT5i0dhuVvg_14_0"/>
      <w:bookmarkStart w:id="3247" w:name="Tc_Xmo5u1qvlE-93bhRpzQ8qw_13_0"/>
      <w:bookmarkStart w:id="3248" w:name="Tc_FthsIRoR7E66XgB881sHuw_12_0"/>
      <w:bookmarkStart w:id="3249" w:name="Tc_cbNllMgan0qgY4RWybupqw_11_11"/>
      <w:bookmarkStart w:id="3250" w:name="Tc_UNfwQcGm-U6LYtPEqBELdA_11_9"/>
      <w:bookmarkStart w:id="3251" w:name="Tc_KbGdt3TKkkaYCCzR1MFPUw_11_8"/>
      <w:bookmarkStart w:id="3252" w:name="Tc_ebhOfRNbvE-PxcS1aV3_Yw_11_5"/>
      <w:bookmarkStart w:id="3253" w:name="Tc_b6G6l6fjvECOmzB74FhHIg_11_3"/>
      <w:bookmarkStart w:id="3254" w:name="Tc_Ccjo9DUX-k-7hRLYoxDg_Q_11_2"/>
      <w:bookmarkStart w:id="3255" w:name="Tc_CsqBfaA1J0KUznjNPthejQ_11_0"/>
      <w:bookmarkStart w:id="3256" w:name="Tc_0wuejpWgkkyXSnl2X33EAQ_10_9"/>
      <w:bookmarkStart w:id="3257" w:name="Tc_a-x-JF0jHkGVVBYhBMYTaQ_10_3"/>
      <w:bookmarkStart w:id="3258" w:name="Tc_7v1pITYwZUiKKzPwK5uypA_10_0"/>
      <w:bookmarkStart w:id="3259" w:name="Tc_-SK4OKnWq0yEhtcsigBpVQ_9_9"/>
      <w:bookmarkStart w:id="3260" w:name="Tc_iETntMY-lU-s__dU6ObKzA_9_3"/>
      <w:bookmarkStart w:id="3261" w:name="Tc_gqXtJ8KL60etgmVWmQDf7w_9_0"/>
      <w:bookmarkStart w:id="3262" w:name="Tc_jHvHcGF3DU6MukPaQlUEBw_8_0"/>
      <w:bookmarkStart w:id="3263" w:name="Tc_rwhE96bRCECvqVFdJJp3Ow_7_0"/>
      <w:bookmarkStart w:id="3264" w:name="Tc_uT_3AAYvkkiKQiTsGuX-eA_6_11"/>
      <w:bookmarkStart w:id="3265" w:name="Tc_aBZxB8nMUkWXS19MGijKjQ_6_8"/>
      <w:bookmarkStart w:id="3266" w:name="Tc_t6V6xFki00Oj-j9jw6TgUQ_6_5"/>
      <w:bookmarkStart w:id="3267" w:name="Tc_KlemSrmY3Eu7_Hxe-1xppA_6_2"/>
      <w:bookmarkStart w:id="3268" w:name="Tc_xuhgjXdYr0WMk2Glo6xqsw_6_0"/>
      <w:bookmarkStart w:id="3269" w:name="Tc_3qyuW-rGL0agfXzFVBkTOA_5_11"/>
      <w:bookmarkStart w:id="3270" w:name="Tc_LSRTTPfep02cTtZz_igk9A_5_8"/>
      <w:bookmarkStart w:id="3271" w:name="Tc_vAgKhUIu402GGiQLWvVWvg_5_5"/>
      <w:bookmarkStart w:id="3272" w:name="Tc_IopINv27CUG5PSa-oy40LQ_5_2"/>
      <w:bookmarkStart w:id="3273" w:name="Tc_veuS-aIbUE2582fCtwIDQA_4_11"/>
      <w:bookmarkStart w:id="3274" w:name="Tc_rI30Lot2hUyBJauKUBYl7w_4_8"/>
      <w:bookmarkStart w:id="3275" w:name="Tc_ucZxWmtUhUy2sMj1anZSUg_4_5"/>
      <w:bookmarkStart w:id="3276" w:name="Tc_6vNHmpx_yE-KNyg01tP8pg_4_2"/>
      <w:bookmarkStart w:id="3277" w:name="Tc_rjfY_RSJE0-nFfdWK2lbpQ_3_11"/>
      <w:bookmarkStart w:id="3278" w:name="Tc_QLifRhyt_kW4tLNAOpqWvg_3_8"/>
      <w:bookmarkStart w:id="3279" w:name="Tc_FkP4ZSzA1USxx4TOAGS0uA_3_5"/>
      <w:bookmarkStart w:id="3280" w:name="Tc_TD7S_-igYkGdJKMFrBs5_A_3_2"/>
      <w:bookmarkStart w:id="3281" w:name="Tc_AvYqv_r41UGMeQss9hjxwQ_2_8"/>
      <w:bookmarkStart w:id="3282" w:name="Tc_k6FyLAVHIUSGPOKYcFiJbg_2_2"/>
      <w:bookmarkStart w:id="3283" w:name="Tc_Us6UDhEZF02QsvPb4Nv_4Q_1_2"/>
      <w:bookmarkStart w:id="3284" w:name="_3a90791c_e288_4590_bc30_5f02d9e856fb"/>
      <w:bookmarkStart w:id="3285" w:name="Tc_omiy77dfxEmrkp7hfPaFnw_10_9"/>
      <w:bookmarkStart w:id="3286" w:name="Tc_8I_H9ax60U6y7yJ2lpCuiw_10_0"/>
      <w:bookmarkStart w:id="3287" w:name="Tc_BkbaszVz80SF3OzOCOD3qg_9_6"/>
      <w:bookmarkStart w:id="3288" w:name="Tc_3aYGV88cMkqaLPTGxkMctw_9_0"/>
      <w:bookmarkStart w:id="3289" w:name="Tc_k-uZ_SjbpEu4qGuqtIoFzg_8_9"/>
      <w:bookmarkStart w:id="3290" w:name="Tc_u4SsdlB5REq2ypmXQxSIOw_8_0"/>
      <w:bookmarkStart w:id="3291" w:name="Tc_vG_s7AcXS0u4-uLsjn8v4A_7_0"/>
      <w:bookmarkStart w:id="3292" w:name="Tc_cbFCIT1xGU22hbH3vK3Hrg_6_9"/>
      <w:bookmarkStart w:id="3293" w:name="Tc_ROW7RJzP-0-ojPHb1XaiwQ_6_0"/>
      <w:bookmarkStart w:id="3294" w:name="Tc_qY0kLZhoSUqDkuWQaFfB5w_5_0"/>
      <w:bookmarkStart w:id="3295" w:name="Tc_-hXYe9qKTE-iAkglx2865g_4_9"/>
      <w:bookmarkStart w:id="3296" w:name="Tc_GxGWnLK1FECkOmsZgYcKAg_4_8"/>
      <w:bookmarkStart w:id="3297" w:name="Tc_mZSyIJsB_k6BKaAnNyW1JA_4_5"/>
      <w:bookmarkStart w:id="3298" w:name="Tc_xM8wbtytykWhk_bVRYxePA_4_2"/>
      <w:bookmarkStart w:id="3299" w:name="Tc_-vbtXVO6K0uCR36uptfoDg_4_0"/>
      <w:bookmarkStart w:id="3300" w:name="Tc_RJT-wi3UD0C5pwqARlfHaQ_3_8"/>
      <w:bookmarkStart w:id="3301" w:name="Tc_zA0t2Z2O_k6uHFM0ZitJhQ_3_5"/>
      <w:bookmarkStart w:id="3302" w:name="Tc_mWWGZpBhNEi18wM1kPJ4uw_3_2"/>
      <w:bookmarkStart w:id="3303" w:name="Tc_W51MVR-lb02MS55Pn3Fg4g_3_0"/>
      <w:bookmarkStart w:id="3304" w:name="Tc_x709RRu3WEW7WaJnmyMdBQ_2_5"/>
      <w:bookmarkStart w:id="3305" w:name="Tc_yBpI-oD5p0WIoSzPTvmJPg_1_2"/>
      <w:bookmarkStart w:id="3306" w:name="_ea54a542_ce22_4b34_8f43_f022e55b9ca7"/>
      <w:bookmarkStart w:id="3307" w:name="Tc_xJL8SYa5PkKwWAXKtbHgDw_12_9"/>
      <w:bookmarkStart w:id="3308" w:name="Tc_a8qdhWBcFUOpnqhr9SUbIg_12_0"/>
      <w:bookmarkStart w:id="3309" w:name="Tc_cqdW-_FPkEWoHIIZi4vOTw_11_6"/>
      <w:bookmarkStart w:id="3310" w:name="Tc_B6goy4l2qEOg2Hch_8kZtA_11_0"/>
      <w:bookmarkStart w:id="3311" w:name="Tc_EeBTC1AqH06FcvY1d7eemA_10_9"/>
      <w:bookmarkStart w:id="3312" w:name="Tc__UPkOO-ysU2Ilh8SUnqFwg_10_0"/>
      <w:bookmarkStart w:id="3313" w:name="Tc_OA9QVxcDP0WtS7M4-fMhDQ_9_9"/>
      <w:bookmarkStart w:id="3314" w:name="Tc_aqYqLMShlEOvmmF00znsZg_9_0"/>
      <w:bookmarkStart w:id="3315" w:name="Tc_4wToCKc8OEGQaMLlrD5yGQ_8_9"/>
      <w:bookmarkStart w:id="3316" w:name="Tc_4k1sZA_sI0eckGvys4JAoQ_8_0"/>
      <w:bookmarkStart w:id="3317" w:name="Tc_J2yQax5HXkquBeGh2eDtjw_7_0"/>
      <w:bookmarkStart w:id="3318" w:name="Tc_FKC8BZwWKUiHgoqEuXUmvw_6_9"/>
      <w:bookmarkStart w:id="3319" w:name="Tc_xQnE6raoL0Gfz-ZyOVOgdg_6_0"/>
      <w:bookmarkStart w:id="3320" w:name="Tc_084C7KhCxU2WMAdGishtJA_5_0"/>
      <w:bookmarkStart w:id="3321" w:name="Tc_qtk62aHQVkSgveYGp4hodw_4_9"/>
      <w:bookmarkStart w:id="3322" w:name="Tc_rH5x1CKZqku1tFBFxa4voQ_4_8"/>
      <w:bookmarkStart w:id="3323" w:name="Tc_MW2b1qexdE2vGXlpwkicuQ_4_5"/>
      <w:bookmarkStart w:id="3324" w:name="Tc_Z2yL9Bo6Wk6-733j-W7PIw_4_2"/>
      <w:bookmarkStart w:id="3325" w:name="Tc_2pJ_ewIzG06JO2SchnWsxw_4_0"/>
      <w:bookmarkStart w:id="3326" w:name="Tc_pywAqFaQ5U6aB2W1wbU7vw_3_8"/>
      <w:bookmarkStart w:id="3327" w:name="Tc_Nt0L5q4APkSz9DW555Yobg_3_5"/>
      <w:bookmarkStart w:id="3328" w:name="Tc_g2zYa4zn806dvHDIZswixg_3_2"/>
      <w:bookmarkStart w:id="3329" w:name="Tc_0xWoqMjN0kaTgbgNWYx8mg_3_0"/>
      <w:bookmarkStart w:id="3330" w:name="Tc_lyQz22ly4EKqWVAomyxu0Q_2_5"/>
      <w:bookmarkStart w:id="3331" w:name="Tc_KfvhBgQX80qoDr6ai-mKVg_1_2"/>
      <w:bookmarkStart w:id="3332" w:name="_ed7c4e20_50a0_4180_8781_3e6510afd3af"/>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r>
        <w:rPr>
          <w:rFonts w:ascii="Times New Roman;Times;serif" w:hAnsi="Times New Roman;Times;serif"/>
          <w:sz w:val="20"/>
        </w:rPr>
        <w:t>The following tables summarize the Company’s derivative instruments at the dates indicated. The Company has master netting agreements with derivative dealers with which it does business, but reflects gross assets and liabilities as “Other assets” and “Other liabilities,” respectively, on the Consolidated Balance Sheets, as follows:</w:t>
      </w:r>
    </w:p>
    <w:p>
      <w:pPr>
        <w:pStyle w:val="TextBody"/>
        <w:bidi w:val="0"/>
        <w:spacing w:before="0" w:after="0"/>
        <w:ind w:left="0" w:right="0" w:hanging="0"/>
        <w:jc w:val="left"/>
        <w:rPr/>
      </w:pPr>
      <w:r>
        <w:rPr/>
        <w:t>​</w:t>
      </w:r>
    </w:p>
    <w:tbl>
      <w:tblPr>
        <w:tblW w:w="8859" w:type="dxa"/>
        <w:jc w:val="left"/>
        <w:tblInd w:w="0" w:type="dxa"/>
        <w:tblLayout w:type="fixed"/>
        <w:tblCellMar>
          <w:top w:w="0" w:type="dxa"/>
          <w:left w:w="0" w:type="dxa"/>
          <w:bottom w:w="0" w:type="dxa"/>
          <w:right w:w="0" w:type="dxa"/>
        </w:tblCellMar>
      </w:tblPr>
      <w:tblGrid>
        <w:gridCol w:w="5236"/>
        <w:gridCol w:w="326"/>
        <w:gridCol w:w="211"/>
        <w:gridCol w:w="781"/>
        <w:gridCol w:w="326"/>
        <w:gridCol w:w="211"/>
        <w:gridCol w:w="571"/>
        <w:gridCol w:w="326"/>
        <w:gridCol w:w="277"/>
        <w:gridCol w:w="594"/>
      </w:tblGrid>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29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7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Notional</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w:t>
            </w:r>
          </w:p>
        </w:tc>
        <w:tc>
          <w:tcPr>
            <w:tcW w:w="326" w:type="dxa"/>
            <w:tcBorders/>
            <w:vAlign w:val="center"/>
          </w:tcPr>
          <w:p>
            <w:pPr>
              <w:pStyle w:val="TableContents"/>
              <w:bidi w:val="0"/>
              <w:spacing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 brokered deposits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180,000</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7,361</w:t>
            </w:r>
          </w:p>
        </w:tc>
        <w:tc>
          <w:tcPr>
            <w:tcW w:w="32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hedges: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 securities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Non-hedging derivatives: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center"/>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Fallout adjusted interest rate lock commitments with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swap positions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Dealer offsets to customer swap positions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874" w:type="dxa"/>
        <w:jc w:val="left"/>
        <w:tblInd w:w="0" w:type="dxa"/>
        <w:tblLayout w:type="fixed"/>
        <w:tblCellMar>
          <w:top w:w="0" w:type="dxa"/>
          <w:left w:w="0" w:type="dxa"/>
          <w:bottom w:w="0" w:type="dxa"/>
          <w:right w:w="0" w:type="dxa"/>
        </w:tblCellMar>
      </w:tblPr>
      <w:tblGrid>
        <w:gridCol w:w="5236"/>
        <w:gridCol w:w="326"/>
        <w:gridCol w:w="211"/>
        <w:gridCol w:w="676"/>
        <w:gridCol w:w="386"/>
        <w:gridCol w:w="211"/>
        <w:gridCol w:w="571"/>
        <w:gridCol w:w="386"/>
        <w:gridCol w:w="277"/>
        <w:gridCol w:w="594"/>
      </w:tblGrid>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31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52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w:t>
            </w:r>
          </w:p>
        </w:tc>
        <w:tc>
          <w:tcPr>
            <w:tcW w:w="20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 hedges:</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Notional</w:t>
            </w:r>
          </w:p>
        </w:tc>
        <w:tc>
          <w:tcPr>
            <w:tcW w:w="38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Asset</w:t>
            </w:r>
          </w:p>
        </w:tc>
        <w:tc>
          <w:tcPr>
            <w:tcW w:w="386" w:type="dxa"/>
            <w:tcBorders/>
            <w:vAlign w:val="center"/>
          </w:tcPr>
          <w:p>
            <w:pPr>
              <w:pStyle w:val="TableContents"/>
              <w:bidi w:val="0"/>
              <w:spacing w:before="0" w:after="0"/>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 brokered deposits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90,000</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5,780</w:t>
            </w:r>
          </w:p>
        </w:tc>
        <w:tc>
          <w:tcPr>
            <w:tcW w:w="38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hedges:</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center"/>
              <w:rPr/>
            </w:pPr>
            <w:r>
              <w:rPr/>
              <w:t>​</w:t>
            </w:r>
          </w:p>
        </w:tc>
        <w:tc>
          <w:tcPr>
            <w:tcW w:w="277"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 - securities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60,000</w:t>
            </w:r>
          </w:p>
        </w:tc>
        <w:tc>
          <w:tcPr>
            <w:tcW w:w="38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4,090</w:t>
            </w:r>
          </w:p>
        </w:tc>
        <w:tc>
          <w:tcPr>
            <w:tcW w:w="38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Non-hedging derivatives:</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left"/>
              <w:rPr/>
            </w:pPr>
            <w:r>
              <w:rPr/>
              <w:t>​</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Fallout adjusted interest rate lock commitments with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8,837</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8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pPr>
            <w:r>
              <w:rPr/>
              <w:t>—</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4,558</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27,000</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8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12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The following table summarizes the effect of fair value and cash flow hedge accounting on the Consolidated Statements of Income for the three and six months ended June 30, 2023 and 2022:</w:t>
      </w:r>
    </w:p>
    <w:p>
      <w:pPr>
        <w:pStyle w:val="TextBody"/>
        <w:bidi w:val="0"/>
        <w:spacing w:before="0" w:after="0"/>
        <w:ind w:left="0" w:right="0" w:hanging="0"/>
        <w:jc w:val="left"/>
        <w:rPr/>
      </w:pPr>
      <w:r>
        <w:rPr/>
        <w:t>​</w:t>
      </w:r>
    </w:p>
    <w:tbl>
      <w:tblPr>
        <w:tblW w:w="9890" w:type="dxa"/>
        <w:jc w:val="left"/>
        <w:tblInd w:w="0" w:type="dxa"/>
        <w:tblLayout w:type="fixed"/>
        <w:tblCellMar>
          <w:top w:w="0" w:type="dxa"/>
          <w:left w:w="0" w:type="dxa"/>
          <w:bottom w:w="0" w:type="dxa"/>
          <w:right w:w="0" w:type="dxa"/>
        </w:tblCellMar>
      </w:tblPr>
      <w:tblGrid>
        <w:gridCol w:w="5596"/>
        <w:gridCol w:w="206"/>
        <w:gridCol w:w="218"/>
        <w:gridCol w:w="593"/>
        <w:gridCol w:w="206"/>
        <w:gridCol w:w="211"/>
        <w:gridCol w:w="691"/>
        <w:gridCol w:w="206"/>
        <w:gridCol w:w="218"/>
        <w:gridCol w:w="593"/>
        <w:gridCol w:w="206"/>
        <w:gridCol w:w="241"/>
        <w:gridCol w:w="705"/>
      </w:tblGrid>
      <w:tr>
        <w:trPr/>
        <w:tc>
          <w:tcPr>
            <w:tcW w:w="5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3553460" cy="175260"/>
                      <wp:effectExtent l="0" t="0" r="0" b="0"/>
                      <wp:wrapNone/>
                      <wp:docPr id="378" name="Frame378"/>
                      <a:graphic xmlns:a="http://schemas.openxmlformats.org/drawingml/2006/main">
                        <a:graphicData uri="http://schemas.microsoft.com/office/word/2010/wordprocessingShape">
                          <wps:wsp>
                            <wps:cNvSpPr txBox="1"/>
                            <wps:spPr>
                              <a:xfrm>
                                <a:off x="0" y="0"/>
                                <a:ext cx="355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0810" cy="175260"/>
                      <wp:effectExtent l="0" t="0" r="0" b="0"/>
                      <wp:wrapNone/>
                      <wp:docPr id="379" name="Frame37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8430" cy="175260"/>
                      <wp:effectExtent l="0" t="0" r="0" b="0"/>
                      <wp:wrapNone/>
                      <wp:docPr id="380" name="Frame38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76555" cy="175260"/>
                      <wp:effectExtent l="0" t="0" r="0" b="0"/>
                      <wp:wrapNone/>
                      <wp:docPr id="381" name="Frame381"/>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0810" cy="175260"/>
                      <wp:effectExtent l="0" t="0" r="0" b="0"/>
                      <wp:wrapNone/>
                      <wp:docPr id="382" name="Frame38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438785" cy="175260"/>
                      <wp:effectExtent l="0" t="0" r="0" b="0"/>
                      <wp:wrapNone/>
                      <wp:docPr id="384" name="Frame3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0810" cy="175260"/>
                      <wp:effectExtent l="0" t="0" r="0" b="0"/>
                      <wp:wrapNone/>
                      <wp:docPr id="385" name="Frame38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8430" cy="175260"/>
                      <wp:effectExtent l="0" t="0" r="0" b="0"/>
                      <wp:wrapNone/>
                      <wp:docPr id="386" name="Frame386"/>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76555" cy="175260"/>
                      <wp:effectExtent l="0" t="0" r="0" b="0"/>
                      <wp:wrapNone/>
                      <wp:docPr id="387" name="Frame387"/>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0810" cy="175260"/>
                      <wp:effectExtent l="0" t="0" r="0" b="0"/>
                      <wp:wrapNone/>
                      <wp:docPr id="388" name="Frame38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53035" cy="175260"/>
                      <wp:effectExtent l="0" t="0" r="0" b="0"/>
                      <wp:wrapNone/>
                      <wp:docPr id="389" name="Frame389"/>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447675" cy="175260"/>
                      <wp:effectExtent l="0" t="0" r="0" b="0"/>
                      <wp:wrapNone/>
                      <wp:docPr id="390" name="Frame390"/>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0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 June 30, </w:t>
            </w:r>
          </w:p>
        </w:tc>
      </w:tr>
      <w:tr>
        <w:trPr/>
        <w:tc>
          <w:tcPr>
            <w:tcW w:w="55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91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206" w:type="dxa"/>
            <w:tcBorders/>
            <w:vAlign w:val="center"/>
          </w:tcPr>
          <w:p>
            <w:pPr>
              <w:pStyle w:val="TableContents"/>
              <w:bidi w:val="0"/>
              <w:spacing w:before="0" w:after="0"/>
              <w:ind w:left="0" w:right="0" w:hanging="0"/>
              <w:jc w:val="center"/>
              <w:rPr/>
            </w:pPr>
            <w:r>
              <w:rPr/>
              <w:t>​</w:t>
            </w:r>
          </w:p>
        </w:tc>
        <w:tc>
          <w:tcPr>
            <w:tcW w:w="19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55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Interest </w:t>
            </w:r>
          </w:p>
        </w:tc>
        <w:tc>
          <w:tcPr>
            <w:tcW w:w="20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Interest </w:t>
            </w:r>
          </w:p>
        </w:tc>
        <w:tc>
          <w:tcPr>
            <w:tcW w:w="20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Interest </w:t>
            </w:r>
          </w:p>
        </w:tc>
        <w:tc>
          <w:tcPr>
            <w:tcW w:w="20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Interest </w:t>
            </w:r>
          </w:p>
        </w:tc>
      </w:tr>
      <w:tr>
        <w:trPr/>
        <w:tc>
          <w:tcPr>
            <w:tcW w:w="55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Expense</w:t>
            </w:r>
          </w:p>
        </w:tc>
        <w:tc>
          <w:tcPr>
            <w:tcW w:w="20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Income</w:t>
            </w:r>
          </w:p>
        </w:tc>
        <w:tc>
          <w:tcPr>
            <w:tcW w:w="20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Expense</w:t>
            </w:r>
          </w:p>
        </w:tc>
        <w:tc>
          <w:tcPr>
            <w:tcW w:w="20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Income</w:t>
            </w:r>
          </w:p>
        </w:tc>
      </w:tr>
      <w:tr>
        <w:trPr/>
        <w:tc>
          <w:tcPr>
            <w:tcW w:w="55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Deposits</w:t>
            </w:r>
          </w:p>
        </w:tc>
        <w:tc>
          <w:tcPr>
            <w:tcW w:w="20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w:t>
            </w:r>
          </w:p>
        </w:tc>
        <w:tc>
          <w:tcPr>
            <w:tcW w:w="206" w:type="dxa"/>
            <w:tcBorders/>
            <w:vAlign w:val="center"/>
          </w:tcPr>
          <w:p>
            <w:pPr>
              <w:pStyle w:val="TableContents"/>
              <w:bidi w:val="0"/>
              <w:spacing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Deposits</w:t>
            </w:r>
          </w:p>
        </w:tc>
        <w:tc>
          <w:tcPr>
            <w:tcW w:w="20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Total amounts presented on the Consolidated Statements of Income</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20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gains (losses) on fair value hedging relationships:</w:t>
            </w:r>
          </w:p>
        </w:tc>
        <w:tc>
          <w:tcPr>
            <w:tcW w:w="20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rate swaps - securities</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Recognized on hedged items</w:t>
            </w:r>
          </w:p>
        </w:tc>
        <w:tc>
          <w:tcPr>
            <w:tcW w:w="20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20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Recognized on derivatives designated as hedging instruments</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(expense) recognized on fair value hedges</w:t>
            </w:r>
          </w:p>
        </w:tc>
        <w:tc>
          <w:tcPr>
            <w:tcW w:w="20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20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gain on cash flow hedging relationships:</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705" w:type="dxa"/>
            <w:tcBorders/>
            <w:shd w:fill="CCEEFF" w:val="clear"/>
            <w:vAlign w:val="center"/>
          </w:tcPr>
          <w:p>
            <w:pPr>
              <w:pStyle w:val="TableContents"/>
              <w:bidi w:val="0"/>
              <w:spacing w:before="0" w:after="0"/>
              <w:ind w:left="0" w:right="0" w:hanging="0"/>
              <w:jc w:val="lef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Interest rate swaps - brokered deposits and borrowings</w:t>
            </w:r>
          </w:p>
        </w:tc>
        <w:tc>
          <w:tcPr>
            <w:tcW w:w="20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w:t>
            </w:r>
          </w:p>
        </w:tc>
        <w:tc>
          <w:tcPr>
            <w:tcW w:w="593"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705" w:type="dxa"/>
            <w:tcBorders/>
            <w:vAlign w:val="center"/>
          </w:tcPr>
          <w:p>
            <w:pPr>
              <w:pStyle w:val="TableContents"/>
              <w:bidi w:val="0"/>
              <w:spacing w:before="0" w:after="0"/>
              <w:ind w:left="0" w:right="0" w:hanging="0"/>
              <w:jc w:val="left"/>
              <w:rPr/>
            </w:pPr>
            <w:r>
              <w:rPr/>
              <w:t>​</w:t>
            </w:r>
          </w:p>
        </w:tc>
      </w:tr>
      <w:tr>
        <w:trPr/>
        <w:tc>
          <w:tcPr>
            <w:tcW w:w="559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Realized gains (pre-tax) reclassified from AOCI into net income</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0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59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 recognized on cash flow hedges</w:t>
            </w:r>
          </w:p>
        </w:tc>
        <w:tc>
          <w:tcPr>
            <w:tcW w:w="20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20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333" w:name="Tc_x8iuXAiC_U2yX5yn6qmduw_9_17"/>
      <w:bookmarkStart w:id="3334" w:name="Tc_T6hdaMsaBkq65TP926IqcQ_9_15"/>
      <w:bookmarkStart w:id="3335" w:name="Tc_Wrv14nN8pUOPvi-FlKp-mQ_9_14"/>
      <w:bookmarkStart w:id="3336" w:name="Tc_XF6oaB2V0kirsJSIftJdhg_9_12"/>
      <w:bookmarkStart w:id="3337" w:name="Tc_Ay85NibYrkS-0YCvnWHTrw_9_11"/>
      <w:bookmarkStart w:id="3338" w:name="Tc_7KJA1gQc4k-GfCvWs01nGQ_9_8"/>
      <w:bookmarkStart w:id="3339" w:name="Tc_4vbqFpw-Uk-TeCQT5TeJnQ_9_6"/>
      <w:bookmarkStart w:id="3340" w:name="Tc_-iAmdt4Qlk-glrkIPXhSlw_9_5"/>
      <w:bookmarkStart w:id="3341" w:name="Tc_FlNv7e_2o0CCC6NxPJVogg_9_2"/>
      <w:bookmarkStart w:id="3342" w:name="Tc_yWCB12eRI0WJHewQv-lsvQ_9_0"/>
      <w:bookmarkStart w:id="3343" w:name="Tc_RyFx5IL1EUqg2COv_nv6yw_8_0"/>
      <w:bookmarkStart w:id="3344" w:name="Tc_zMjuZuyP502LAEKT2OdIBg_6_17"/>
      <w:bookmarkStart w:id="3345" w:name="Tc_zIdeZMQqNkmChI5paZ8rhQ_6_15"/>
      <w:bookmarkStart w:id="3346" w:name="Tc_gwOQnM7XWUuvJ7_7qOlEGA_6_14"/>
      <w:bookmarkStart w:id="3347" w:name="Tc_fb4BGyoLjEmOyNeffMSiUQ_6_12"/>
      <w:bookmarkStart w:id="3348" w:name="Tc_G5vKps7itEudeglHZVvQng_6_11"/>
      <w:bookmarkStart w:id="3349" w:name="Tc_vgaAyoSWQEm7W6rB2D42YA_6_8"/>
      <w:bookmarkStart w:id="3350" w:name="Tc_ApLsunX9OEu5XJh7QSDqoQ_6_6"/>
      <w:bookmarkStart w:id="3351" w:name="Tc_0xgCXAOUzUe-m6qQpiMtxA_6_5"/>
      <w:bookmarkStart w:id="3352" w:name="Tc_MalMtIkGLUuyCSCiJc0MYA_6_2"/>
      <w:bookmarkStart w:id="3353" w:name="Tc_gfo01JrHNEOEd3Be7AfMIw_6_0"/>
      <w:bookmarkStart w:id="3354" w:name="Tc_5WuH8JMUw0q0NFQUD-sUtg_5_0"/>
      <w:bookmarkStart w:id="3355" w:name="Tc_Wry1ppMKQ0ezodRjKOYvMQ_4_17"/>
      <w:bookmarkStart w:id="3356" w:name="Tc_-_xdOcX3M0-cuKa2BGhNFw_4_14"/>
      <w:bookmarkStart w:id="3357" w:name="Tc_1fk4Z34-n0K9JQmaFgtuAw_4_11"/>
      <w:bookmarkStart w:id="3358" w:name="Tc_K4DPp4Y-fE-JJ8SMn_N64g_4_8"/>
      <w:bookmarkStart w:id="3359" w:name="Tc_bJlnAREJek-vhXzOxY4gRQ_4_5"/>
      <w:bookmarkStart w:id="3360" w:name="Tc_qNg3AmNAqEq6d4JUOkgbbw_4_2"/>
      <w:bookmarkStart w:id="3361" w:name="Tc_16B7L9HR60eacj1i-so2IA_4_0"/>
      <w:bookmarkStart w:id="3362" w:name="Tc_f-1jIcLPfUWeSSdm4EKBKA_3_14"/>
      <w:bookmarkStart w:id="3363" w:name="Tc_Aveu4phwkUCmhS07PhzePQ_3_11"/>
      <w:bookmarkStart w:id="3364" w:name="Tc_gRBWnhcOnk2tByQ01piklw_3_8"/>
      <w:bookmarkStart w:id="3365" w:name="Tc_TrzxUsnps0yMla-2K4DI9Q_3_5"/>
      <w:bookmarkStart w:id="3366" w:name="Tc_ZjSKrTMIsUSPS2AwRMKwJw_3_2"/>
      <w:bookmarkStart w:id="3367" w:name="Tc_g7JleMMiVkqqUZ7FrdxaNg_2_11"/>
      <w:bookmarkStart w:id="3368" w:name="Tc_4oPF-b303kCt5u7UOZpLxQ_2_8"/>
      <w:bookmarkStart w:id="3369" w:name="Tc_35N724Gy0Uuad5kAj0ak_w_2_5"/>
      <w:bookmarkStart w:id="3370" w:name="Tc_UsCIhAsjUEOoQcU09x_VOg_2_2"/>
      <w:bookmarkStart w:id="3371" w:name="Tc_Yy-TG7OxkE6I5OS5sA640w_1_11"/>
      <w:bookmarkStart w:id="3372" w:name="Tc_0gbd0DaYzUefrq0vWLUGPA_1_8"/>
      <w:bookmarkStart w:id="3373" w:name="Tc_IfoYYpH0uEGUkYT2SqDQ0w_1_5"/>
      <w:bookmarkStart w:id="3374" w:name="Tc_dZI3rbSBlkelxzekROVztw_15_12"/>
      <w:bookmarkStart w:id="3375" w:name="Tc_gfEwA_3gJEC9GVLLcyvNTw_15_11"/>
      <w:bookmarkStart w:id="3376" w:name="Tc_Lt21MPgZTE2Rsnx6QmRKlA_15_8"/>
      <w:bookmarkStart w:id="3377" w:name="Tc_Mg0vSYCCPU-kDluyyCBKbQ_15_6"/>
      <w:bookmarkStart w:id="3378" w:name="Tc_jQ0NtT_SW0uk9E4PlYlkBA_15_5"/>
      <w:bookmarkStart w:id="3379" w:name="Tc_ffMV1JvWGEOk6hqr7iZM3g_15_2"/>
      <w:bookmarkStart w:id="3380" w:name="Tc_Yjl8lAUeVUGseTICUwqe5w_15_0"/>
      <w:bookmarkStart w:id="3381" w:name="Tc_UbUx9x-faEeSpBV4Gm4NyA_14_12"/>
      <w:bookmarkStart w:id="3382" w:name="Tc_YHethRFD2ku7GkKkLt1hfQ_14_11"/>
      <w:bookmarkStart w:id="3383" w:name="Tc_y74ZNN693UKbHDKiL_exZA_14_8"/>
      <w:bookmarkStart w:id="3384" w:name="Tc_KMhDLdmJhUuTZoQFl6eaeg_14_6"/>
      <w:bookmarkStart w:id="3385" w:name="Tc_tKLf90JDKUC7tXdjjAA65A_14_5"/>
      <w:bookmarkStart w:id="3386" w:name="Tc_K635HbXahESNAo8EOy_-Ug_14_2"/>
      <w:bookmarkStart w:id="3387" w:name="Tc_5j2sG2LeNkO7tDsRzTY3CA_14_0"/>
      <w:bookmarkStart w:id="3388" w:name="Tc_Zg3VePLXL0qy3lSF_4Me4A_13_0"/>
      <w:bookmarkStart w:id="3389" w:name="Tc_zKmlC4FXSkiKYOeO2kZY_Q_12_0"/>
      <w:bookmarkStart w:id="3390" w:name="Tc_tjLINSAhrk25A1iTUQ4GDw_11_11"/>
      <w:bookmarkStart w:id="3391" w:name="Tc_nHmOuZNMBUOfKYg71oI6rg_11_9"/>
      <w:bookmarkStart w:id="3392" w:name="Tc_XZrzDgbVuE2qJhXbhEwD6A_11_8"/>
      <w:bookmarkStart w:id="3393" w:name="Tc_rjfI4BTRSEGqcl_hGTqTzw_11_5"/>
      <w:bookmarkStart w:id="3394" w:name="Tc_yDY33a0KpkWdMVpJtGpgSQ_11_3"/>
      <w:bookmarkStart w:id="3395" w:name="Tc_2eZdqaVkqUmyt4bS1vMBnw_11_2"/>
      <w:bookmarkStart w:id="3396" w:name="Tc_vkIav63b7E6taJw5PfimmQ_11_0"/>
      <w:bookmarkStart w:id="3397" w:name="Tc_smn3iYDGQEKkFXBa2Gp0Fg_10_9"/>
      <w:bookmarkStart w:id="3398" w:name="Tc_YaxBQETtqEKXsf-xaMz5CQ_10_3"/>
      <w:bookmarkStart w:id="3399" w:name="Tc_lNltByE4dUGhMvWmzoR-Fw_10_0"/>
      <w:bookmarkStart w:id="3400" w:name="Tc_bM1zWSAPTkuPAHkhYhSsfQ_9_9"/>
      <w:bookmarkStart w:id="3401" w:name="Tc_DSXIWduec0u6m5ID3IaMyA_9_3"/>
      <w:bookmarkStart w:id="3402" w:name="Tc_d6m9WEikhk6DVwJuQIakUA_9_0"/>
      <w:bookmarkStart w:id="3403" w:name="Tc_b3b2mzaV8EeWc927UsfjdA_8_0"/>
      <w:bookmarkStart w:id="3404" w:name="Tc_ukqaZsaHUUarxCxCZyQv9g_7_0"/>
      <w:bookmarkStart w:id="3405" w:name="Tc_ClEXBByZo0q366NEoZPu4Q_6_11"/>
      <w:bookmarkStart w:id="3406" w:name="Tc_JY69QoF8D0K01tBdEwm8Qg_6_8"/>
      <w:bookmarkStart w:id="3407" w:name="Tc_kkSu44RJY0O4QRWm3yPSlQ_6_5"/>
      <w:bookmarkStart w:id="3408" w:name="Tc_M7a0M11WRE2PIko5k-IdWQ_6_2"/>
      <w:bookmarkStart w:id="3409" w:name="Tc_CSDJaLVxmkexFCrxBuhdfw_6_0"/>
      <w:bookmarkStart w:id="3410" w:name="Tc_LX0MmqWi3EKj9XyxyXJvjw_5_11"/>
      <w:bookmarkStart w:id="3411" w:name="Tc_nKNNzQPuvEW_vL0WAbYw1A_5_8"/>
      <w:bookmarkStart w:id="3412" w:name="Tc_qByD4h5qEUSafi4hXvJGhg_5_5"/>
      <w:bookmarkStart w:id="3413" w:name="Tc_23PIohmmCUeXZtueyrH1Xw_5_2"/>
      <w:bookmarkStart w:id="3414" w:name="Tc_gLjxRvWymkuUalKGaK_q8w_4_11"/>
      <w:bookmarkStart w:id="3415" w:name="Tc_fJnnmPZwE0mckNea8eXtLg_4_8"/>
      <w:bookmarkStart w:id="3416" w:name="Tc_ZjvcS6FD30O9zIwT6pO-5Q_4_5"/>
      <w:bookmarkStart w:id="3417" w:name="Tc_0UTqVo73K0Ck5YEjSSZaOA_4_2"/>
      <w:bookmarkStart w:id="3418" w:name="Tc_Uk3JuHAk0UyMfUuKcnq6-Q_3_11"/>
      <w:bookmarkStart w:id="3419" w:name="Tc_D3mnAjNUz0ijUpng7vj4tA_3_8"/>
      <w:bookmarkStart w:id="3420" w:name="Tc_RXz9gI5SJkWdJBKPggSK7w_3_5"/>
      <w:bookmarkStart w:id="3421" w:name="Tc_iuhX7ZHNo0STbNijq5swYQ_3_2"/>
      <w:bookmarkStart w:id="3422" w:name="Tc_NjG1Yvaqu0yPI3oavO5XXg_2_8"/>
      <w:bookmarkStart w:id="3423" w:name="Tc_LKoFqSEg-0CrP2gTT7hsnA_2_2"/>
      <w:bookmarkStart w:id="3424" w:name="Tc_Hs7oQMmRKE2hs7_lto68dQ_1_2"/>
      <w:bookmarkStart w:id="3425" w:name="_f9d142f1_a559_4cc2_8741_ff40d657de67"/>
      <w:bookmarkStart w:id="3426" w:name="Tc_x8iuXAiC_U2yX5yn6qmduw_9_17"/>
      <w:bookmarkStart w:id="3427" w:name="Tc_T6hdaMsaBkq65TP926IqcQ_9_15"/>
      <w:bookmarkStart w:id="3428" w:name="Tc_Wrv14nN8pUOPvi-FlKp-mQ_9_14"/>
      <w:bookmarkStart w:id="3429" w:name="Tc_XF6oaB2V0kirsJSIftJdhg_9_12"/>
      <w:bookmarkStart w:id="3430" w:name="Tc_Ay85NibYrkS-0YCvnWHTrw_9_11"/>
      <w:bookmarkStart w:id="3431" w:name="Tc_7KJA1gQc4k-GfCvWs01nGQ_9_8"/>
      <w:bookmarkStart w:id="3432" w:name="Tc_4vbqFpw-Uk-TeCQT5TeJnQ_9_6"/>
      <w:bookmarkStart w:id="3433" w:name="Tc_-iAmdt4Qlk-glrkIPXhSlw_9_5"/>
      <w:bookmarkStart w:id="3434" w:name="Tc_FlNv7e_2o0CCC6NxPJVogg_9_2"/>
      <w:bookmarkStart w:id="3435" w:name="Tc_yWCB12eRI0WJHewQv-lsvQ_9_0"/>
      <w:bookmarkStart w:id="3436" w:name="Tc_RyFx5IL1EUqg2COv_nv6yw_8_0"/>
      <w:bookmarkStart w:id="3437" w:name="Tc_zMjuZuyP502LAEKT2OdIBg_6_17"/>
      <w:bookmarkStart w:id="3438" w:name="Tc_zIdeZMQqNkmChI5paZ8rhQ_6_15"/>
      <w:bookmarkStart w:id="3439" w:name="Tc_gwOQnM7XWUuvJ7_7qOlEGA_6_14"/>
      <w:bookmarkStart w:id="3440" w:name="Tc_fb4BGyoLjEmOyNeffMSiUQ_6_12"/>
      <w:bookmarkStart w:id="3441" w:name="Tc_G5vKps7itEudeglHZVvQng_6_11"/>
      <w:bookmarkStart w:id="3442" w:name="Tc_vgaAyoSWQEm7W6rB2D42YA_6_8"/>
      <w:bookmarkStart w:id="3443" w:name="Tc_ApLsunX9OEu5XJh7QSDqoQ_6_6"/>
      <w:bookmarkStart w:id="3444" w:name="Tc_0xgCXAOUzUe-m6qQpiMtxA_6_5"/>
      <w:bookmarkStart w:id="3445" w:name="Tc_MalMtIkGLUuyCSCiJc0MYA_6_2"/>
      <w:bookmarkStart w:id="3446" w:name="Tc_gfo01JrHNEOEd3Be7AfMIw_6_0"/>
      <w:bookmarkStart w:id="3447" w:name="Tc_5WuH8JMUw0q0NFQUD-sUtg_5_0"/>
      <w:bookmarkStart w:id="3448" w:name="Tc_Wry1ppMKQ0ezodRjKOYvMQ_4_17"/>
      <w:bookmarkStart w:id="3449" w:name="Tc_-_xdOcX3M0-cuKa2BGhNFw_4_14"/>
      <w:bookmarkStart w:id="3450" w:name="Tc_1fk4Z34-n0K9JQmaFgtuAw_4_11"/>
      <w:bookmarkStart w:id="3451" w:name="Tc_K4DPp4Y-fE-JJ8SMn_N64g_4_8"/>
      <w:bookmarkStart w:id="3452" w:name="Tc_bJlnAREJek-vhXzOxY4gRQ_4_5"/>
      <w:bookmarkStart w:id="3453" w:name="Tc_qNg3AmNAqEq6d4JUOkgbbw_4_2"/>
      <w:bookmarkStart w:id="3454" w:name="Tc_16B7L9HR60eacj1i-so2IA_4_0"/>
      <w:bookmarkStart w:id="3455" w:name="Tc_f-1jIcLPfUWeSSdm4EKBKA_3_14"/>
      <w:bookmarkStart w:id="3456" w:name="Tc_Aveu4phwkUCmhS07PhzePQ_3_11"/>
      <w:bookmarkStart w:id="3457" w:name="Tc_gRBWnhcOnk2tByQ01piklw_3_8"/>
      <w:bookmarkStart w:id="3458" w:name="Tc_TrzxUsnps0yMla-2K4DI9Q_3_5"/>
      <w:bookmarkStart w:id="3459" w:name="Tc_ZjSKrTMIsUSPS2AwRMKwJw_3_2"/>
      <w:bookmarkStart w:id="3460" w:name="Tc_g7JleMMiVkqqUZ7FrdxaNg_2_11"/>
      <w:bookmarkStart w:id="3461" w:name="Tc_4oPF-b303kCt5u7UOZpLxQ_2_8"/>
      <w:bookmarkStart w:id="3462" w:name="Tc_35N724Gy0Uuad5kAj0ak_w_2_5"/>
      <w:bookmarkStart w:id="3463" w:name="Tc_UsCIhAsjUEOoQcU09x_VOg_2_2"/>
      <w:bookmarkStart w:id="3464" w:name="Tc_Yy-TG7OxkE6I5OS5sA640w_1_11"/>
      <w:bookmarkStart w:id="3465" w:name="Tc_0gbd0DaYzUefrq0vWLUGPA_1_8"/>
      <w:bookmarkStart w:id="3466" w:name="Tc_IfoYYpH0uEGUkYT2SqDQ0w_1_5"/>
      <w:bookmarkStart w:id="3467" w:name="Tc_dZI3rbSBlkelxzekROVztw_15_12"/>
      <w:bookmarkStart w:id="3468" w:name="Tc_gfEwA_3gJEC9GVLLcyvNTw_15_11"/>
      <w:bookmarkStart w:id="3469" w:name="Tc_Lt21MPgZTE2Rsnx6QmRKlA_15_8"/>
      <w:bookmarkStart w:id="3470" w:name="Tc_Mg0vSYCCPU-kDluyyCBKbQ_15_6"/>
      <w:bookmarkStart w:id="3471" w:name="Tc_jQ0NtT_SW0uk9E4PlYlkBA_15_5"/>
      <w:bookmarkStart w:id="3472" w:name="Tc_ffMV1JvWGEOk6hqr7iZM3g_15_2"/>
      <w:bookmarkStart w:id="3473" w:name="Tc_Yjl8lAUeVUGseTICUwqe5w_15_0"/>
      <w:bookmarkStart w:id="3474" w:name="Tc_UbUx9x-faEeSpBV4Gm4NyA_14_12"/>
      <w:bookmarkStart w:id="3475" w:name="Tc_YHethRFD2ku7GkKkLt1hfQ_14_11"/>
      <w:bookmarkStart w:id="3476" w:name="Tc_y74ZNN693UKbHDKiL_exZA_14_8"/>
      <w:bookmarkStart w:id="3477" w:name="Tc_KMhDLdmJhUuTZoQFl6eaeg_14_6"/>
      <w:bookmarkStart w:id="3478" w:name="Tc_tKLf90JDKUC7tXdjjAA65A_14_5"/>
      <w:bookmarkStart w:id="3479" w:name="Tc_K635HbXahESNAo8EOy_-Ug_14_2"/>
      <w:bookmarkStart w:id="3480" w:name="Tc_5j2sG2LeNkO7tDsRzTY3CA_14_0"/>
      <w:bookmarkStart w:id="3481" w:name="Tc_Zg3VePLXL0qy3lSF_4Me4A_13_0"/>
      <w:bookmarkStart w:id="3482" w:name="Tc_zKmlC4FXSkiKYOeO2kZY_Q_12_0"/>
      <w:bookmarkStart w:id="3483" w:name="Tc_tjLINSAhrk25A1iTUQ4GDw_11_11"/>
      <w:bookmarkStart w:id="3484" w:name="Tc_nHmOuZNMBUOfKYg71oI6rg_11_9"/>
      <w:bookmarkStart w:id="3485" w:name="Tc_XZrzDgbVuE2qJhXbhEwD6A_11_8"/>
      <w:bookmarkStart w:id="3486" w:name="Tc_rjfI4BTRSEGqcl_hGTqTzw_11_5"/>
      <w:bookmarkStart w:id="3487" w:name="Tc_yDY33a0KpkWdMVpJtGpgSQ_11_3"/>
      <w:bookmarkStart w:id="3488" w:name="Tc_2eZdqaVkqUmyt4bS1vMBnw_11_2"/>
      <w:bookmarkStart w:id="3489" w:name="Tc_vkIav63b7E6taJw5PfimmQ_11_0"/>
      <w:bookmarkStart w:id="3490" w:name="Tc_smn3iYDGQEKkFXBa2Gp0Fg_10_9"/>
      <w:bookmarkStart w:id="3491" w:name="Tc_YaxBQETtqEKXsf-xaMz5CQ_10_3"/>
      <w:bookmarkStart w:id="3492" w:name="Tc_lNltByE4dUGhMvWmzoR-Fw_10_0"/>
      <w:bookmarkStart w:id="3493" w:name="Tc_bM1zWSAPTkuPAHkhYhSsfQ_9_9"/>
      <w:bookmarkStart w:id="3494" w:name="Tc_DSXIWduec0u6m5ID3IaMyA_9_3"/>
      <w:bookmarkStart w:id="3495" w:name="Tc_d6m9WEikhk6DVwJuQIakUA_9_0"/>
      <w:bookmarkStart w:id="3496" w:name="Tc_b3b2mzaV8EeWc927UsfjdA_8_0"/>
      <w:bookmarkStart w:id="3497" w:name="Tc_ukqaZsaHUUarxCxCZyQv9g_7_0"/>
      <w:bookmarkStart w:id="3498" w:name="Tc_ClEXBByZo0q366NEoZPu4Q_6_11"/>
      <w:bookmarkStart w:id="3499" w:name="Tc_JY69QoF8D0K01tBdEwm8Qg_6_8"/>
      <w:bookmarkStart w:id="3500" w:name="Tc_kkSu44RJY0O4QRWm3yPSlQ_6_5"/>
      <w:bookmarkStart w:id="3501" w:name="Tc_M7a0M11WRE2PIko5k-IdWQ_6_2"/>
      <w:bookmarkStart w:id="3502" w:name="Tc_CSDJaLVxmkexFCrxBuhdfw_6_0"/>
      <w:bookmarkStart w:id="3503" w:name="Tc_LX0MmqWi3EKj9XyxyXJvjw_5_11"/>
      <w:bookmarkStart w:id="3504" w:name="Tc_nKNNzQPuvEW_vL0WAbYw1A_5_8"/>
      <w:bookmarkStart w:id="3505" w:name="Tc_qByD4h5qEUSafi4hXvJGhg_5_5"/>
      <w:bookmarkStart w:id="3506" w:name="Tc_23PIohmmCUeXZtueyrH1Xw_5_2"/>
      <w:bookmarkStart w:id="3507" w:name="Tc_gLjxRvWymkuUalKGaK_q8w_4_11"/>
      <w:bookmarkStart w:id="3508" w:name="Tc_fJnnmPZwE0mckNea8eXtLg_4_8"/>
      <w:bookmarkStart w:id="3509" w:name="Tc_ZjvcS6FD30O9zIwT6pO-5Q_4_5"/>
      <w:bookmarkStart w:id="3510" w:name="Tc_0UTqVo73K0Ck5YEjSSZaOA_4_2"/>
      <w:bookmarkStart w:id="3511" w:name="Tc_Uk3JuHAk0UyMfUuKcnq6-Q_3_11"/>
      <w:bookmarkStart w:id="3512" w:name="Tc_D3mnAjNUz0ijUpng7vj4tA_3_8"/>
      <w:bookmarkStart w:id="3513" w:name="Tc_RXz9gI5SJkWdJBKPggSK7w_3_5"/>
      <w:bookmarkStart w:id="3514" w:name="Tc_iuhX7ZHNo0STbNijq5swYQ_3_2"/>
      <w:bookmarkStart w:id="3515" w:name="Tc_NjG1Yvaqu0yPI3oavO5XXg_2_8"/>
      <w:bookmarkStart w:id="3516" w:name="Tc_LKoFqSEg-0CrP2gTT7hsnA_2_2"/>
      <w:bookmarkStart w:id="3517" w:name="Tc_Hs7oQMmRKE2hs7_lto68dQ_1_2"/>
      <w:bookmarkStart w:id="3518" w:name="_f9d142f1_a559_4cc2_8741_ff40d657de67"/>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p>
    <w:tbl>
      <w:tblPr>
        <w:tblW w:w="9245" w:type="dxa"/>
        <w:jc w:val="left"/>
        <w:tblInd w:w="0" w:type="dxa"/>
        <w:tblLayout w:type="fixed"/>
        <w:tblCellMar>
          <w:top w:w="0" w:type="dxa"/>
          <w:left w:w="0" w:type="dxa"/>
          <w:bottom w:w="0" w:type="dxa"/>
          <w:right w:w="0" w:type="dxa"/>
        </w:tblCellMar>
      </w:tblPr>
      <w:tblGrid>
        <w:gridCol w:w="5251"/>
        <w:gridCol w:w="206"/>
        <w:gridCol w:w="196"/>
        <w:gridCol w:w="601"/>
        <w:gridCol w:w="206"/>
        <w:gridCol w:w="220"/>
        <w:gridCol w:w="576"/>
        <w:gridCol w:w="206"/>
        <w:gridCol w:w="204"/>
        <w:gridCol w:w="532"/>
        <w:gridCol w:w="206"/>
        <w:gridCol w:w="219"/>
        <w:gridCol w:w="622"/>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3334385" cy="175260"/>
                      <wp:effectExtent l="0" t="0" r="0" b="0"/>
                      <wp:wrapNone/>
                      <wp:docPr id="391" name="Frame391"/>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0810" cy="175260"/>
                      <wp:effectExtent l="0" t="0" r="0" b="0"/>
                      <wp:wrapNone/>
                      <wp:docPr id="392" name="Frame39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24460" cy="175260"/>
                      <wp:effectExtent l="0" t="0" r="0" b="0"/>
                      <wp:wrapNone/>
                      <wp:docPr id="393" name="Frame3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81635" cy="175260"/>
                      <wp:effectExtent l="0" t="0" r="0" b="0"/>
                      <wp:wrapNone/>
                      <wp:docPr id="394" name="Frame39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0810" cy="175260"/>
                      <wp:effectExtent l="0" t="0" r="0" b="0"/>
                      <wp:wrapNone/>
                      <wp:docPr id="395" name="Frame39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9700" cy="175260"/>
                      <wp:effectExtent l="0" t="0" r="0" b="0"/>
                      <wp:wrapNone/>
                      <wp:docPr id="396" name="Frame396"/>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65760" cy="175260"/>
                      <wp:effectExtent l="0" t="0" r="0" b="0"/>
                      <wp:wrapNone/>
                      <wp:docPr id="397" name="Frame397"/>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0810" cy="175260"/>
                      <wp:effectExtent l="0" t="0" r="0" b="0"/>
                      <wp:wrapNone/>
                      <wp:docPr id="398" name="Frame39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29540" cy="175260"/>
                      <wp:effectExtent l="0" t="0" r="0" b="0"/>
                      <wp:wrapNone/>
                      <wp:docPr id="399" name="Frame399"/>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37820" cy="175260"/>
                      <wp:effectExtent l="0" t="0" r="0" b="0"/>
                      <wp:wrapNone/>
                      <wp:docPr id="400" name="Frame400"/>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0810" cy="175260"/>
                      <wp:effectExtent l="0" t="0" r="0" b="0"/>
                      <wp:wrapNone/>
                      <wp:docPr id="401" name="Frame40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9065" cy="175260"/>
                      <wp:effectExtent l="0" t="0" r="0" b="0"/>
                      <wp:wrapNone/>
                      <wp:docPr id="402" name="Frame402"/>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94970" cy="175260"/>
                      <wp:effectExtent l="0" t="0" r="0" b="0"/>
                      <wp:wrapNone/>
                      <wp:docPr id="403" name="Frame403"/>
                      <a:graphic xmlns:a="http://schemas.openxmlformats.org/drawingml/2006/main">
                        <a:graphicData uri="http://schemas.microsoft.com/office/word/2010/wordprocessingShape">
                          <wps:wsp>
                            <wps:cNvSpPr txBox="1"/>
                            <wps:spPr>
                              <a:xfrm>
                                <a:off x="0" y="0"/>
                                <a:ext cx="39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78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Six Months Ended June 30,</w:t>
            </w:r>
          </w:p>
        </w:tc>
      </w:tr>
      <w:tr>
        <w:trPr/>
        <w:tc>
          <w:tcPr>
            <w:tcW w:w="525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7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2023</w:t>
            </w:r>
          </w:p>
        </w:tc>
        <w:tc>
          <w:tcPr>
            <w:tcW w:w="206" w:type="dxa"/>
            <w:tcBorders/>
            <w:vAlign w:val="center"/>
          </w:tcPr>
          <w:p>
            <w:pPr>
              <w:pStyle w:val="TableContents"/>
              <w:bidi w:val="0"/>
              <w:spacing w:before="0" w:after="0"/>
              <w:ind w:left="0" w:right="0" w:hanging="0"/>
              <w:jc w:val="left"/>
              <w:rPr/>
            </w:pPr>
            <w:r>
              <w:rPr/>
              <w:t>​</w:t>
            </w:r>
          </w:p>
        </w:tc>
        <w:tc>
          <w:tcPr>
            <w:tcW w:w="17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2022</w:t>
            </w:r>
          </w:p>
        </w:tc>
      </w:tr>
      <w:tr>
        <w:trPr/>
        <w:tc>
          <w:tcPr>
            <w:tcW w:w="525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Interest </w:t>
            </w:r>
          </w:p>
        </w:tc>
        <w:tc>
          <w:tcPr>
            <w:tcW w:w="20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Interest</w:t>
            </w:r>
          </w:p>
        </w:tc>
        <w:tc>
          <w:tcPr>
            <w:tcW w:w="206" w:type="dxa"/>
            <w:tcBorders/>
            <w:vAlign w:val="center"/>
          </w:tcPr>
          <w:p>
            <w:pPr>
              <w:pStyle w:val="TableContents"/>
              <w:bidi w:val="0"/>
              <w:spacing w:before="0" w:after="0"/>
              <w:ind w:left="0" w:right="0" w:hanging="0"/>
              <w:jc w:val="left"/>
              <w:rPr/>
            </w:pPr>
            <w:r>
              <w:rPr/>
              <w:t>  </w:t>
            </w:r>
          </w:p>
        </w:tc>
        <w:tc>
          <w:tcPr>
            <w:tcW w:w="736"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Interest </w:t>
            </w:r>
          </w:p>
        </w:tc>
        <w:tc>
          <w:tcPr>
            <w:tcW w:w="206" w:type="dxa"/>
            <w:tcBorders/>
            <w:vAlign w:val="center"/>
          </w:tcPr>
          <w:p>
            <w:pPr>
              <w:pStyle w:val="TableContents"/>
              <w:bidi w:val="0"/>
              <w:spacing w:before="0" w:after="0"/>
              <w:ind w:left="0" w:right="0" w:hanging="0"/>
              <w:jc w:val="left"/>
              <w:rPr/>
            </w:pPr>
            <w:r>
              <w:rPr/>
              <w:t>  </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Interest</w:t>
            </w:r>
          </w:p>
        </w:tc>
      </w:tr>
      <w:tr>
        <w:trPr/>
        <w:tc>
          <w:tcPr>
            <w:tcW w:w="525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Expense</w:t>
            </w:r>
          </w:p>
        </w:tc>
        <w:tc>
          <w:tcPr>
            <w:tcW w:w="206" w:type="dxa"/>
            <w:tcBorders/>
            <w:vAlign w:val="center"/>
          </w:tcPr>
          <w:p>
            <w:pPr>
              <w:pStyle w:val="TableContents"/>
              <w:bidi w:val="0"/>
              <w:spacing w:before="0" w:after="0"/>
              <w:ind w:left="0" w:right="0" w:hanging="0"/>
              <w:jc w:val="left"/>
              <w:rPr/>
            </w:pPr>
            <w:r>
              <w:rPr/>
              <w:t>​</w:t>
            </w:r>
          </w:p>
        </w:tc>
        <w:tc>
          <w:tcPr>
            <w:tcW w:w="796"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Income</w:t>
            </w:r>
          </w:p>
        </w:tc>
        <w:tc>
          <w:tcPr>
            <w:tcW w:w="206" w:type="dxa"/>
            <w:tcBorders/>
            <w:vAlign w:val="center"/>
          </w:tcPr>
          <w:p>
            <w:pPr>
              <w:pStyle w:val="TableContents"/>
              <w:bidi w:val="0"/>
              <w:spacing w:before="0" w:after="0"/>
              <w:ind w:left="0" w:right="0" w:hanging="0"/>
              <w:jc w:val="left"/>
              <w:rPr/>
            </w:pPr>
            <w:r>
              <w:rPr/>
              <w:t>​</w:t>
            </w:r>
          </w:p>
        </w:tc>
        <w:tc>
          <w:tcPr>
            <w:tcW w:w="736"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Expense</w:t>
            </w:r>
          </w:p>
        </w:tc>
        <w:tc>
          <w:tcPr>
            <w:tcW w:w="206" w:type="dxa"/>
            <w:tcBorders/>
            <w:vAlign w:val="center"/>
          </w:tcPr>
          <w:p>
            <w:pPr>
              <w:pStyle w:val="TableContents"/>
              <w:bidi w:val="0"/>
              <w:spacing w:before="0" w:after="0"/>
              <w:ind w:left="0" w:right="0" w:hanging="0"/>
              <w:jc w:val="left"/>
              <w:rPr/>
            </w:pPr>
            <w:r>
              <w:rPr/>
              <w:t>​</w:t>
            </w:r>
          </w:p>
        </w:tc>
        <w:tc>
          <w:tcPr>
            <w:tcW w:w="841" w:type="dxa"/>
            <w:gridSpan w:val="2"/>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Income</w:t>
            </w:r>
          </w:p>
        </w:tc>
      </w:tr>
      <w:tr>
        <w:trPr/>
        <w:tc>
          <w:tcPr>
            <w:tcW w:w="525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Deposits</w:t>
            </w:r>
          </w:p>
        </w:tc>
        <w:tc>
          <w:tcPr>
            <w:tcW w:w="206" w:type="dxa"/>
            <w:tcBorders/>
            <w:vAlign w:val="center"/>
          </w:tcPr>
          <w:p>
            <w:pPr>
              <w:pStyle w:val="TableContents"/>
              <w:bidi w:val="0"/>
              <w:spacing w:before="0" w:after="0"/>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w:t>
            </w:r>
          </w:p>
        </w:tc>
        <w:tc>
          <w:tcPr>
            <w:tcW w:w="206" w:type="dxa"/>
            <w:tcBorders/>
            <w:vAlign w:val="center"/>
          </w:tcPr>
          <w:p>
            <w:pPr>
              <w:pStyle w:val="TableContents"/>
              <w:bidi w:val="0"/>
              <w:spacing w:before="0" w:after="0"/>
              <w:ind w:left="0" w:right="0" w:hanging="0"/>
              <w:jc w:val="left"/>
              <w:rPr/>
            </w:pPr>
            <w:r>
              <w:rPr/>
              <w:t>​</w:t>
            </w:r>
          </w:p>
        </w:tc>
        <w:tc>
          <w:tcPr>
            <w:tcW w:w="7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Deposits</w:t>
            </w:r>
          </w:p>
        </w:tc>
        <w:tc>
          <w:tcPr>
            <w:tcW w:w="206" w:type="dxa"/>
            <w:tcBorders/>
            <w:vAlign w:val="center"/>
          </w:tcPr>
          <w:p>
            <w:pPr>
              <w:pStyle w:val="TableContents"/>
              <w:bidi w:val="0"/>
              <w:spacing w:before="0" w:after="0"/>
              <w:ind w:left="0" w:right="0" w:hanging="0"/>
              <w:jc w:val="left"/>
              <w:rPr/>
            </w:pPr>
            <w:r>
              <w:rPr/>
              <w:t>​</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w:t>
            </w:r>
          </w:p>
        </w:tc>
      </w:tr>
      <w:tr>
        <w:trPr/>
        <w:tc>
          <w:tcPr>
            <w:tcW w:w="5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amounts presented on the Consolidated Statements of Income</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14,234</w:t>
            </w:r>
          </w:p>
        </w:tc>
        <w:tc>
          <w:tcPr>
            <w:tcW w:w="20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5,271</w:t>
            </w:r>
          </w:p>
        </w:tc>
        <w:tc>
          <w:tcPr>
            <w:tcW w:w="20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2,842</w:t>
            </w:r>
          </w:p>
        </w:tc>
        <w:tc>
          <w:tcPr>
            <w:tcW w:w="20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3,249</w:t>
            </w:r>
          </w:p>
        </w:tc>
      </w:tr>
      <w:tr>
        <w:trPr/>
        <w:tc>
          <w:tcPr>
            <w:tcW w:w="52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gains (losses) on fair value hedging relationships:</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left"/>
              <w:rPr/>
            </w:pPr>
            <w:r>
              <w:rPr/>
              <w:t>​</w:t>
            </w:r>
          </w:p>
        </w:tc>
      </w:tr>
      <w:tr>
        <w:trPr/>
        <w:tc>
          <w:tcPr>
            <w:tcW w:w="5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swaps - securities</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left"/>
              <w:rPr/>
            </w:pPr>
            <w:r>
              <w:rPr/>
              <w:t>​</w:t>
            </w:r>
          </w:p>
        </w:tc>
      </w:tr>
      <w:tr>
        <w:trPr/>
        <w:tc>
          <w:tcPr>
            <w:tcW w:w="52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Recognized on hedged items</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597</w:t>
            </w:r>
          </w:p>
        </w:tc>
        <w:tc>
          <w:tcPr>
            <w:tcW w:w="20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(933)</w:t>
            </w:r>
          </w:p>
        </w:tc>
      </w:tr>
      <w:tr>
        <w:trPr/>
        <w:tc>
          <w:tcPr>
            <w:tcW w:w="5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Recognized on derivatives designated as hedging instruments</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w:t>
            </w:r>
          </w:p>
        </w:tc>
        <w:tc>
          <w:tcPr>
            <w:tcW w:w="20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831</w:t>
            </w:r>
          </w:p>
        </w:tc>
      </w:tr>
      <w:tr>
        <w:trPr/>
        <w:tc>
          <w:tcPr>
            <w:tcW w:w="52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(expense) recognized on fair value hedges</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656</w:t>
            </w:r>
          </w:p>
        </w:tc>
        <w:tc>
          <w:tcPr>
            <w:tcW w:w="20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2"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r>
      <w:tr>
        <w:trPr/>
        <w:tc>
          <w:tcPr>
            <w:tcW w:w="5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gain (loss) on cash flow hedging relationships:</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7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622" w:type="dxa"/>
            <w:tcBorders/>
            <w:shd w:fill="CCEEFF" w:val="clear"/>
            <w:vAlign w:val="center"/>
          </w:tcPr>
          <w:p>
            <w:pPr>
              <w:pStyle w:val="TableContents"/>
              <w:bidi w:val="0"/>
              <w:spacing w:before="0" w:after="0"/>
              <w:ind w:left="0" w:right="0" w:hanging="0"/>
              <w:jc w:val="left"/>
              <w:rPr/>
            </w:pPr>
            <w:r>
              <w:rPr/>
              <w:t>​</w:t>
            </w:r>
          </w:p>
        </w:tc>
      </w:tr>
      <w:tr>
        <w:trPr/>
        <w:tc>
          <w:tcPr>
            <w:tcW w:w="52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rate swaps - brokered deposits and borrowings</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53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622" w:type="dxa"/>
            <w:tcBorders/>
            <w:vAlign w:val="center"/>
          </w:tcPr>
          <w:p>
            <w:pPr>
              <w:pStyle w:val="TableContents"/>
              <w:bidi w:val="0"/>
              <w:spacing w:before="0" w:after="0"/>
              <w:ind w:left="0" w:right="0" w:hanging="0"/>
              <w:jc w:val="left"/>
              <w:rPr/>
            </w:pPr>
            <w:r>
              <w:rPr/>
              <w:t>​</w:t>
            </w:r>
          </w:p>
        </w:tc>
      </w:tr>
      <w:tr>
        <w:trPr/>
        <w:tc>
          <w:tcPr>
            <w:tcW w:w="525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Realized gains (losses) (pre-tax) reclassified from AOCI into net income</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2,178</w:t>
            </w:r>
          </w:p>
        </w:tc>
        <w:tc>
          <w:tcPr>
            <w:tcW w:w="206"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206"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25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(expense) recognized on cash flow hedges</w:t>
            </w:r>
          </w:p>
        </w:tc>
        <w:tc>
          <w:tcPr>
            <w:tcW w:w="20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2,178</w:t>
            </w:r>
          </w:p>
        </w:tc>
        <w:tc>
          <w:tcPr>
            <w:tcW w:w="206" w:type="dxa"/>
            <w:tcBorders/>
            <w:vAlign w:val="center"/>
          </w:tcPr>
          <w:p>
            <w:pPr>
              <w:pStyle w:val="TableContents"/>
              <w:bidi w:val="0"/>
              <w:spacing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w:t>
            </w:r>
          </w:p>
        </w:tc>
        <w:tc>
          <w:tcPr>
            <w:tcW w:w="206"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22"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fair value of the non-hedging derivatives recognized in “Noninterest income” on the Consolidated Statements of Income and included in gain on sale of loans resulted in net losses of $51,000 and $1.5 million for the three months ended June 30, 2023 and 2022, and net gains of $373,000 and net losses of $1.7 million for the six months ended June 30, 2023 and 2022, respectively.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this table to limit the amount of such collateral to the amount of the related asset or liability for each counter-party.</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119"/>
        <w:gridCol w:w="326"/>
        <w:gridCol w:w="287"/>
        <w:gridCol w:w="818"/>
        <w:gridCol w:w="206"/>
        <w:gridCol w:w="438"/>
        <w:gridCol w:w="755"/>
        <w:gridCol w:w="206"/>
        <w:gridCol w:w="357"/>
        <w:gridCol w:w="1097"/>
        <w:gridCol w:w="206"/>
        <w:gridCol w:w="331"/>
        <w:gridCol w:w="585"/>
        <w:gridCol w:w="231"/>
        <w:gridCol w:w="377"/>
        <w:gridCol w:w="667"/>
        <w:gridCol w:w="231"/>
        <w:gridCol w:w="223"/>
        <w:gridCol w:w="745"/>
      </w:tblGrid>
      <w:tr>
        <w:trPr/>
        <w:tc>
          <w:tcPr>
            <w:tcW w:w="2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45565" cy="175260"/>
                      <wp:effectExtent l="0" t="0" r="0" b="0"/>
                      <wp:wrapNone/>
                      <wp:docPr id="404" name="Frame404"/>
                      <a:graphic xmlns:a="http://schemas.openxmlformats.org/drawingml/2006/main">
                        <a:graphicData uri="http://schemas.microsoft.com/office/word/2010/wordprocessingShape">
                          <wps:wsp>
                            <wps:cNvSpPr txBox="1"/>
                            <wps:spPr>
                              <a:xfrm>
                                <a:off x="0" y="0"/>
                                <a:ext cx="134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82245" cy="175260"/>
                      <wp:effectExtent l="0" t="0" r="0" b="0"/>
                      <wp:wrapNone/>
                      <wp:docPr id="406" name="Frame406"/>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19430" cy="175260"/>
                      <wp:effectExtent l="0" t="0" r="0" b="0"/>
                      <wp:wrapNone/>
                      <wp:docPr id="407" name="Frame407"/>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0810" cy="175260"/>
                      <wp:effectExtent l="0" t="0" r="0" b="0"/>
                      <wp:wrapNone/>
                      <wp:docPr id="408" name="Frame40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78130" cy="175260"/>
                      <wp:effectExtent l="0" t="0" r="0" b="0"/>
                      <wp:wrapNone/>
                      <wp:docPr id="409" name="Frame409"/>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79425" cy="175260"/>
                      <wp:effectExtent l="0" t="0" r="0" b="0"/>
                      <wp:wrapNone/>
                      <wp:docPr id="410" name="Frame410"/>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0810" cy="175260"/>
                      <wp:effectExtent l="0" t="0" r="0" b="0"/>
                      <wp:wrapNone/>
                      <wp:docPr id="411" name="Frame41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26695" cy="175260"/>
                      <wp:effectExtent l="0" t="0" r="0" b="0"/>
                      <wp:wrapNone/>
                      <wp:docPr id="412" name="Frame412"/>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6595" cy="175260"/>
                      <wp:effectExtent l="0" t="0" r="0" b="0"/>
                      <wp:wrapNone/>
                      <wp:docPr id="413" name="Frame413"/>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0810" cy="175260"/>
                      <wp:effectExtent l="0" t="0" r="0" b="0"/>
                      <wp:wrapNone/>
                      <wp:docPr id="414" name="Frame41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0185" cy="175260"/>
                      <wp:effectExtent l="0" t="0" r="0" b="0"/>
                      <wp:wrapNone/>
                      <wp:docPr id="415" name="Frame41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71475" cy="175260"/>
                      <wp:effectExtent l="0" t="0" r="0" b="0"/>
                      <wp:wrapNone/>
                      <wp:docPr id="416" name="Frame416"/>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46685" cy="175260"/>
                      <wp:effectExtent l="0" t="0" r="0" b="0"/>
                      <wp:wrapNone/>
                      <wp:docPr id="417" name="Frame41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39395" cy="175260"/>
                      <wp:effectExtent l="0" t="0" r="0" b="0"/>
                      <wp:wrapNone/>
                      <wp:docPr id="418" name="Frame418"/>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423545" cy="175260"/>
                      <wp:effectExtent l="0" t="0" r="0" b="0"/>
                      <wp:wrapNone/>
                      <wp:docPr id="419" name="Frame419"/>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46685" cy="175260"/>
                      <wp:effectExtent l="0" t="0" r="0" b="0"/>
                      <wp:wrapNone/>
                      <wp:docPr id="420" name="Frame42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1605" cy="175260"/>
                      <wp:effectExtent l="0" t="0" r="0" b="0"/>
                      <wp:wrapNone/>
                      <wp:docPr id="421" name="Frame421"/>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73075" cy="175260"/>
                      <wp:effectExtent l="0" t="0" r="0" b="0"/>
                      <wp:wrapNone/>
                      <wp:docPr id="422" name="Frame422"/>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193"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Gross Amounts </w:t>
            </w:r>
          </w:p>
        </w:tc>
        <w:tc>
          <w:tcPr>
            <w:tcW w:w="206" w:type="dxa"/>
            <w:tcBorders/>
            <w:vAlign w:val="center"/>
          </w:tcPr>
          <w:p>
            <w:pPr>
              <w:pStyle w:val="TableContents"/>
              <w:bidi w:val="0"/>
              <w:spacing w:before="0" w:after="0"/>
              <w:ind w:left="0" w:right="0" w:hanging="0"/>
              <w:jc w:val="left"/>
              <w:rPr/>
            </w:pPr>
            <w:r>
              <w:rPr/>
              <w:t>​</w:t>
            </w:r>
          </w:p>
        </w:tc>
        <w:tc>
          <w:tcPr>
            <w:tcW w:w="1454"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Net Amounts of Assets</w:t>
            </w:r>
          </w:p>
        </w:tc>
        <w:tc>
          <w:tcPr>
            <w:tcW w:w="206" w:type="dxa"/>
            <w:tcBorders/>
            <w:vAlign w:val="center"/>
          </w:tcPr>
          <w:p>
            <w:pPr>
              <w:pStyle w:val="TableContents"/>
              <w:bidi w:val="0"/>
              <w:spacing w:before="0" w:after="0"/>
              <w:ind w:left="0" w:right="0" w:hanging="0"/>
              <w:jc w:val="left"/>
              <w:rPr/>
            </w:pPr>
            <w:r>
              <w:rPr/>
              <w:t>​</w:t>
            </w:r>
          </w:p>
        </w:tc>
        <w:tc>
          <w:tcPr>
            <w:tcW w:w="3390" w:type="dxa"/>
            <w:gridSpan w:val="8"/>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Gross Amounts Not Offset </w:t>
            </w:r>
          </w:p>
        </w:tc>
      </w:tr>
      <w:tr>
        <w:trPr/>
        <w:tc>
          <w:tcPr>
            <w:tcW w:w="2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Gross Amounts</w:t>
            </w:r>
          </w:p>
        </w:tc>
        <w:tc>
          <w:tcPr>
            <w:tcW w:w="206" w:type="dxa"/>
            <w:tcBorders/>
            <w:vAlign w:val="center"/>
          </w:tcPr>
          <w:p>
            <w:pPr>
              <w:pStyle w:val="TableContents"/>
              <w:bidi w:val="0"/>
              <w:spacing w:before="0" w:after="0"/>
              <w:ind w:left="0" w:right="0" w:hanging="0"/>
              <w:jc w:val="left"/>
              <w:rPr/>
            </w:pPr>
            <w:r>
              <w:rPr/>
              <w:t>​</w:t>
            </w:r>
          </w:p>
        </w:tc>
        <w:tc>
          <w:tcPr>
            <w:tcW w:w="1193"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Offset in the</w:t>
            </w:r>
          </w:p>
        </w:tc>
        <w:tc>
          <w:tcPr>
            <w:tcW w:w="206" w:type="dxa"/>
            <w:tcBorders/>
            <w:vAlign w:val="center"/>
          </w:tcPr>
          <w:p>
            <w:pPr>
              <w:pStyle w:val="TableContents"/>
              <w:bidi w:val="0"/>
              <w:spacing w:before="0" w:after="0"/>
              <w:ind w:left="0" w:right="0" w:hanging="0"/>
              <w:jc w:val="left"/>
              <w:rPr/>
            </w:pPr>
            <w:r>
              <w:rPr/>
              <w:t>​</w:t>
            </w:r>
          </w:p>
        </w:tc>
        <w:tc>
          <w:tcPr>
            <w:tcW w:w="1454"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Presented in the</w:t>
            </w:r>
          </w:p>
        </w:tc>
        <w:tc>
          <w:tcPr>
            <w:tcW w:w="206" w:type="dxa"/>
            <w:tcBorders/>
            <w:vAlign w:val="center"/>
          </w:tcPr>
          <w:p>
            <w:pPr>
              <w:pStyle w:val="TableContents"/>
              <w:bidi w:val="0"/>
              <w:spacing w:before="0" w:after="0"/>
              <w:ind w:left="0" w:right="0" w:hanging="0"/>
              <w:jc w:val="left"/>
              <w:rPr/>
            </w:pPr>
            <w:r>
              <w:rPr/>
              <w:t>​</w:t>
            </w:r>
          </w:p>
        </w:tc>
        <w:tc>
          <w:tcPr>
            <w:tcW w:w="339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 the Statement of Financial Position</w:t>
            </w:r>
          </w:p>
        </w:tc>
      </w:tr>
      <w:tr>
        <w:trPr/>
        <w:tc>
          <w:tcPr>
            <w:tcW w:w="2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of Recognized</w:t>
            </w:r>
          </w:p>
        </w:tc>
        <w:tc>
          <w:tcPr>
            <w:tcW w:w="206" w:type="dxa"/>
            <w:tcBorders/>
            <w:vAlign w:val="center"/>
          </w:tcPr>
          <w:p>
            <w:pPr>
              <w:pStyle w:val="TableContents"/>
              <w:bidi w:val="0"/>
              <w:spacing w:before="0" w:after="0"/>
              <w:ind w:left="0" w:right="0" w:hanging="0"/>
              <w:jc w:val="left"/>
              <w:rPr/>
            </w:pPr>
            <w:r>
              <w:rPr/>
              <w:t>​</w:t>
            </w:r>
          </w:p>
        </w:tc>
        <w:tc>
          <w:tcPr>
            <w:tcW w:w="1193"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Statement of</w:t>
            </w:r>
          </w:p>
        </w:tc>
        <w:tc>
          <w:tcPr>
            <w:tcW w:w="206" w:type="dxa"/>
            <w:tcBorders/>
            <w:vAlign w:val="center"/>
          </w:tcPr>
          <w:p>
            <w:pPr>
              <w:pStyle w:val="TableContents"/>
              <w:bidi w:val="0"/>
              <w:spacing w:before="0" w:after="0"/>
              <w:ind w:left="0" w:right="0" w:hanging="0"/>
              <w:jc w:val="left"/>
              <w:rPr/>
            </w:pPr>
            <w:r>
              <w:rPr/>
              <w:t>​</w:t>
            </w:r>
          </w:p>
        </w:tc>
        <w:tc>
          <w:tcPr>
            <w:tcW w:w="1454"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Statement of</w:t>
            </w:r>
          </w:p>
        </w:tc>
        <w:tc>
          <w:tcPr>
            <w:tcW w:w="20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Financial</w:t>
            </w:r>
          </w:p>
        </w:tc>
        <w:tc>
          <w:tcPr>
            <w:tcW w:w="231" w:type="dxa"/>
            <w:tcBorders/>
            <w:vAlign w:val="center"/>
          </w:tcPr>
          <w:p>
            <w:pPr>
              <w:pStyle w:val="TableContents"/>
              <w:bidi w:val="0"/>
              <w:spacing w:before="0" w:after="0"/>
              <w:ind w:left="0" w:right="0" w:hanging="0"/>
              <w:jc w:val="left"/>
              <w:rPr/>
            </w:pPr>
            <w:r>
              <w:rPr/>
              <w:t>​</w:t>
            </w:r>
          </w:p>
        </w:tc>
        <w:tc>
          <w:tcPr>
            <w:tcW w:w="1044"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Cash Collateral</w:t>
            </w:r>
          </w:p>
        </w:tc>
        <w:tc>
          <w:tcPr>
            <w:tcW w:w="231" w:type="dxa"/>
            <w:tcBorders/>
            <w:vAlign w:val="center"/>
          </w:tcPr>
          <w:p>
            <w:pPr>
              <w:pStyle w:val="TableContents"/>
              <w:bidi w:val="0"/>
              <w:spacing w:before="0" w:after="0"/>
              <w:ind w:left="0" w:right="0" w:hanging="0"/>
              <w:jc w:val="left"/>
              <w:rPr/>
            </w:pPr>
            <w:r>
              <w:rPr/>
              <w:t>​</w:t>
            </w:r>
          </w:p>
        </w:tc>
        <w:tc>
          <w:tcPr>
            <w:tcW w:w="968" w:type="dxa"/>
            <w:gridSpan w:val="2"/>
            <w:tcBorders/>
            <w:vAlign w:val="center"/>
          </w:tcPr>
          <w:p>
            <w:pPr>
              <w:pStyle w:val="TableContents"/>
              <w:bidi w:val="0"/>
              <w:spacing w:before="0" w:after="0"/>
              <w:ind w:left="0" w:right="0" w:hanging="0"/>
              <w:jc w:val="center"/>
              <w:rPr/>
            </w:pPr>
            <w:r>
              <w:rPr/>
              <w:t>​</w:t>
            </w:r>
          </w:p>
        </w:tc>
      </w:tr>
      <w:tr>
        <w:trPr/>
        <w:tc>
          <w:tcPr>
            <w:tcW w:w="21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Offsetting of derivative assets</w:t>
            </w:r>
          </w:p>
        </w:tc>
        <w:tc>
          <w:tcPr>
            <w:tcW w:w="326" w:type="dxa"/>
            <w:tcBorders/>
            <w:vAlign w:val="center"/>
          </w:tcPr>
          <w:p>
            <w:pPr>
              <w:pStyle w:val="TableContents"/>
              <w:bidi w:val="0"/>
              <w:spacing w:before="0" w:after="0"/>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Assets</w:t>
            </w:r>
          </w:p>
        </w:tc>
        <w:tc>
          <w:tcPr>
            <w:tcW w:w="206" w:type="dxa"/>
            <w:tcBorders/>
            <w:vAlign w:val="center"/>
          </w:tcPr>
          <w:p>
            <w:pPr>
              <w:pStyle w:val="TableContents"/>
              <w:bidi w:val="0"/>
              <w:spacing w:before="0" w:after="0"/>
              <w:ind w:left="0" w:right="0" w:hanging="0"/>
              <w:jc w:val="left"/>
              <w:rPr/>
            </w:pPr>
            <w:r>
              <w:rPr/>
              <w:t>  </w:t>
            </w:r>
          </w:p>
        </w:tc>
        <w:tc>
          <w:tcPr>
            <w:tcW w:w="11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Financial Position</w:t>
            </w:r>
          </w:p>
        </w:tc>
        <w:tc>
          <w:tcPr>
            <w:tcW w:w="206" w:type="dxa"/>
            <w:tcBorders/>
            <w:vAlign w:val="center"/>
          </w:tcPr>
          <w:p>
            <w:pPr>
              <w:pStyle w:val="TableContents"/>
              <w:bidi w:val="0"/>
              <w:spacing w:before="0" w:after="0"/>
              <w:ind w:left="0" w:right="0" w:hanging="0"/>
              <w:jc w:val="left"/>
              <w:rPr/>
            </w:pPr>
            <w:r>
              <w:rPr/>
              <w:t>  </w:t>
            </w:r>
          </w:p>
        </w:tc>
        <w:tc>
          <w:tcPr>
            <w:tcW w:w="14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Financial Position</w:t>
            </w:r>
          </w:p>
        </w:tc>
        <w:tc>
          <w:tcPr>
            <w:tcW w:w="20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Instruments</w:t>
            </w:r>
          </w:p>
        </w:tc>
        <w:tc>
          <w:tcPr>
            <w:tcW w:w="231" w:type="dxa"/>
            <w:tcBorders/>
            <w:vAlign w:val="center"/>
          </w:tcPr>
          <w:p>
            <w:pPr>
              <w:pStyle w:val="TableContents"/>
              <w:bidi w:val="0"/>
              <w:spacing w:before="0" w:after="0"/>
              <w:ind w:left="0" w:right="0" w:hanging="0"/>
              <w:jc w:val="left"/>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Received</w:t>
            </w:r>
          </w:p>
        </w:tc>
        <w:tc>
          <w:tcPr>
            <w:tcW w:w="231" w:type="dxa"/>
            <w:tcBorders/>
            <w:vAlign w:val="center"/>
          </w:tcPr>
          <w:p>
            <w:pPr>
              <w:pStyle w:val="TableContents"/>
              <w:bidi w:val="0"/>
              <w:spacing w:before="0" w:after="0"/>
              <w:ind w:left="0" w:right="0" w:hanging="0"/>
              <w:jc w:val="left"/>
              <w:rPr/>
            </w:pPr>
            <w:r>
              <w:rPr/>
              <w:t>  </w:t>
            </w:r>
          </w:p>
        </w:tc>
        <w:tc>
          <w:tcPr>
            <w:tcW w:w="9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Net Amount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2023</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center"/>
              <w:rPr/>
            </w:pPr>
            <w:r>
              <w:rPr/>
              <w:t>​</w:t>
            </w:r>
          </w:p>
        </w:tc>
        <w:tc>
          <w:tcPr>
            <w:tcW w:w="818"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center"/>
              <w:rPr/>
            </w:pPr>
            <w:r>
              <w:rPr/>
              <w:t>​</w:t>
            </w:r>
          </w:p>
        </w:tc>
        <w:tc>
          <w:tcPr>
            <w:tcW w:w="755"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center"/>
              <w:rPr/>
            </w:pPr>
            <w:r>
              <w:rPr/>
              <w:t>​</w:t>
            </w:r>
          </w:p>
        </w:tc>
        <w:tc>
          <w:tcPr>
            <w:tcW w:w="1097"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center"/>
              <w:rPr/>
            </w:pPr>
            <w:r>
              <w:rPr/>
              <w:t>​</w:t>
            </w:r>
          </w:p>
        </w:tc>
        <w:tc>
          <w:tcPr>
            <w:tcW w:w="585"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center"/>
              <w:rPr/>
            </w:pPr>
            <w:r>
              <w:rPr/>
              <w:t>​</w:t>
            </w:r>
          </w:p>
        </w:tc>
        <w:tc>
          <w:tcPr>
            <w:tcW w:w="23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center"/>
              <w:rPr/>
            </w:pPr>
            <w:r>
              <w:rPr/>
              <w:t>​</w:t>
            </w:r>
          </w:p>
        </w:tc>
        <w:tc>
          <w:tcPr>
            <w:tcW w:w="745" w:type="dxa"/>
            <w:tcBorders/>
            <w:vAlign w:val="center"/>
          </w:tcPr>
          <w:p>
            <w:pPr>
              <w:pStyle w:val="TableContents"/>
              <w:bidi w:val="0"/>
              <w:spacing w:before="0" w:after="0"/>
              <w:ind w:left="0" w:right="0" w:hanging="0"/>
              <w:jc w:val="center"/>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0"/>
              <w:ind w:left="0" w:right="0" w:hanging="0"/>
              <w:jc w:val="left"/>
              <w:rPr/>
            </w:pPr>
            <w:r>
              <w:rPr/>
              <w:t> </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8"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11,591</w:t>
            </w:r>
          </w:p>
        </w:tc>
        <w:tc>
          <w:tcPr>
            <w:tcW w:w="206"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11,591</w:t>
            </w:r>
          </w:p>
        </w:tc>
        <w:tc>
          <w:tcPr>
            <w:tcW w:w="20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5"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11,591</w:t>
            </w:r>
          </w:p>
        </w:tc>
      </w:tr>
      <w:tr>
        <w:trPr/>
        <w:tc>
          <w:tcPr>
            <w:tcW w:w="21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pPr>
            <w:r>
              <w:rPr/>
              <w:t>​</w:t>
            </w:r>
          </w:p>
        </w:tc>
        <w:tc>
          <w:tcPr>
            <w:tcW w:w="818"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109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pPr>
            <w:r>
              <w:rPr/>
              <w:t>​</w:t>
            </w:r>
          </w:p>
        </w:tc>
        <w:tc>
          <w:tcPr>
            <w:tcW w:w="585"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pPr>
            <w:r>
              <w:rPr/>
              <w:t>​</w:t>
            </w:r>
          </w:p>
        </w:tc>
        <w:tc>
          <w:tcPr>
            <w:tcW w:w="667"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left"/>
              <w:rPr/>
            </w:pPr>
            <w:r>
              <w:rPr/>
              <w:t>​</w:t>
            </w:r>
          </w:p>
        </w:tc>
      </w:tr>
      <w:tr>
        <w:trPr/>
        <w:tc>
          <w:tcPr>
            <w:tcW w:w="21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pPr>
            <w:r>
              <w:rPr/>
              <w:t>​</w:t>
            </w:r>
          </w:p>
        </w:tc>
        <w:tc>
          <w:tcPr>
            <w:tcW w:w="818"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438"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097"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31"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377" w:type="dxa"/>
            <w:tcBorders/>
            <w:shd w:fill="CCEEFF" w:val="clear"/>
            <w:vAlign w:val="center"/>
          </w:tcPr>
          <w:p>
            <w:pPr>
              <w:pStyle w:val="TableContents"/>
              <w:bidi w:val="0"/>
              <w:spacing w:before="0" w:after="0"/>
              <w:ind w:left="0" w:right="0" w:hanging="0"/>
              <w:jc w:val="left"/>
              <w:rPr/>
            </w:pPr>
            <w:r>
              <w:rPr/>
              <w:t>​</w:t>
            </w:r>
          </w:p>
        </w:tc>
        <w:tc>
          <w:tcPr>
            <w:tcW w:w="667"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745" w:type="dxa"/>
            <w:tcBorders/>
            <w:shd w:fill="CCEEFF" w:val="clear"/>
            <w:vAlign w:val="center"/>
          </w:tcPr>
          <w:p>
            <w:pPr>
              <w:pStyle w:val="TableContents"/>
              <w:bidi w:val="0"/>
              <w:spacing w:before="0" w:after="0"/>
              <w:ind w:left="0" w:right="0" w:hanging="0"/>
              <w:jc w:val="left"/>
              <w:rPr/>
            </w:pPr>
            <w:r>
              <w:rPr/>
              <w:t>​</w:t>
            </w:r>
          </w:p>
        </w:tc>
      </w:tr>
      <w:tr>
        <w:trPr/>
        <w:tc>
          <w:tcPr>
            <w:tcW w:w="21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w:t>
            </w:r>
          </w:p>
        </w:tc>
        <w:tc>
          <w:tcPr>
            <w:tcW w:w="28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8"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9,870</w:t>
            </w:r>
          </w:p>
        </w:tc>
        <w:tc>
          <w:tcPr>
            <w:tcW w:w="206" w:type="dxa"/>
            <w:tcBorders/>
            <w:vAlign w:val="center"/>
          </w:tcPr>
          <w:p>
            <w:pPr>
              <w:pStyle w:val="TableContents"/>
              <w:bidi w:val="0"/>
              <w:spacing w:before="0" w:after="0"/>
              <w:ind w:left="0" w:right="0" w:hanging="0"/>
              <w:jc w:val="left"/>
              <w:rPr/>
            </w:pPr>
            <w:r>
              <w:rPr/>
              <w:t>​</w:t>
            </w:r>
          </w:p>
        </w:tc>
        <w:tc>
          <w:tcPr>
            <w:tcW w:w="438"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5"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09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9,870</w:t>
            </w:r>
          </w:p>
        </w:tc>
        <w:tc>
          <w:tcPr>
            <w:tcW w:w="206"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85"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37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67"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5" w:type="dxa"/>
            <w:tcBorders/>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9,870</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Credit–Risk–Related Contingent Features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interest rate swap agreements with certain of its derivative counterparties that contain a provision where if the Company either defaults or fails to maintain its status as a well or adequately capitalized institution, then the Company could be required to terminate the contracts or post additional collateral.   At June 30, 2023, the Company had no derivatives in a net liability position related to these agreements. The Company has minimum collateral posting thresholds with certain of its derivative counterparties and has posted collateral of securities with a carrying value of $2.8 million and cash of $680,000 to secure interest rate swap agreements at June 30, 2023. The Company had posted cash collateral of $115,000 for TBA trades with counterparties at that date.  In certain cases, the Company will have posted excess collateral, compared to total exposure due to initial margin requirements or day-to-day rate volatility.</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7 – LEASES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operating leases for retail bank and home lending branches, loan production offices, and certain equipment. The Company’s leases have remaining lease terms of nine months to seven years, some of which include options to extend the leases for up to five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bookmarkStart w:id="3519" w:name="Tc_GKZ4_zm9gUuFrdm5A9k_5A_9_2"/>
      <w:bookmarkStart w:id="3520" w:name="Tc_vBE5-Yxxj0GSfPQqrh83xw_9_0"/>
      <w:bookmarkStart w:id="3521" w:name="Tc_idQByTIaHUqUfsKwTJb5Sw_8_0"/>
      <w:bookmarkStart w:id="3522" w:name="Tc_Nz_OGeqLq0C8oKvdced0Zw_7_0"/>
      <w:bookmarkStart w:id="3523" w:name="Tc_0gUYCIcCyUC23dn1u4fAFw_6_0"/>
      <w:bookmarkStart w:id="3524" w:name="Tc_JJsEy2At9EOtgPj1M-J_sA_5_0"/>
      <w:bookmarkStart w:id="3525" w:name="Tc_hL5Kc9Sd50G8qCuFTzlWVQ_4_0"/>
      <w:bookmarkStart w:id="3526" w:name="Tc_fXDbZfpzbkyRiekbMyK1EQ_3_0"/>
      <w:bookmarkStart w:id="3527" w:name="Tc_q9cF45SWZEi6qEEtWUv0ug_2_0"/>
      <w:bookmarkStart w:id="3528" w:name="Tc_BXW-kp8TFUiITk_PDEYS2Q_1_2"/>
      <w:bookmarkStart w:id="3529" w:name="Tc_A6bdUlI1vUuBcEHA9-GrLA_1_0"/>
      <w:bookmarkStart w:id="3530" w:name="Tc_IZv68nYNgUaHiu4pIu_u5g_6_8"/>
      <w:bookmarkStart w:id="3531" w:name="Tc_iBA_-LcELE-qXYiLonuvxQ_6_4"/>
      <w:bookmarkStart w:id="3532" w:name="Tc_ukOAWtsB5UqP9zCDbaK-Mg_6_0"/>
      <w:bookmarkStart w:id="3533" w:name="Tc_4Q9Kz5vNXUC08dBI9CjgIQ_5_8"/>
      <w:bookmarkStart w:id="3534" w:name="Tc_G5sfrCOxAEOOnNcCn0V4CQ_5_4"/>
      <w:bookmarkStart w:id="3535" w:name="Tc_rszsAykKo0eoQXnFxynKlA_5_0"/>
      <w:bookmarkStart w:id="3536" w:name="Tc_SoSw7GdoCEuaI36PH-fOrA_4_6"/>
      <w:bookmarkStart w:id="3537" w:name="Tc_jTsRQ68rnEW0extg0_19FA_4_2"/>
      <w:bookmarkStart w:id="3538" w:name="Tc_Q0nXzvs0FUSMdHLJAqNvGA_4_0"/>
      <w:bookmarkStart w:id="3539" w:name="Tc_he7Ch14d2k-e2kXEuP6iyw_3_6"/>
      <w:bookmarkStart w:id="3540" w:name="Tc_Y-KJ7TMvrkWqRLbVV43wAg_3_2"/>
      <w:bookmarkStart w:id="3541" w:name="Tc_jYPZOTJ8eU2BJs72RiSV1A_3_0"/>
      <w:bookmarkStart w:id="3542" w:name="Tc_HvgMMb3z60C-WJJPadWPLQ_2_6"/>
      <w:bookmarkStart w:id="3543" w:name="Tc_BJekmsNeTEGgNnWQGMjumw_2_2"/>
      <w:bookmarkStart w:id="3544" w:name="Tc_mCHd0mm9zkigDe4oagqalQ_2_0"/>
      <w:bookmarkStart w:id="3545" w:name="Tc_q8eI256GOEOJrkOh5z5q0A_1_6"/>
      <w:bookmarkStart w:id="3546" w:name="Tc_FRGsZdQbn0Ow3-3-auihRw_1_2"/>
      <w:bookmarkStart w:id="3547" w:name="_651852a5_a5f1_41d0_bab1_939f4f4c216f"/>
      <w:bookmarkStart w:id="3548" w:name="Tc_Jl5EtzCAZkqNvd3TT8eOPQ_6_8"/>
      <w:bookmarkStart w:id="3549" w:name="Tc_WkdzUOws-ky5dnLKaWX-1w_6_4"/>
      <w:bookmarkStart w:id="3550" w:name="Tc_c_ezhU3VskKhK0NxDQtSXQ_6_0"/>
      <w:bookmarkStart w:id="3551" w:name="Tc_O1Dyo3zIS06cFQVmJvEI2Q_5_8"/>
      <w:bookmarkStart w:id="3552" w:name="Tc_m8pAGcq0w0Oy7BMTyMH6mA_5_4"/>
      <w:bookmarkStart w:id="3553" w:name="Tc_4r3v-n6myE2cmWxQLpp80A_5_0"/>
      <w:bookmarkStart w:id="3554" w:name="Tc_Jc9n5vazcE-j5XJipltXVQ_4_6"/>
      <w:bookmarkStart w:id="3555" w:name="Tc_FnIBVI8UwEW6L9Rauj6TKQ_4_2"/>
      <w:bookmarkStart w:id="3556" w:name="Tc_Ehi-JfT5iUio8x70Zr5E4w_4_0"/>
      <w:bookmarkStart w:id="3557" w:name="Tc_rD2_r1FBUkOQmR5Z4iDWYw_3_6"/>
      <w:bookmarkStart w:id="3558" w:name="Tc_PgdNU03UIEK5BWOWlGUEXg_3_2"/>
      <w:bookmarkStart w:id="3559" w:name="Tc_jKpKfjKlNEqONQz2Yvd7Zw_3_0"/>
      <w:bookmarkStart w:id="3560" w:name="Tc_XvjzL4JaiUiB8qsoCcfAOQ_2_6"/>
      <w:bookmarkStart w:id="3561" w:name="Tc_KvZ_5zgu9keKYla2gi7jSA_2_2"/>
      <w:bookmarkStart w:id="3562" w:name="Tc_eedMYyC0fUuyzRcFheiRJw_2_0"/>
      <w:bookmarkStart w:id="3563" w:name="Tc_bzKf7EJXZUCTHSBRVH1nPw_1_6"/>
      <w:bookmarkStart w:id="3564" w:name="Tc_kQN31rZesUG1p4h2c7ezsg_1_2"/>
      <w:bookmarkStart w:id="3565" w:name="_2b8237ec_5142_413c_85d3_96228bc41786"/>
      <w:bookmarkStart w:id="3566" w:name="Tc_s2NzMIl0X0CaJokPWHOYtg_5_5"/>
      <w:bookmarkStart w:id="3567" w:name="Tc_joubfk7-R02eLEFFwI1ZjQ_5_2"/>
      <w:bookmarkStart w:id="3568" w:name="Tc_ODtNi3XCD0uIh6LGatsfKA_5_0"/>
      <w:bookmarkStart w:id="3569" w:name="Tc_6idDB2a-RU2-QJlVRlywqw_4_0"/>
      <w:bookmarkStart w:id="3570" w:name="Tc_8Vy3-CbGSUuxoKyKXH1fHg_3_5"/>
      <w:bookmarkStart w:id="3571" w:name="Tc_u3pkRRp5yku_PT7uQ2DGhA_3_2"/>
      <w:bookmarkStart w:id="3572" w:name="Tc_T46Uut8GoEGR2tCXY4Ab0Q_3_0"/>
      <w:bookmarkStart w:id="3573" w:name="Tc_wtNg27AdBE2gkbiZuztjGg_2_5"/>
      <w:bookmarkStart w:id="3574" w:name="Tc_VbtT6gGNzkWHh8bFRDhEUw_2_2"/>
      <w:bookmarkStart w:id="3575" w:name="Tc_jcAGhaDGI0-lIliZVELKaw_2_0"/>
      <w:bookmarkStart w:id="3576" w:name="Tc_CNgp4ij_jk2ljWMT0Oi0Ig_1_5"/>
      <w:bookmarkStart w:id="3577" w:name="Tc_CKRFF8DwQkmQZi0TiHjbMw_1_2"/>
      <w:bookmarkStart w:id="3578" w:name="_3dcde7fa_1474_42ea_a7ef_b6d69bdecb20"/>
      <w:bookmarkStart w:id="3579" w:name="Tc_OygUP1X5-EimJBbyHK7Zmg_5_5"/>
      <w:bookmarkStart w:id="3580" w:name="Tc_v7lH6iMaLkSGojaDJ5LOew_5_2"/>
      <w:bookmarkStart w:id="3581" w:name="Tc_-O07UhwE0Uq634ZuAGLieA_5_0"/>
      <w:bookmarkStart w:id="3582" w:name="Tc_RIOQiTrrF0mmIM4aJ6BgJA_4_0"/>
      <w:bookmarkStart w:id="3583" w:name="Tc_1snxX02m_kWv66PIbQywZw_3_5"/>
      <w:bookmarkStart w:id="3584" w:name="Tc_tiD6Q8l7dEOzqUaehwATrw_3_2"/>
      <w:bookmarkStart w:id="3585" w:name="Tc_6sTE-LxViECl5JqnJkCU7A_3_0"/>
      <w:bookmarkStart w:id="3586" w:name="Tc_yngu_LG9uUCs6cjv4J0mGg_2_5"/>
      <w:bookmarkStart w:id="3587" w:name="Tc_lgrA3ZWXdkOnwWjxIHC4dA_2_2"/>
      <w:bookmarkStart w:id="3588" w:name="Tc_WD570OHC20yIdlmYE7MxPw_2_0"/>
      <w:bookmarkStart w:id="3589" w:name="Tc_o6g7sbqtSkiCEcjVV-VNAw_1_5"/>
      <w:bookmarkStart w:id="3590" w:name="Tc_TBxW4CMyPUmnltl8BhdDNg_1_2"/>
      <w:bookmarkStart w:id="3591" w:name="_4f80678d_faad_4f0d_990a_16c2906475e0"/>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r>
        <w:rPr>
          <w:rFonts w:ascii="Times New Roman;Times;serif" w:hAnsi="Times New Roman;Times;serif"/>
          <w:sz w:val="20"/>
        </w:rPr>
        <w:t>The components of lease cost (included in occupancy expense on the Consolidated Statements of Income) are as follows for the three and six months ended June 30, 2023 and 2022:</w:t>
      </w:r>
    </w:p>
    <w:p>
      <w:pPr>
        <w:pStyle w:val="TextBody"/>
        <w:bidi w:val="0"/>
        <w:spacing w:before="0" w:after="0"/>
        <w:ind w:left="0" w:right="0" w:hanging="0"/>
        <w:jc w:val="left"/>
        <w:rPr/>
      </w:pPr>
      <w:r>
        <w:rPr/>
        <w:t>​</w:t>
      </w:r>
    </w:p>
    <w:tbl>
      <w:tblPr>
        <w:tblW w:w="6578" w:type="dxa"/>
        <w:jc w:val="left"/>
        <w:tblInd w:w="0" w:type="dxa"/>
        <w:tblLayout w:type="fixed"/>
        <w:tblCellMar>
          <w:top w:w="0" w:type="dxa"/>
          <w:left w:w="0" w:type="dxa"/>
          <w:bottom w:w="0" w:type="dxa"/>
          <w:right w:w="0" w:type="dxa"/>
        </w:tblCellMar>
      </w:tblPr>
      <w:tblGrid>
        <w:gridCol w:w="1801"/>
        <w:gridCol w:w="506"/>
        <w:gridCol w:w="619"/>
        <w:gridCol w:w="1241"/>
        <w:gridCol w:w="506"/>
        <w:gridCol w:w="544"/>
        <w:gridCol w:w="1361"/>
      </w:tblGrid>
      <w:tr>
        <w:trPr/>
        <w:tc>
          <w:tcPr>
            <w:tcW w:w="1801"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left"/>
              <w:rPr/>
            </w:pPr>
            <w:r>
              <w:rPr/>
              <w:t>​</w:t>
            </w:r>
          </w:p>
        </w:tc>
        <w:tc>
          <w:tcPr>
            <w:tcW w:w="619" w:type="dxa"/>
            <w:tcBorders/>
            <w:vAlign w:val="center"/>
          </w:tcPr>
          <w:p>
            <w:pPr>
              <w:pStyle w:val="TableContents"/>
              <w:bidi w:val="0"/>
              <w:spacing w:before="0" w:after="1"/>
              <w:ind w:left="0" w:right="0" w:hanging="0"/>
              <w:jc w:val="left"/>
              <w:rPr/>
            </w:pPr>
            <w:r>
              <w:rPr/>
              <w:t>​</w:t>
            </w:r>
          </w:p>
        </w:tc>
        <w:tc>
          <w:tcPr>
            <w:tcW w:w="1241"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left"/>
              <w:rPr/>
            </w:pPr>
            <w:r>
              <w:rPr/>
              <w:t>​</w:t>
            </w:r>
          </w:p>
        </w:tc>
        <w:tc>
          <w:tcPr>
            <w:tcW w:w="544" w:type="dxa"/>
            <w:tcBorders/>
            <w:vAlign w:val="center"/>
          </w:tcPr>
          <w:p>
            <w:pPr>
              <w:pStyle w:val="TableContents"/>
              <w:bidi w:val="0"/>
              <w:spacing w:before="0" w:after="1"/>
              <w:ind w:left="0" w:right="0" w:hanging="0"/>
              <w:jc w:val="left"/>
              <w:rPr/>
            </w:pPr>
            <w:r>
              <w:rPr/>
              <w:t>​</w:t>
            </w:r>
          </w:p>
        </w:tc>
        <w:tc>
          <w:tcPr>
            <w:tcW w:w="1361" w:type="dxa"/>
            <w:tcBorders/>
            <w:vAlign w:val="center"/>
          </w:tcPr>
          <w:p>
            <w:pPr>
              <w:pStyle w:val="TableContents"/>
              <w:bidi w:val="0"/>
              <w:spacing w:before="0" w:after="1"/>
              <w:ind w:left="0" w:right="0" w:hanging="0"/>
              <w:jc w:val="left"/>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left"/>
              <w:rPr/>
            </w:pPr>
            <w:r>
              <w:rPr/>
              <w:t>​</w:t>
            </w:r>
          </w:p>
        </w:tc>
        <w:tc>
          <w:tcPr>
            <w:tcW w:w="1860"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c>
          <w:tcPr>
            <w:tcW w:w="506" w:type="dxa"/>
            <w:tcBorders/>
            <w:vAlign w:val="center"/>
          </w:tcPr>
          <w:p>
            <w:pPr>
              <w:pStyle w:val="TableContents"/>
              <w:bidi w:val="0"/>
              <w:spacing w:before="0" w:after="1"/>
              <w:ind w:left="0" w:right="0" w:hanging="0"/>
              <w:jc w:val="left"/>
              <w:rPr/>
            </w:pPr>
            <w:r>
              <w:rPr/>
              <w:t>​</w:t>
            </w:r>
          </w:p>
        </w:tc>
        <w:tc>
          <w:tcPr>
            <w:tcW w:w="190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506" w:type="dxa"/>
            <w:tcBorders/>
            <w:vAlign w:val="center"/>
          </w:tcPr>
          <w:p>
            <w:pPr>
              <w:pStyle w:val="TableContents"/>
              <w:bidi w:val="0"/>
              <w:spacing w:before="0" w:after="1"/>
              <w:ind w:left="0" w:right="0" w:hanging="0"/>
              <w:jc w:val="left"/>
              <w:rPr/>
            </w:pPr>
            <w:r>
              <w:rPr/>
              <w:t>       </w:t>
            </w:r>
          </w:p>
        </w:tc>
        <w:tc>
          <w:tcPr>
            <w:tcW w:w="18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506" w:type="dxa"/>
            <w:tcBorders/>
            <w:vAlign w:val="center"/>
          </w:tcPr>
          <w:p>
            <w:pPr>
              <w:pStyle w:val="TableContents"/>
              <w:bidi w:val="0"/>
              <w:spacing w:before="0" w:after="1"/>
              <w:ind w:left="0" w:right="0" w:hanging="0"/>
              <w:jc w:val="left"/>
              <w:rPr/>
            </w:pPr>
            <w:r>
              <w:rPr/>
              <w:t>       </w:t>
            </w:r>
          </w:p>
        </w:tc>
        <w:tc>
          <w:tcPr>
            <w:tcW w:w="1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2022</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506" w:type="dxa"/>
            <w:tcBorders/>
            <w:shd w:fill="CCEEFF" w:val="clear"/>
            <w:vAlign w:val="center"/>
          </w:tcPr>
          <w:p>
            <w:pPr>
              <w:pStyle w:val="TableContents"/>
              <w:bidi w:val="0"/>
              <w:spacing w:before="0" w:after="1"/>
              <w:ind w:left="0" w:right="0" w:hanging="0"/>
              <w:jc w:val="left"/>
              <w:rPr/>
            </w:pPr>
            <w:r>
              <w:rPr/>
              <w:t>​</w:t>
            </w:r>
          </w:p>
        </w:tc>
        <w:tc>
          <w:tcPr>
            <w:tcW w:w="6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506" w:type="dxa"/>
            <w:tcBorders/>
            <w:shd w:fill="CCEEFF" w:val="clear"/>
            <w:vAlign w:val="center"/>
          </w:tcPr>
          <w:p>
            <w:pPr>
              <w:pStyle w:val="TableContents"/>
              <w:bidi w:val="0"/>
              <w:spacing w:before="0" w:after="1"/>
              <w:ind w:left="0" w:right="0" w:hanging="0"/>
              <w:jc w:val="left"/>
              <w:rPr/>
            </w:pPr>
            <w:r>
              <w:rPr/>
              <w:t>​</w:t>
            </w:r>
          </w:p>
        </w:tc>
        <w:tc>
          <w:tcPr>
            <w:tcW w:w="5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506" w:type="dxa"/>
            <w:tcBorders/>
            <w:vAlign w:val="center"/>
          </w:tcPr>
          <w:p>
            <w:pPr>
              <w:pStyle w:val="TableContents"/>
              <w:bidi w:val="0"/>
              <w:spacing w:before="0" w:after="1"/>
              <w:ind w:left="0" w:right="0" w:hanging="0"/>
              <w:jc w:val="left"/>
              <w:rPr/>
            </w:pPr>
            <w:r>
              <w:rPr/>
              <w:t>​</w:t>
            </w:r>
          </w:p>
        </w:tc>
        <w:tc>
          <w:tcPr>
            <w:tcW w:w="61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506" w:type="dxa"/>
            <w:tcBorders/>
            <w:vAlign w:val="center"/>
          </w:tcPr>
          <w:p>
            <w:pPr>
              <w:pStyle w:val="TableContents"/>
              <w:bidi w:val="0"/>
              <w:spacing w:before="0" w:after="1"/>
              <w:ind w:left="0" w:right="0" w:hanging="0"/>
              <w:jc w:val="left"/>
              <w:rPr/>
            </w:pPr>
            <w:r>
              <w:rPr/>
              <w:t>​</w:t>
            </w:r>
          </w:p>
        </w:tc>
        <w:tc>
          <w:tcPr>
            <w:tcW w:w="54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506" w:type="dxa"/>
            <w:tcBorders/>
            <w:shd w:fill="CCEEFF" w:val="clear"/>
            <w:vAlign w:val="center"/>
          </w:tcPr>
          <w:p>
            <w:pPr>
              <w:pStyle w:val="TableContents"/>
              <w:bidi w:val="0"/>
              <w:spacing w:before="0" w:after="1"/>
              <w:ind w:left="0" w:right="0" w:hanging="0"/>
              <w:jc w:val="left"/>
              <w:rPr/>
            </w:pPr>
            <w:r>
              <w:rPr/>
              <w:t>​</w:t>
            </w:r>
          </w:p>
        </w:tc>
        <w:tc>
          <w:tcPr>
            <w:tcW w:w="6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506" w:type="dxa"/>
            <w:tcBorders/>
            <w:shd w:fill="CCEEFF" w:val="clear"/>
            <w:vAlign w:val="center"/>
          </w:tcPr>
          <w:p>
            <w:pPr>
              <w:pStyle w:val="TableContents"/>
              <w:bidi w:val="0"/>
              <w:spacing w:before="0" w:after="1"/>
              <w:ind w:left="0" w:right="0" w:hanging="0"/>
              <w:jc w:val="left"/>
              <w:rPr/>
            </w:pPr>
            <w:r>
              <w:rPr/>
              <w:t>​</w:t>
            </w:r>
          </w:p>
        </w:tc>
        <w:tc>
          <w:tcPr>
            <w:tcW w:w="54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6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355</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tbl>
      <w:tblPr>
        <w:tblW w:w="6143" w:type="dxa"/>
        <w:jc w:val="left"/>
        <w:tblInd w:w="0" w:type="dxa"/>
        <w:tblLayout w:type="fixed"/>
        <w:tblCellMar>
          <w:top w:w="0" w:type="dxa"/>
          <w:left w:w="0" w:type="dxa"/>
          <w:bottom w:w="0" w:type="dxa"/>
          <w:right w:w="0" w:type="dxa"/>
        </w:tblCellMar>
      </w:tblPr>
      <w:tblGrid>
        <w:gridCol w:w="1801"/>
        <w:gridCol w:w="506"/>
        <w:gridCol w:w="554"/>
        <w:gridCol w:w="1111"/>
        <w:gridCol w:w="506"/>
        <w:gridCol w:w="475"/>
        <w:gridCol w:w="1190"/>
      </w:tblGrid>
      <w:tr>
        <w:trPr/>
        <w:tc>
          <w:tcPr>
            <w:tcW w:w="1801"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left"/>
              <w:rPr/>
            </w:pPr>
            <w:r>
              <w:rPr/>
              <w:t>​</w:t>
            </w:r>
          </w:p>
        </w:tc>
        <w:tc>
          <w:tcPr>
            <w:tcW w:w="554"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left"/>
              <w:rPr/>
            </w:pPr>
            <w:r>
              <w:rPr/>
              <w:t>​</w:t>
            </w:r>
          </w:p>
        </w:tc>
        <w:tc>
          <w:tcPr>
            <w:tcW w:w="475" w:type="dxa"/>
            <w:tcBorders/>
            <w:vAlign w:val="center"/>
          </w:tcPr>
          <w:p>
            <w:pPr>
              <w:pStyle w:val="TableContents"/>
              <w:bidi w:val="0"/>
              <w:spacing w:before="0" w:after="1"/>
              <w:ind w:left="0" w:right="0" w:hanging="0"/>
              <w:jc w:val="left"/>
              <w:rPr/>
            </w:pPr>
            <w:r>
              <w:rPr/>
              <w:t>​</w:t>
            </w:r>
          </w:p>
        </w:tc>
        <w:tc>
          <w:tcPr>
            <w:tcW w:w="1190" w:type="dxa"/>
            <w:tcBorders/>
            <w:vAlign w:val="center"/>
          </w:tcPr>
          <w:p>
            <w:pPr>
              <w:pStyle w:val="TableContents"/>
              <w:bidi w:val="0"/>
              <w:spacing w:before="0" w:after="1"/>
              <w:ind w:left="0" w:right="0" w:hanging="0"/>
              <w:jc w:val="left"/>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left"/>
              <w:rPr/>
            </w:pPr>
            <w:r>
              <w:rPr/>
              <w:t>​</w:t>
            </w:r>
          </w:p>
        </w:tc>
        <w:tc>
          <w:tcPr>
            <w:tcW w:w="166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Six Months Ended </w:t>
            </w:r>
          </w:p>
        </w:tc>
        <w:tc>
          <w:tcPr>
            <w:tcW w:w="506" w:type="dxa"/>
            <w:tcBorders/>
            <w:vAlign w:val="center"/>
          </w:tcPr>
          <w:p>
            <w:pPr>
              <w:pStyle w:val="TableContents"/>
              <w:bidi w:val="0"/>
              <w:spacing w:before="0" w:after="1"/>
              <w:ind w:left="0" w:right="0" w:hanging="0"/>
              <w:jc w:val="center"/>
              <w:rPr/>
            </w:pPr>
            <w:r>
              <w:rPr/>
              <w:t>​</w:t>
            </w:r>
          </w:p>
        </w:tc>
        <w:tc>
          <w:tcPr>
            <w:tcW w:w="166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Six Months Ended</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cost:</w:t>
            </w:r>
          </w:p>
        </w:tc>
        <w:tc>
          <w:tcPr>
            <w:tcW w:w="506" w:type="dxa"/>
            <w:tcBorders/>
            <w:vAlign w:val="center"/>
          </w:tcPr>
          <w:p>
            <w:pPr>
              <w:pStyle w:val="TableContents"/>
              <w:bidi w:val="0"/>
              <w:spacing w:before="0" w:after="1"/>
              <w:ind w:left="0" w:right="0" w:hanging="0"/>
              <w:jc w:val="left"/>
              <w:rPr/>
            </w:pPr>
            <w:r>
              <w:rPr/>
              <w:t>       </w:t>
            </w:r>
          </w:p>
        </w:tc>
        <w:tc>
          <w:tcPr>
            <w:tcW w:w="16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506" w:type="dxa"/>
            <w:tcBorders/>
            <w:vAlign w:val="center"/>
          </w:tcPr>
          <w:p>
            <w:pPr>
              <w:pStyle w:val="TableContents"/>
              <w:bidi w:val="0"/>
              <w:spacing w:before="0" w:after="1"/>
              <w:ind w:left="0" w:right="0" w:hanging="0"/>
              <w:jc w:val="left"/>
              <w:rPr/>
            </w:pPr>
            <w:r>
              <w:rPr/>
              <w:t>       </w:t>
            </w:r>
          </w:p>
        </w:tc>
        <w:tc>
          <w:tcPr>
            <w:tcW w:w="16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2022</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506" w:type="dxa"/>
            <w:tcBorders/>
            <w:shd w:fill="CCEEFF" w:val="clear"/>
            <w:vAlign w:val="center"/>
          </w:tcPr>
          <w:p>
            <w:pPr>
              <w:pStyle w:val="TableContents"/>
              <w:bidi w:val="0"/>
              <w:spacing w:before="0" w:after="1"/>
              <w:ind w:left="0" w:right="0" w:hanging="0"/>
              <w:jc w:val="left"/>
              <w:rPr/>
            </w:pPr>
            <w:r>
              <w:rPr/>
              <w:t>​</w:t>
            </w:r>
          </w:p>
        </w:tc>
        <w:tc>
          <w:tcPr>
            <w:tcW w:w="5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506" w:type="dxa"/>
            <w:tcBorders/>
            <w:shd w:fill="CCEEFF" w:val="clear"/>
            <w:vAlign w:val="center"/>
          </w:tcPr>
          <w:p>
            <w:pPr>
              <w:pStyle w:val="TableContents"/>
              <w:bidi w:val="0"/>
              <w:spacing w:before="0" w:after="1"/>
              <w:ind w:left="0" w:right="0" w:hanging="0"/>
              <w:jc w:val="left"/>
              <w:rPr/>
            </w:pPr>
            <w:r>
              <w:rPr/>
              <w:t>​</w:t>
            </w:r>
          </w:p>
        </w:tc>
        <w:tc>
          <w:tcPr>
            <w:tcW w:w="47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506" w:type="dxa"/>
            <w:tcBorders/>
            <w:vAlign w:val="center"/>
          </w:tcPr>
          <w:p>
            <w:pPr>
              <w:pStyle w:val="TableContents"/>
              <w:bidi w:val="0"/>
              <w:spacing w:before="0" w:after="1"/>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506" w:type="dxa"/>
            <w:tcBorders/>
            <w:vAlign w:val="center"/>
          </w:tcPr>
          <w:p>
            <w:pPr>
              <w:pStyle w:val="TableContents"/>
              <w:bidi w:val="0"/>
              <w:spacing w:before="0" w:after="1"/>
              <w:ind w:left="0" w:right="0" w:hanging="0"/>
              <w:jc w:val="left"/>
              <w:rPr/>
            </w:pPr>
            <w:r>
              <w:rPr/>
              <w:t>​</w:t>
            </w:r>
          </w:p>
        </w:tc>
        <w:tc>
          <w:tcPr>
            <w:tcW w:w="47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506" w:type="dxa"/>
            <w:tcBorders/>
            <w:shd w:fill="CCEEFF" w:val="clear"/>
            <w:vAlign w:val="center"/>
          </w:tcPr>
          <w:p>
            <w:pPr>
              <w:pStyle w:val="TableContents"/>
              <w:bidi w:val="0"/>
              <w:spacing w:before="0" w:after="1"/>
              <w:ind w:left="0" w:right="0" w:hanging="0"/>
              <w:jc w:val="left"/>
              <w:rPr/>
            </w:pPr>
            <w:r>
              <w:rPr/>
              <w:t>​</w:t>
            </w:r>
          </w:p>
        </w:tc>
        <w:tc>
          <w:tcPr>
            <w:tcW w:w="5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890</w:t>
            </w:r>
          </w:p>
        </w:tc>
        <w:tc>
          <w:tcPr>
            <w:tcW w:w="506" w:type="dxa"/>
            <w:tcBorders/>
            <w:shd w:fill="CCEEFF" w:val="clear"/>
            <w:vAlign w:val="center"/>
          </w:tcPr>
          <w:p>
            <w:pPr>
              <w:pStyle w:val="TableContents"/>
              <w:bidi w:val="0"/>
              <w:spacing w:before="0" w:after="1"/>
              <w:ind w:left="0" w:right="0" w:hanging="0"/>
              <w:jc w:val="left"/>
              <w:rPr/>
            </w:pPr>
            <w:r>
              <w:rPr/>
              <w:t>​</w:t>
            </w:r>
          </w:p>
        </w:tc>
        <w:tc>
          <w:tcPr>
            <w:tcW w:w="47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699</w:t>
            </w:r>
          </w:p>
        </w:tc>
      </w:tr>
    </w:tbl>
    <w:p>
      <w:pPr>
        <w:pStyle w:val="TextBody"/>
        <w:bidi w:val="0"/>
        <w:spacing w:before="0" w:after="0"/>
        <w:ind w:left="0" w:right="0" w:hanging="0"/>
        <w:jc w:val="left"/>
        <w:rPr/>
      </w:pPr>
      <w:r>
        <w:rPr/>
        <w:t>​</w:t>
      </w:r>
    </w:p>
    <w:p>
      <w:pPr>
        <w:pStyle w:val="TextBody"/>
        <w:bidi w:val="0"/>
        <w:spacing w:before="240" w:after="120"/>
        <w:ind w:left="0" w:right="0" w:hanging="0"/>
        <w:jc w:val="both"/>
        <w:rPr>
          <w:rFonts w:ascii="Times New Roman;Times;serif" w:hAnsi="Times New Roman;Times;serif"/>
          <w:sz w:val="20"/>
        </w:rPr>
      </w:pPr>
      <w:r>
        <w:rPr>
          <w:rFonts w:ascii="Times New Roman;Times;serif" w:hAnsi="Times New Roman;Times;serif"/>
          <w:sz w:val="20"/>
        </w:rPr>
        <w:t>The following tables provide supplemental information related to operating leases at or for the three and six  months ended June 30, 2023 and 2022:</w:t>
      </w:r>
    </w:p>
    <w:p>
      <w:pPr>
        <w:pStyle w:val="TextBody"/>
        <w:bidi w:val="0"/>
        <w:spacing w:before="0" w:after="0"/>
        <w:ind w:left="0" w:right="0" w:hanging="0"/>
        <w:jc w:val="left"/>
        <w:rPr/>
      </w:pPr>
      <w:r>
        <w:rPr/>
        <w:t>​</w:t>
      </w:r>
    </w:p>
    <w:tbl>
      <w:tblPr>
        <w:tblW w:w="9052" w:type="dxa"/>
        <w:jc w:val="left"/>
        <w:tblInd w:w="0" w:type="dxa"/>
        <w:tblLayout w:type="fixed"/>
        <w:tblCellMar>
          <w:top w:w="0" w:type="dxa"/>
          <w:left w:w="0" w:type="dxa"/>
          <w:bottom w:w="0" w:type="dxa"/>
          <w:right w:w="0" w:type="dxa"/>
        </w:tblCellMar>
      </w:tblPr>
      <w:tblGrid>
        <w:gridCol w:w="4726"/>
        <w:gridCol w:w="326"/>
        <w:gridCol w:w="318"/>
        <w:gridCol w:w="703"/>
        <w:gridCol w:w="794"/>
        <w:gridCol w:w="326"/>
        <w:gridCol w:w="314"/>
        <w:gridCol w:w="694"/>
        <w:gridCol w:w="851"/>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3001010" cy="175260"/>
                      <wp:effectExtent l="0" t="0" r="0" b="0"/>
                      <wp:wrapNone/>
                      <wp:docPr id="423" name="Frame423"/>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01930" cy="175260"/>
                      <wp:effectExtent l="0" t="0" r="0" b="0"/>
                      <wp:wrapNone/>
                      <wp:docPr id="425" name="Frame425"/>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446405" cy="175260"/>
                      <wp:effectExtent l="0" t="0" r="0" b="0"/>
                      <wp:wrapNone/>
                      <wp:docPr id="426" name="Frame426"/>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04190" cy="175260"/>
                      <wp:effectExtent l="0" t="0" r="0" b="0"/>
                      <wp:wrapNone/>
                      <wp:docPr id="427" name="Frame427"/>
                      <a:graphic xmlns:a="http://schemas.openxmlformats.org/drawingml/2006/main">
                        <a:graphicData uri="http://schemas.microsoft.com/office/word/2010/wordprocessingShape">
                          <wps:wsp>
                            <wps:cNvSpPr txBox="1"/>
                            <wps:spPr>
                              <a:xfrm>
                                <a:off x="0" y="0"/>
                                <a:ext cx="504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99390" cy="175260"/>
                      <wp:effectExtent l="0" t="0" r="0" b="0"/>
                      <wp:wrapNone/>
                      <wp:docPr id="429" name="Frame429"/>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40690" cy="175260"/>
                      <wp:effectExtent l="0" t="0" r="0" b="0"/>
                      <wp:wrapNone/>
                      <wp:docPr id="430" name="Frame430"/>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540385" cy="175260"/>
                      <wp:effectExtent l="0" t="0" r="0" b="0"/>
                      <wp:wrapNone/>
                      <wp:docPr id="431" name="Frame431"/>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At or For the </w:t>
            </w:r>
          </w:p>
        </w:tc>
        <w:tc>
          <w:tcPr>
            <w:tcW w:w="326" w:type="dxa"/>
            <w:tcBorders/>
            <w:vAlign w:val="center"/>
          </w:tcPr>
          <w:p>
            <w:pPr>
              <w:pStyle w:val="TableContents"/>
              <w:bidi w:val="0"/>
              <w:spacing w:before="0" w:after="0"/>
              <w:ind w:left="0" w:right="0" w:hanging="0"/>
              <w:jc w:val="center"/>
              <w:rPr/>
            </w:pPr>
            <w:r>
              <w:rPr/>
              <w:t>​</w:t>
            </w:r>
          </w:p>
        </w:tc>
        <w:tc>
          <w:tcPr>
            <w:tcW w:w="185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At or For the </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paid for amounts included in the </w:t>
            </w:r>
          </w:p>
        </w:tc>
        <w:tc>
          <w:tcPr>
            <w:tcW w:w="326" w:type="dxa"/>
            <w:tcBorders/>
            <w:vAlign w:val="center"/>
          </w:tcPr>
          <w:p>
            <w:pPr>
              <w:pStyle w:val="TableContents"/>
              <w:bidi w:val="0"/>
              <w:spacing w:before="0" w:after="0"/>
              <w:ind w:left="0" w:right="0" w:hanging="0"/>
              <w:jc w:val="left"/>
              <w:rPr/>
            </w:pPr>
            <w:r>
              <w:rPr/>
              <w:t>​</w:t>
            </w:r>
          </w:p>
        </w:tc>
        <w:tc>
          <w:tcPr>
            <w:tcW w:w="181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w:t>
            </w:r>
          </w:p>
        </w:tc>
        <w:tc>
          <w:tcPr>
            <w:tcW w:w="326" w:type="dxa"/>
            <w:tcBorders/>
            <w:vAlign w:val="center"/>
          </w:tcPr>
          <w:p>
            <w:pPr>
              <w:pStyle w:val="TableContents"/>
              <w:bidi w:val="0"/>
              <w:spacing w:before="0" w:after="0"/>
              <w:ind w:left="0" w:right="0" w:hanging="0"/>
              <w:jc w:val="center"/>
              <w:rPr/>
            </w:pPr>
            <w:r>
              <w:rPr/>
              <w:t>​</w:t>
            </w:r>
          </w:p>
        </w:tc>
        <w:tc>
          <w:tcPr>
            <w:tcW w:w="1859"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measurement of lease liabilities:</w:t>
            </w:r>
          </w:p>
        </w:tc>
        <w:tc>
          <w:tcPr>
            <w:tcW w:w="326" w:type="dxa"/>
            <w:tcBorders/>
            <w:vAlign w:val="center"/>
          </w:tcPr>
          <w:p>
            <w:pPr>
              <w:pStyle w:val="TableContents"/>
              <w:bidi w:val="0"/>
              <w:spacing w:before="0" w:after="0"/>
              <w:ind w:left="0" w:right="0" w:hanging="0"/>
              <w:jc w:val="left"/>
              <w:rPr/>
            </w:pPr>
            <w:r>
              <w:rPr/>
              <w:t>    </w:t>
            </w:r>
          </w:p>
        </w:tc>
        <w:tc>
          <w:tcPr>
            <w:tcW w:w="181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326" w:type="dxa"/>
            <w:tcBorders/>
            <w:vAlign w:val="center"/>
          </w:tcPr>
          <w:p>
            <w:pPr>
              <w:pStyle w:val="TableContents"/>
              <w:bidi w:val="0"/>
              <w:spacing w:before="0" w:after="0"/>
              <w:ind w:left="0" w:right="0" w:hanging="0"/>
              <w:jc w:val="left"/>
              <w:rPr/>
            </w:pPr>
            <w:r>
              <w:rPr/>
              <w:t>    </w:t>
            </w:r>
          </w:p>
        </w:tc>
        <w:tc>
          <w:tcPr>
            <w:tcW w:w="185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2022</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c>
          <w:tcPr>
            <w:tcW w:w="79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851" w:type="dxa"/>
            <w:tcBorders/>
            <w:shd w:fill="CCEEFF" w:val="clear"/>
            <w:vAlign w:val="center"/>
          </w:tcPr>
          <w:p>
            <w:pPr>
              <w:pStyle w:val="TableContents"/>
              <w:bidi w:val="0"/>
              <w:spacing w:before="0" w:after="0"/>
              <w:ind w:left="0" w:right="0" w:hanging="0"/>
              <w:jc w:val="lef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operating leases</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7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7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663" w:type="dxa"/>
        <w:jc w:val="left"/>
        <w:tblInd w:w="0" w:type="dxa"/>
        <w:tblLayout w:type="fixed"/>
        <w:tblCellMar>
          <w:top w:w="0" w:type="dxa"/>
          <w:left w:w="0" w:type="dxa"/>
          <w:bottom w:w="0" w:type="dxa"/>
          <w:right w:w="0" w:type="dxa"/>
        </w:tblCellMar>
      </w:tblPr>
      <w:tblGrid>
        <w:gridCol w:w="4726"/>
        <w:gridCol w:w="326"/>
        <w:gridCol w:w="264"/>
        <w:gridCol w:w="584"/>
        <w:gridCol w:w="772"/>
        <w:gridCol w:w="326"/>
        <w:gridCol w:w="262"/>
        <w:gridCol w:w="580"/>
        <w:gridCol w:w="823"/>
      </w:tblGrid>
      <w:tr>
        <w:trPr/>
        <w:tc>
          <w:tcPr>
            <w:tcW w:w="4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3001010" cy="175260"/>
                      <wp:effectExtent l="0" t="0" r="0" b="0"/>
                      <wp:wrapNone/>
                      <wp:docPr id="432" name="Frame432"/>
                      <a:graphic xmlns:a="http://schemas.openxmlformats.org/drawingml/2006/main">
                        <a:graphicData uri="http://schemas.microsoft.com/office/word/2010/wordprocessingShape">
                          <wps:wsp>
                            <wps:cNvSpPr txBox="1"/>
                            <wps:spPr>
                              <a:xfrm>
                                <a:off x="0" y="0"/>
                                <a:ext cx="3001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67640" cy="175260"/>
                      <wp:effectExtent l="0" t="0" r="0" b="0"/>
                      <wp:wrapNone/>
                      <wp:docPr id="434" name="Frame434"/>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370840" cy="175260"/>
                      <wp:effectExtent l="0" t="0" r="0" b="0"/>
                      <wp:wrapNone/>
                      <wp:docPr id="435" name="Frame435"/>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90220" cy="175260"/>
                      <wp:effectExtent l="0" t="0" r="0" b="0"/>
                      <wp:wrapNone/>
                      <wp:docPr id="436" name="Frame436"/>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07010" cy="175260"/>
                      <wp:effectExtent l="0" t="0" r="0" b="0"/>
                      <wp:wrapNone/>
                      <wp:docPr id="437"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66370" cy="175260"/>
                      <wp:effectExtent l="0" t="0" r="0" b="0"/>
                      <wp:wrapNone/>
                      <wp:docPr id="438" name="Frame438"/>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68300" cy="175260"/>
                      <wp:effectExtent l="0" t="0" r="0" b="0"/>
                      <wp:wrapNone/>
                      <wp:docPr id="439" name="Frame439"/>
                      <a:graphic xmlns:a="http://schemas.openxmlformats.org/drawingml/2006/main">
                        <a:graphicData uri="http://schemas.microsoft.com/office/word/2010/wordprocessingShape">
                          <wps:wsp>
                            <wps:cNvSpPr txBox="1"/>
                            <wps:spPr>
                              <a:xfrm>
                                <a:off x="0" y="0"/>
                                <a:ext cx="368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22605" cy="175260"/>
                      <wp:effectExtent l="0" t="0" r="0" b="0"/>
                      <wp:wrapNone/>
                      <wp:docPr id="440" name="Frame440"/>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2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At or For the </w:t>
            </w:r>
          </w:p>
        </w:tc>
        <w:tc>
          <w:tcPr>
            <w:tcW w:w="326"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paid for amounts included in the </w:t>
            </w:r>
          </w:p>
        </w:tc>
        <w:tc>
          <w:tcPr>
            <w:tcW w:w="326" w:type="dxa"/>
            <w:tcBorders/>
            <w:vAlign w:val="center"/>
          </w:tcPr>
          <w:p>
            <w:pPr>
              <w:pStyle w:val="TableContents"/>
              <w:bidi w:val="0"/>
              <w:spacing w:before="0" w:after="0"/>
              <w:ind w:left="0" w:right="0" w:hanging="0"/>
              <w:jc w:val="left"/>
              <w:rPr/>
            </w:pPr>
            <w:r>
              <w:rPr/>
              <w:t>​</w:t>
            </w:r>
          </w:p>
        </w:tc>
        <w:tc>
          <w:tcPr>
            <w:tcW w:w="1620"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 Months Ended</w:t>
            </w:r>
          </w:p>
        </w:tc>
        <w:tc>
          <w:tcPr>
            <w:tcW w:w="326" w:type="dxa"/>
            <w:tcBorders/>
            <w:vAlign w:val="center"/>
          </w:tcPr>
          <w:p>
            <w:pPr>
              <w:pStyle w:val="TableContents"/>
              <w:bidi w:val="0"/>
              <w:spacing w:before="0" w:after="0"/>
              <w:ind w:left="0" w:right="0" w:hanging="0"/>
              <w:jc w:val="left"/>
              <w:rPr/>
            </w:pPr>
            <w:r>
              <w:rPr/>
              <w:t>​</w:t>
            </w:r>
          </w:p>
        </w:tc>
        <w:tc>
          <w:tcPr>
            <w:tcW w:w="1665"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Six Months Ended</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measurement of lease liabilities:</w:t>
            </w:r>
          </w:p>
        </w:tc>
        <w:tc>
          <w:tcPr>
            <w:tcW w:w="326" w:type="dxa"/>
            <w:tcBorders/>
            <w:vAlign w:val="center"/>
          </w:tcPr>
          <w:p>
            <w:pPr>
              <w:pStyle w:val="TableContents"/>
              <w:bidi w:val="0"/>
              <w:spacing w:before="0" w:after="0"/>
              <w:ind w:left="0" w:right="0" w:hanging="0"/>
              <w:jc w:val="left"/>
              <w:rPr/>
            </w:pPr>
            <w:r>
              <w:rPr/>
              <w:t>    </w:t>
            </w:r>
          </w:p>
        </w:tc>
        <w:tc>
          <w:tcPr>
            <w:tcW w:w="16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326" w:type="dxa"/>
            <w:tcBorders/>
            <w:vAlign w:val="center"/>
          </w:tcPr>
          <w:p>
            <w:pPr>
              <w:pStyle w:val="TableContents"/>
              <w:bidi w:val="0"/>
              <w:spacing w:before="0" w:after="0"/>
              <w:ind w:left="0" w:right="0" w:hanging="0"/>
              <w:jc w:val="left"/>
              <w:rPr/>
            </w:pPr>
            <w:r>
              <w:rPr/>
              <w:t>    </w:t>
            </w:r>
          </w:p>
        </w:tc>
        <w:tc>
          <w:tcPr>
            <w:tcW w:w="166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2022</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77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823" w:type="dxa"/>
            <w:tcBorders/>
            <w:shd w:fill="CCEEFF" w:val="clear"/>
            <w:vAlign w:val="center"/>
          </w:tcPr>
          <w:p>
            <w:pPr>
              <w:pStyle w:val="TableContents"/>
              <w:bidi w:val="0"/>
              <w:spacing w:before="0" w:after="0"/>
              <w:ind w:left="0" w:right="0" w:hanging="0"/>
              <w:jc w:val="left"/>
              <w:rPr/>
            </w:pPr>
            <w:r>
              <w:rPr/>
              <w:t>​</w:t>
            </w:r>
          </w:p>
        </w:tc>
      </w:tr>
      <w:tr>
        <w:trPr/>
        <w:tc>
          <w:tcPr>
            <w:tcW w:w="4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operating leases</w:t>
            </w:r>
          </w:p>
        </w:tc>
        <w:tc>
          <w:tcPr>
            <w:tcW w:w="326" w:type="dxa"/>
            <w:tcBorders/>
            <w:vAlign w:val="center"/>
          </w:tcPr>
          <w:p>
            <w:pPr>
              <w:pStyle w:val="TableContents"/>
              <w:bidi w:val="0"/>
              <w:spacing w:before="0" w:after="0"/>
              <w:ind w:left="0" w:right="0" w:hanging="0"/>
              <w:jc w:val="left"/>
              <w:rPr/>
            </w:pPr>
            <w:r>
              <w:rPr/>
              <w:t>​</w:t>
            </w:r>
          </w:p>
        </w:tc>
        <w:tc>
          <w:tcPr>
            <w:tcW w:w="264"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7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c>
          <w:tcPr>
            <w:tcW w:w="326"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pPr>
            <w:r>
              <w:rPr/>
              <w:t> </w:t>
            </w:r>
          </w:p>
        </w:tc>
        <w:tc>
          <w:tcPr>
            <w:tcW w:w="5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82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  </w:t>
            </w:r>
          </w:p>
        </w:tc>
      </w:tr>
      <w:tr>
        <w:trPr/>
        <w:tc>
          <w:tcPr>
            <w:tcW w:w="4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64"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7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 </w:t>
            </w:r>
          </w:p>
        </w:tc>
        <w:tc>
          <w:tcPr>
            <w:tcW w:w="5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8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leases typically do not contain a discount rate implicit in the lease contract.  As an alternative, the discount rate used in determining the lease liability for each individual lease was the FHLB of Des Moines’ fixed-advance rate.</w:t>
      </w:r>
    </w:p>
    <w:p>
      <w:pPr>
        <w:pStyle w:val="TextBody"/>
        <w:bidi w:val="0"/>
        <w:spacing w:before="240" w:after="120"/>
        <w:ind w:left="0" w:right="0" w:hanging="0"/>
        <w:jc w:val="both"/>
        <w:rPr>
          <w:rFonts w:ascii="Times New Roman;Times;serif" w:hAnsi="Times New Roman;Times;serif"/>
          <w:sz w:val="20"/>
        </w:rPr>
      </w:pPr>
      <w:r>
        <w:rPr>
          <w:rFonts w:ascii="Times New Roman;Times;serif" w:hAnsi="Times New Roman;Times;serif"/>
          <w:sz w:val="20"/>
        </w:rPr>
        <w:t>Maturities of operating lease liabilities at June 30, 2023 for future periods are as follows:</w:t>
      </w:r>
    </w:p>
    <w:p>
      <w:pPr>
        <w:pStyle w:val="TextBody"/>
        <w:bidi w:val="0"/>
        <w:spacing w:before="0" w:after="0"/>
        <w:ind w:left="0" w:right="0" w:hanging="0"/>
        <w:jc w:val="left"/>
        <w:rPr/>
      </w:pPr>
      <w:r>
        <w:rPr/>
        <w:t>​</w:t>
      </w:r>
    </w:p>
    <w:tbl>
      <w:tblPr>
        <w:tblW w:w="2879" w:type="dxa"/>
        <w:jc w:val="left"/>
        <w:tblInd w:w="0" w:type="dxa"/>
        <w:tblLayout w:type="fixed"/>
        <w:tblCellMar>
          <w:top w:w="0" w:type="dxa"/>
          <w:left w:w="0" w:type="dxa"/>
          <w:bottom w:w="0" w:type="dxa"/>
          <w:right w:w="0" w:type="dxa"/>
        </w:tblCellMar>
      </w:tblPr>
      <w:tblGrid>
        <w:gridCol w:w="1846"/>
        <w:gridCol w:w="146"/>
        <w:gridCol w:w="211"/>
        <w:gridCol w:w="67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172210" cy="175260"/>
                      <wp:effectExtent l="0" t="0" r="0" b="0"/>
                      <wp:wrapNone/>
                      <wp:docPr id="441" name="Frame441"/>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92710" cy="175260"/>
                      <wp:effectExtent l="0" t="0" r="0" b="0"/>
                      <wp:wrapNone/>
                      <wp:docPr id="442" name="Frame44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29260" cy="175260"/>
                      <wp:effectExtent l="0" t="0" r="0" b="0"/>
                      <wp:wrapNone/>
                      <wp:docPr id="444" name="Frame4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964</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1,628</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4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1,383</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8,556</w:t>
            </w:r>
          </w:p>
        </w:tc>
      </w:tr>
      <w:tr>
        <w:trPr/>
        <w:tc>
          <w:tcPr>
            <w:tcW w:w="18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w:t>
            </w:r>
          </w:p>
        </w:tc>
      </w:tr>
      <w:tr>
        <w:trPr/>
        <w:tc>
          <w:tcPr>
            <w:tcW w:w="18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7,690</w:t>
            </w:r>
          </w:p>
        </w:tc>
      </w:tr>
    </w:tbl>
    <w:p>
      <w:pPr>
        <w:pStyle w:val="TextBody"/>
        <w:bidi w:val="0"/>
        <w:spacing w:before="0" w:after="20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8 – OTHER REAL ESTATE OWNED (“OREO”)</w:t>
      </w:r>
    </w:p>
    <w:p>
      <w:pPr>
        <w:pStyle w:val="TextBody"/>
        <w:bidi w:val="0"/>
        <w:spacing w:before="120" w:after="120"/>
        <w:ind w:left="0" w:right="0" w:hanging="0"/>
        <w:jc w:val="both"/>
        <w:rPr>
          <w:rFonts w:ascii="Times New Roman;Times;serif" w:hAnsi="Times New Roman;Times;serif"/>
          <w:sz w:val="20"/>
        </w:rPr>
      </w:pPr>
      <w:r>
        <w:rPr>
          <w:rFonts w:ascii="Times New Roman;Times;serif" w:hAnsi="Times New Roman;Times;serif"/>
          <w:sz w:val="20"/>
        </w:rPr>
        <w:t>The following table presents the activity related to OREO at or for the three and six months ended June 30, 2023 and 2022:</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592" w:name="Tc_0qhC1qqW4EeIN4LWTx_7kw_6_11"/>
      <w:bookmarkStart w:id="3593" w:name="Tc_Shzp4uL2GEukp6BJ0M8fMA_6_8"/>
      <w:bookmarkStart w:id="3594" w:name="Tc_M9WwfDtAk0q5WIn7Qdn_VA_6_5"/>
      <w:bookmarkStart w:id="3595" w:name="Tc_HzdycxmjKkeGmJODInqHCQ_6_2"/>
      <w:bookmarkStart w:id="3596" w:name="Tc_XOVqttx1H0-2fOcPeefPdQ_6_0"/>
      <w:bookmarkStart w:id="3597" w:name="Tc_XQx00kadlEqtfKvAU7LhMw_5_0"/>
      <w:bookmarkStart w:id="3598" w:name="Tc_TBIC02oj6kizTJfP2KjztA_4_11"/>
      <w:bookmarkStart w:id="3599" w:name="Tc_95IU8mLBaUujnUxCHFDJ7A_4_8"/>
      <w:bookmarkStart w:id="3600" w:name="Tc_8k8xymvXxUGjI7zqrhDMyQ_4_5"/>
      <w:bookmarkStart w:id="3601" w:name="Tc_4I3-V_ji2EC1IlGD6dCFFg_4_2"/>
      <w:bookmarkStart w:id="3602" w:name="Tc_hAvc9Ws8vkigTukJYtXHGw_4_0"/>
      <w:bookmarkStart w:id="3603" w:name="Tc_DGdSWfJLvk-7zm8_O4J_Ag_3_11"/>
      <w:bookmarkStart w:id="3604" w:name="Tc_wxUEzXxZnkOJV8MQPrLl8A_3_8"/>
      <w:bookmarkStart w:id="3605" w:name="Tc_rISR0huY8E6spEdlz6xTow_3_5"/>
      <w:bookmarkStart w:id="3606" w:name="Tc_xIZvNDEBPEGd2UIyF6-2FA_3_2"/>
      <w:bookmarkStart w:id="3607" w:name="Tc_Znwo8u8D6USioWyhBKR-2A_2_8"/>
      <w:bookmarkStart w:id="3608" w:name="Tc_nkg6TZAuckCvJj3ih0IwyA_2_2"/>
      <w:bookmarkStart w:id="3609" w:name="Tc_Fgr2eTfpckiQuZFuzOK4Gg_1_8"/>
      <w:bookmarkStart w:id="3610" w:name="Tc_9aWbRJDaykanULnGWlwu7Q_1_2"/>
      <w:bookmarkStart w:id="3611" w:name="Tc_0qhC1qqW4EeIN4LWTx_7kw_6_11"/>
      <w:bookmarkStart w:id="3612" w:name="Tc_Shzp4uL2GEukp6BJ0M8fMA_6_8"/>
      <w:bookmarkStart w:id="3613" w:name="Tc_M9WwfDtAk0q5WIn7Qdn_VA_6_5"/>
      <w:bookmarkStart w:id="3614" w:name="Tc_HzdycxmjKkeGmJODInqHCQ_6_2"/>
      <w:bookmarkStart w:id="3615" w:name="Tc_XOVqttx1H0-2fOcPeefPdQ_6_0"/>
      <w:bookmarkStart w:id="3616" w:name="Tc_XQx00kadlEqtfKvAU7LhMw_5_0"/>
      <w:bookmarkStart w:id="3617" w:name="Tc_TBIC02oj6kizTJfP2KjztA_4_11"/>
      <w:bookmarkStart w:id="3618" w:name="Tc_95IU8mLBaUujnUxCHFDJ7A_4_8"/>
      <w:bookmarkStart w:id="3619" w:name="Tc_8k8xymvXxUGjI7zqrhDMyQ_4_5"/>
      <w:bookmarkStart w:id="3620" w:name="Tc_4I3-V_ji2EC1IlGD6dCFFg_4_2"/>
      <w:bookmarkStart w:id="3621" w:name="Tc_hAvc9Ws8vkigTukJYtXHGw_4_0"/>
      <w:bookmarkStart w:id="3622" w:name="Tc_DGdSWfJLvk-7zm8_O4J_Ag_3_11"/>
      <w:bookmarkStart w:id="3623" w:name="Tc_wxUEzXxZnkOJV8MQPrLl8A_3_8"/>
      <w:bookmarkStart w:id="3624" w:name="Tc_rISR0huY8E6spEdlz6xTow_3_5"/>
      <w:bookmarkStart w:id="3625" w:name="Tc_xIZvNDEBPEGd2UIyF6-2FA_3_2"/>
      <w:bookmarkStart w:id="3626" w:name="Tc_Znwo8u8D6USioWyhBKR-2A_2_8"/>
      <w:bookmarkStart w:id="3627" w:name="Tc_nkg6TZAuckCvJj3ih0IwyA_2_2"/>
      <w:bookmarkStart w:id="3628" w:name="Tc_Fgr2eTfpckiQuZFuzOK4Gg_1_8"/>
      <w:bookmarkStart w:id="3629" w:name="Tc_9aWbRJDaykanULnGWlwu7Q_1_2"/>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p>
    <w:tbl>
      <w:tblPr>
        <w:tblW w:w="8644" w:type="dxa"/>
        <w:jc w:val="left"/>
        <w:tblInd w:w="0" w:type="dxa"/>
        <w:tblLayout w:type="fixed"/>
        <w:tblCellMar>
          <w:top w:w="0" w:type="dxa"/>
          <w:left w:w="0" w:type="dxa"/>
          <w:bottom w:w="0" w:type="dxa"/>
          <w:right w:w="0" w:type="dxa"/>
        </w:tblCellMar>
      </w:tblPr>
      <w:tblGrid>
        <w:gridCol w:w="2296"/>
        <w:gridCol w:w="326"/>
        <w:gridCol w:w="388"/>
        <w:gridCol w:w="774"/>
        <w:gridCol w:w="599"/>
        <w:gridCol w:w="388"/>
        <w:gridCol w:w="774"/>
        <w:gridCol w:w="326"/>
        <w:gridCol w:w="396"/>
        <w:gridCol w:w="790"/>
        <w:gridCol w:w="204"/>
        <w:gridCol w:w="396"/>
        <w:gridCol w:w="987"/>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457960" cy="175260"/>
                      <wp:effectExtent l="0" t="0" r="0" b="0"/>
                      <wp:wrapNone/>
                      <wp:docPr id="445" name="Frame445"/>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6" name="Frame4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46380" cy="175260"/>
                      <wp:effectExtent l="0" t="0" r="0" b="0"/>
                      <wp:wrapNone/>
                      <wp:docPr id="447" name="Frame447"/>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491490" cy="175260"/>
                      <wp:effectExtent l="0" t="0" r="0" b="0"/>
                      <wp:wrapNone/>
                      <wp:docPr id="448" name="Frame448"/>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80365" cy="175260"/>
                      <wp:effectExtent l="0" t="0" r="0" b="0"/>
                      <wp:wrapNone/>
                      <wp:docPr id="449" name="Frame449"/>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46380" cy="175260"/>
                      <wp:effectExtent l="0" t="0" r="0" b="0"/>
                      <wp:wrapNone/>
                      <wp:docPr id="450" name="Frame450"/>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91490" cy="175260"/>
                      <wp:effectExtent l="0" t="0" r="0" b="0"/>
                      <wp:wrapNone/>
                      <wp:docPr id="451" name="Frame451"/>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51460" cy="175260"/>
                      <wp:effectExtent l="0" t="0" r="0" b="0"/>
                      <wp:wrapNone/>
                      <wp:docPr id="453" name="Frame453"/>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501650" cy="175260"/>
                      <wp:effectExtent l="0" t="0" r="0" b="0"/>
                      <wp:wrapNone/>
                      <wp:docPr id="454" name="Frame45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29540" cy="175260"/>
                      <wp:effectExtent l="0" t="0" r="0" b="0"/>
                      <wp:wrapNone/>
                      <wp:docPr id="455" name="Frame455"/>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51460" cy="175260"/>
                      <wp:effectExtent l="0" t="0" r="0" b="0"/>
                      <wp:wrapNone/>
                      <wp:docPr id="456" name="Frame456"/>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26745" cy="175260"/>
                      <wp:effectExtent l="0" t="0" r="0" b="0"/>
                      <wp:wrapNone/>
                      <wp:docPr id="457" name="Frame457"/>
                      <a:graphic xmlns:a="http://schemas.openxmlformats.org/drawingml/2006/main">
                        <a:graphicData uri="http://schemas.microsoft.com/office/word/2010/wordprocessingShape">
                          <wps:wsp>
                            <wps:cNvSpPr txBox="1"/>
                            <wps:spPr>
                              <a:xfrm>
                                <a:off x="0" y="0"/>
                                <a:ext cx="626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23"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At or For the Three Months Ended </w:t>
            </w:r>
          </w:p>
        </w:tc>
        <w:tc>
          <w:tcPr>
            <w:tcW w:w="326" w:type="dxa"/>
            <w:tcBorders/>
            <w:vAlign w:val="center"/>
          </w:tcPr>
          <w:p>
            <w:pPr>
              <w:pStyle w:val="TableContents"/>
              <w:bidi w:val="0"/>
              <w:spacing w:before="0" w:after="1"/>
              <w:ind w:left="0" w:right="0" w:hanging="0"/>
              <w:jc w:val="center"/>
              <w:rPr/>
            </w:pPr>
            <w:r>
              <w:rPr/>
              <w:t>​</w:t>
            </w:r>
          </w:p>
        </w:tc>
        <w:tc>
          <w:tcPr>
            <w:tcW w:w="2773"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At or For the Six Months Ended </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1"/>
              <w:ind w:left="0" w:right="0" w:hanging="0"/>
              <w:jc w:val="center"/>
              <w:rPr/>
            </w:pPr>
            <w:r>
              <w:rPr/>
              <w:t>​</w:t>
            </w:r>
          </w:p>
        </w:tc>
        <w:tc>
          <w:tcPr>
            <w:tcW w:w="277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599" w:type="dxa"/>
            <w:tcBorders/>
            <w:vAlign w:val="center"/>
          </w:tcPr>
          <w:p>
            <w:pPr>
              <w:pStyle w:val="TableContents"/>
              <w:bidi w:val="0"/>
              <w:spacing w:before="0" w:after="1"/>
              <w:ind w:left="0" w:right="0" w:hanging="0"/>
              <w:jc w:val="center"/>
              <w:rPr/>
            </w:pPr>
            <w:r>
              <w:rPr/>
              <w:t>    </w:t>
            </w:r>
          </w:p>
        </w:tc>
        <w:tc>
          <w:tcPr>
            <w:tcW w:w="11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center"/>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204" w:type="dxa"/>
            <w:tcBorders/>
            <w:vAlign w:val="center"/>
          </w:tcPr>
          <w:p>
            <w:pPr>
              <w:pStyle w:val="TableContents"/>
              <w:bidi w:val="0"/>
              <w:spacing w:before="0" w:after="1"/>
              <w:ind w:left="0" w:right="0" w:hanging="0"/>
              <w:jc w:val="center"/>
              <w:rPr/>
            </w:pPr>
            <w:r>
              <w:rPr/>
              <w:t>​</w:t>
            </w:r>
          </w:p>
        </w:tc>
        <w:tc>
          <w:tcPr>
            <w:tcW w:w="13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599" w:type="dxa"/>
            <w:tcBorders/>
            <w:shd w:fill="CCEEFF" w:val="clear"/>
            <w:vAlign w:val="center"/>
          </w:tcPr>
          <w:p>
            <w:pPr>
              <w:pStyle w:val="TableContents"/>
              <w:bidi w:val="0"/>
              <w:spacing w:before="0" w:after="1"/>
              <w:ind w:left="0" w:right="0" w:hanging="0"/>
              <w:jc w:val="left"/>
              <w:rPr/>
            </w:pPr>
            <w:r>
              <w:rPr/>
              <w:t>​</w:t>
            </w:r>
          </w:p>
        </w:tc>
        <w:tc>
          <w:tcPr>
            <w:tcW w:w="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204" w:type="dxa"/>
            <w:tcBorders/>
            <w:shd w:fill="CCEEFF" w:val="clear"/>
            <w:vAlign w:val="center"/>
          </w:tcPr>
          <w:p>
            <w:pPr>
              <w:pStyle w:val="TableContents"/>
              <w:bidi w:val="0"/>
              <w:spacing w:before="0" w:after="1"/>
              <w:ind w:left="0" w:right="0" w:hanging="0"/>
              <w:jc w:val="right"/>
              <w:rPr/>
            </w:pPr>
            <w:r>
              <w:rPr/>
              <w:t>​</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Loans transferred to OREO</w:t>
            </w:r>
          </w:p>
        </w:tc>
        <w:tc>
          <w:tcPr>
            <w:tcW w:w="326" w:type="dxa"/>
            <w:tcBorders/>
            <w:vAlign w:val="center"/>
          </w:tcPr>
          <w:p>
            <w:pPr>
              <w:pStyle w:val="TableContents"/>
              <w:bidi w:val="0"/>
              <w:spacing w:before="0" w:after="1"/>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599" w:type="dxa"/>
            <w:tcBorders/>
            <w:vAlign w:val="center"/>
          </w:tcPr>
          <w:p>
            <w:pPr>
              <w:pStyle w:val="TableContents"/>
              <w:bidi w:val="0"/>
              <w:spacing w:before="0" w:after="1"/>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1"/>
              <w:ind w:left="0" w:right="0" w:hanging="0"/>
              <w:jc w:val="lef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caps w:val="false"/>
                <w:smallCaps w:val="false"/>
              </w:rPr>
            </w:pPr>
            <w:r>
              <w:rPr>
                <w:caps w:val="false"/>
                <w:smallCaps w:val="false"/>
              </w:rPr>
              <w:t>—</w:t>
            </w:r>
          </w:p>
        </w:tc>
        <w:tc>
          <w:tcPr>
            <w:tcW w:w="204" w:type="dxa"/>
            <w:tcBorders/>
            <w:vAlign w:val="center"/>
          </w:tcPr>
          <w:p>
            <w:pPr>
              <w:pStyle w:val="TableContents"/>
              <w:bidi w:val="0"/>
              <w:spacing w:before="0" w:after="1"/>
              <w:ind w:left="0" w:right="0" w:hanging="0"/>
              <w:jc w:val="right"/>
              <w:rPr/>
            </w:pPr>
            <w:r>
              <w:rPr/>
              <w:t>​</w:t>
            </w:r>
          </w:p>
        </w:tc>
        <w:tc>
          <w:tcPr>
            <w:tcW w:w="3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1"/>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599" w:type="dxa"/>
            <w:tcBorders/>
            <w:shd w:fill="CCEEFF" w:val="clear"/>
            <w:vAlign w:val="center"/>
          </w:tcPr>
          <w:p>
            <w:pPr>
              <w:pStyle w:val="TableContents"/>
              <w:bidi w:val="0"/>
              <w:spacing w:before="0" w:after="1"/>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26" w:type="dxa"/>
            <w:tcBorders/>
            <w:shd w:fill="CCEEFF" w:val="clear"/>
            <w:vAlign w:val="center"/>
          </w:tcPr>
          <w:p>
            <w:pPr>
              <w:pStyle w:val="TableContents"/>
              <w:bidi w:val="0"/>
              <w:spacing w:before="0" w:after="1"/>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204" w:type="dxa"/>
            <w:tcBorders/>
            <w:shd w:fill="CCEEFF" w:val="clear"/>
            <w:vAlign w:val="center"/>
          </w:tcPr>
          <w:p>
            <w:pPr>
              <w:pStyle w:val="TableContents"/>
              <w:bidi w:val="0"/>
              <w:spacing w:before="0" w:after="1"/>
              <w:ind w:left="0" w:right="0" w:hanging="0"/>
              <w:jc w:val="righ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145</w:t>
            </w:r>
          </w:p>
        </w:tc>
      </w:tr>
    </w:tbl>
    <w:p>
      <w:pPr>
        <w:pStyle w:val="TextBody"/>
        <w:bidi w:val="0"/>
        <w:spacing w:before="0" w:after="0"/>
        <w:ind w:left="0" w:right="0" w:hanging="0"/>
        <w:jc w:val="left"/>
        <w:rPr/>
      </w:pPr>
      <w:r>
        <w:rPr/>
        <w:t>​</w:t>
      </w:r>
    </w:p>
    <w:p>
      <w:pPr>
        <w:pStyle w:val="TextBody"/>
        <w:bidi w:val="0"/>
        <w:spacing w:before="120" w:after="120"/>
        <w:ind w:left="0" w:right="0" w:hanging="0"/>
        <w:jc w:val="both"/>
        <w:rPr>
          <w:rFonts w:ascii="Times New Roman;Times;serif" w:hAnsi="Times New Roman;Times;serif"/>
          <w:sz w:val="20"/>
        </w:rPr>
      </w:pPr>
      <w:r>
        <w:rPr>
          <w:rFonts w:ascii="Times New Roman;Times;serif" w:hAnsi="Times New Roman;Times;serif"/>
          <w:sz w:val="20"/>
        </w:rPr>
        <w:t>There was one OREO property (a closed branch in Centralia, Washington) at June 30, 2023 and one at June 30, 2022.  There were no OREO holding costs for the three and six months ended June 30, 2023 or 2022.</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There were $221,000 and $511,000 in portfolio mortgage loans collateralized by residential real estate property in the process of foreclosure at June 30, 2023 and at December 31, 2022, respectively.</w:t>
      </w:r>
    </w:p>
    <w:p>
      <w:pPr>
        <w:pStyle w:val="TextBody"/>
        <w:bidi w:val="0"/>
        <w:spacing w:before="0" w:after="200"/>
        <w:ind w:left="0" w:right="0" w:hanging="0"/>
        <w:jc w:val="left"/>
        <w:rPr>
          <w:rFonts w:ascii="Times New Roman;Times;serif" w:hAnsi="Times New Roman;Times;serif"/>
          <w:b/>
          <w:sz w:val="20"/>
        </w:rPr>
      </w:pPr>
      <w:bookmarkStart w:id="3630" w:name="Tc_uAPADSqA_UqGAEVbUC6Sgg_7_11"/>
      <w:bookmarkStart w:id="3631" w:name="Tc_sdYhVch9c0CyBEzhb6I1XA_7_8"/>
      <w:bookmarkStart w:id="3632" w:name="Tc_KHt7fYRWD02ZzxmaTZDSYA_7_5"/>
      <w:bookmarkStart w:id="3633" w:name="Tc_Lv8HVn26aEmI7d7q9zO5Sg_7_2"/>
      <w:bookmarkStart w:id="3634" w:name="Tc_jpdv_lptD0eQ3gJ2KFgl-w_7_0"/>
      <w:bookmarkStart w:id="3635" w:name="Tc_bApt6Ik7nEqekO5Wha1wWA_6_0"/>
      <w:bookmarkStart w:id="3636" w:name="Tc_n4TR_up3x0SOKqA8WO7W5g_5_0"/>
      <w:bookmarkStart w:id="3637" w:name="Tc_2a6m5cu0yUGpNjw2BAkdYQ_4_11"/>
      <w:bookmarkStart w:id="3638" w:name="Tc_v1uooY6hkE2dIvaYDs1CmA_4_8"/>
      <w:bookmarkStart w:id="3639" w:name="Tc_TJ2hQm2v50WJhWUISPg4Gw_4_5"/>
      <w:bookmarkStart w:id="3640" w:name="Tc_eL8J_-fo1kiKQpQtIdbgBQ_4_2"/>
      <w:bookmarkStart w:id="3641" w:name="Tc_C4s2phjaEEizHxrEDZVMMw_4_0"/>
      <w:bookmarkStart w:id="3642" w:name="Tc_K7hdOq5pWUeFcn2JjWUtQw_3_11"/>
      <w:bookmarkStart w:id="3643" w:name="Tc_Oageu-3imUa8e5C16_jb5A_3_8"/>
      <w:bookmarkStart w:id="3644" w:name="Tc_8DumwrVJ2UmonCKr5_LdkQ_3_5"/>
      <w:bookmarkStart w:id="3645" w:name="Tc_OcF6x1-BSkalnBEDkdX_Ag_3_2"/>
      <w:bookmarkStart w:id="3646" w:name="Tc_XL8tgE3JT0-2BDMBeVJ9_g_2_8"/>
      <w:bookmarkStart w:id="3647" w:name="Tc_dIYXNmbtbk6-22zZsnEeBw_2_2"/>
      <w:bookmarkStart w:id="3648" w:name="Tc_mCHWzNTsg0-gvIbFih3THg_1_8"/>
      <w:bookmarkStart w:id="3649" w:name="Tc_j3R9RiymOUGvqVdp2q3MNg_1_2"/>
      <w:bookmarkStart w:id="3650" w:name="Tc_WBY80UkyekqsvWWu__2Zyg_7_2"/>
      <w:bookmarkStart w:id="3651" w:name="Tc_BdYg12EM8kmLwgdiLWV37w_7_0"/>
      <w:bookmarkStart w:id="3652" w:name="Tc_Kzw8FHZrzEKZkHBr-aAPdA_6_0"/>
      <w:bookmarkStart w:id="3653" w:name="Tc_Fa0GxUR440Gn6iMmFoXfRg_5_0"/>
      <w:bookmarkStart w:id="3654" w:name="Tc_ysfShBNMYkW07eEeDrQDhQ_4_0"/>
      <w:bookmarkStart w:id="3655" w:name="Tc_Ck8aHTpmBU6dK8JTjekBxA_3_0"/>
      <w:bookmarkStart w:id="3656" w:name="Tc__XnDS_AAu0aKpRvzs5ZxfA_2_0"/>
      <w:bookmarkStart w:id="3657" w:name="Tc_p8fYNEw9tkWa0zJZAi3eGg_1_2"/>
      <w:bookmarkStart w:id="3658" w:name="Tc_Oc3kO-_b5k2g8pWPJRyqrQ_1_0"/>
      <w:bookmarkStart w:id="3659" w:name="Tc_diWt0WWJ0EO84Z1k_dseyg_11_5"/>
      <w:bookmarkStart w:id="3660" w:name="Tc_WI8LgTzJkky9BaNq3p5FHg_11_2"/>
      <w:bookmarkStart w:id="3661" w:name="Tc_5kOhfbN-KUqwzrJlEs1-hA_11_0"/>
      <w:bookmarkStart w:id="3662" w:name="Tc_JSFi0ksdyUOI5nPMng7Xqw_10_0"/>
      <w:bookmarkStart w:id="3663" w:name="Tc_KBjkGPGdMkWuBz2oPCj7rw_9_0"/>
      <w:bookmarkStart w:id="3664" w:name="Tc_AZjMBuZkrkmSGG9tw_r28Q_8_0"/>
      <w:bookmarkStart w:id="3665" w:name="Tc_lN32FTIobEqLGuW_rSTzEg_7_0"/>
      <w:bookmarkStart w:id="3666" w:name="Tc_6J5VoCtRkUiHh0nKZt6e9A_6_0"/>
      <w:bookmarkStart w:id="3667" w:name="Tc_ZAOPCB3lY0Wy3djovLAGdg_5_0"/>
      <w:bookmarkStart w:id="3668" w:name="Tc_wybHK2SGCEaLpvGpLDtUYA_4_0"/>
      <w:bookmarkStart w:id="3669" w:name="Tc_Q7qvvWCBJ0CmNJ3ASapBTA_3_5"/>
      <w:bookmarkStart w:id="3670" w:name="Tc_DeoN9-AwREeuvcwGwSG70w_3_2"/>
      <w:bookmarkStart w:id="3671" w:name="Tc_oANtqbf7Y0KtDYlbjNB9cw_3_0"/>
      <w:bookmarkStart w:id="3672" w:name="Tc_rDUDpGFNnUe2rhaIBbvCBw_2_5"/>
      <w:bookmarkStart w:id="3673" w:name="Tc_kWSh9GfC1UW3Ag957HGoxw_2_2"/>
      <w:bookmarkStart w:id="3674" w:name="Tc_xrZ21w6yBUKHw2xjU2DOcA_1_5"/>
      <w:bookmarkStart w:id="3675" w:name="Tc_DGhzxoFH90iUPh_CJoAe-A_1_2"/>
      <w:bookmarkStart w:id="3676" w:name="_1b06c979_1562_43c0_a273_74fe86bd653c"/>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r>
        <w:rPr>
          <w:rFonts w:ascii="Times New Roman;Times;serif" w:hAnsi="Times New Roman;Times;serif"/>
          <w:b/>
          <w:sz w:val="20"/>
        </w:rPr>
        <w:t>NOTE 9 – DEPOSITS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Deposits are summarized as follows at the dates indicated:</w:t>
      </w:r>
    </w:p>
    <w:p>
      <w:pPr>
        <w:pStyle w:val="TextBody"/>
        <w:bidi w:val="0"/>
        <w:spacing w:before="0" w:after="0"/>
        <w:ind w:left="0" w:right="0" w:hanging="0"/>
        <w:jc w:val="left"/>
        <w:rPr/>
      </w:pPr>
      <w:r>
        <w:rPr/>
        <w:t>​</w:t>
      </w:r>
    </w:p>
    <w:tbl>
      <w:tblPr>
        <w:tblW w:w="7555" w:type="dxa"/>
        <w:jc w:val="left"/>
        <w:tblInd w:w="0" w:type="dxa"/>
        <w:tblLayout w:type="fixed"/>
        <w:tblCellMar>
          <w:top w:w="0" w:type="dxa"/>
          <w:left w:w="0" w:type="dxa"/>
          <w:bottom w:w="0" w:type="dxa"/>
          <w:right w:w="0" w:type="dxa"/>
        </w:tblCellMar>
      </w:tblPr>
      <w:tblGrid>
        <w:gridCol w:w="4456"/>
        <w:gridCol w:w="326"/>
        <w:gridCol w:w="211"/>
        <w:gridCol w:w="931"/>
        <w:gridCol w:w="326"/>
        <w:gridCol w:w="220"/>
        <w:gridCol w:w="1085"/>
      </w:tblGrid>
      <w:tr>
        <w:trPr/>
        <w:tc>
          <w:tcPr>
            <w:tcW w:w="4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1085" w:type="dxa"/>
            <w:tcBorders/>
            <w:vAlign w:val="center"/>
          </w:tcPr>
          <w:p>
            <w:pPr>
              <w:pStyle w:val="TableContents"/>
              <w:bidi w:val="0"/>
              <w:spacing w:before="0" w:after="0"/>
              <w:ind w:left="0" w:right="0" w:hanging="0"/>
              <w:jc w:val="left"/>
              <w:rPr/>
            </w:pPr>
            <w:r>
              <w:rPr/>
              <w:t>​</w:t>
            </w:r>
          </w:p>
        </w:tc>
      </w:tr>
      <w:tr>
        <w:trPr/>
        <w:tc>
          <w:tcPr>
            <w:tcW w:w="4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Noninterest-bearing checking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658,440</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537,938</w:t>
            </w:r>
          </w:p>
        </w:tc>
      </w:tr>
      <w:tr>
        <w:trPr/>
        <w:tc>
          <w:tcPr>
            <w:tcW w:w="44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Interest-bearing checking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183,012</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135,127</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169,013</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134,358</w:t>
            </w:r>
          </w:p>
        </w:tc>
      </w:tr>
      <w:tr>
        <w:trPr/>
        <w:tc>
          <w:tcPr>
            <w:tcW w:w="44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419,308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574,290</w:t>
            </w:r>
          </w:p>
        </w:tc>
      </w:tr>
      <w:tr>
        <w:trPr/>
        <w:tc>
          <w:tcPr>
            <w:tcW w:w="44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less than $100,000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473,026</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440,785</w:t>
            </w:r>
          </w:p>
        </w:tc>
      </w:tr>
      <w:tr>
        <w:trPr/>
        <w:tc>
          <w:tcPr>
            <w:tcW w:w="4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 of $100,000 through $250,000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358,238</w:t>
            </w:r>
          </w:p>
        </w:tc>
        <w:tc>
          <w:tcPr>
            <w:tcW w:w="32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 </w:t>
            </w:r>
          </w:p>
        </w:tc>
        <w:tc>
          <w:tcPr>
            <w:tcW w:w="10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195,447</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of $250,000 and over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87,499</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93,560</w:t>
            </w:r>
          </w:p>
        </w:tc>
      </w:tr>
      <w:tr>
        <w:trPr/>
        <w:tc>
          <w:tcPr>
            <w:tcW w:w="44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Escrow accounts related to mortgages serviced </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16,772</w:t>
            </w:r>
          </w:p>
        </w:tc>
        <w:tc>
          <w:tcPr>
            <w:tcW w:w="32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16,236</w:t>
            </w:r>
          </w:p>
        </w:tc>
      </w:tr>
      <w:tr>
        <w:trPr/>
        <w:tc>
          <w:tcPr>
            <w:tcW w:w="4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2,365,308</w:t>
            </w:r>
          </w:p>
        </w:tc>
        <w:tc>
          <w:tcPr>
            <w:tcW w:w="326" w:type="dxa"/>
            <w:tcBorders/>
            <w:shd w:fill="CCEE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2,127,741</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w:t>
      </w:r>
    </w:p>
    <w:tbl>
      <w:tblPr>
        <w:tblW w:w="9032" w:type="dxa"/>
        <w:jc w:val="left"/>
        <w:tblInd w:w="0" w:type="dxa"/>
        <w:tblLayout w:type="fixed"/>
        <w:tblCellMar>
          <w:top w:w="0" w:type="dxa"/>
          <w:left w:w="0" w:type="dxa"/>
          <w:bottom w:w="0" w:type="dxa"/>
          <w:right w:w="0" w:type="dxa"/>
        </w:tblCellMar>
      </w:tblPr>
      <w:tblGrid>
        <w:gridCol w:w="346"/>
        <w:gridCol w:w="868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6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$0</w:t>
            </w:r>
            <w:r>
              <w:rPr>
                <w:caps w:val="false"/>
                <w:smallCaps w:val="false"/>
              </w:rPr>
              <w:t xml:space="preserve"> </w:t>
            </w:r>
            <w:r>
              <w:rPr>
                <w:rFonts w:ascii="Times New Roman;Times;serif" w:hAnsi="Times New Roman;Times;serif"/>
                <w:b w:val="false"/>
                <w:i w:val="false"/>
                <w:caps w:val="false"/>
                <w:smallCaps w:val="false"/>
                <w:sz w:val="20"/>
              </w:rPr>
              <w:t>and $2.3</w:t>
            </w:r>
            <w:r>
              <w:rPr>
                <w:caps w:val="false"/>
                <w:smallCaps w:val="false"/>
              </w:rPr>
              <w:t xml:space="preserve"> </w:t>
            </w:r>
            <w:r>
              <w:rPr>
                <w:rFonts w:ascii="Times New Roman;Times;serif" w:hAnsi="Times New Roman;Times;serif"/>
                <w:b w:val="false"/>
                <w:i w:val="false"/>
                <w:caps w:val="false"/>
                <w:smallCaps w:val="false"/>
                <w:sz w:val="20"/>
              </w:rPr>
              <w:t>million of brokered deposits at June 30, 2023 and December 31, 2022, respectively.</w:t>
            </w:r>
          </w:p>
        </w:tc>
      </w:tr>
    </w:tbl>
    <w:tbl>
      <w:tblPr>
        <w:tblW w:w="9602" w:type="dxa"/>
        <w:jc w:val="left"/>
        <w:tblInd w:w="0" w:type="dxa"/>
        <w:tblLayout w:type="fixed"/>
        <w:tblCellMar>
          <w:top w:w="0" w:type="dxa"/>
          <w:left w:w="0" w:type="dxa"/>
          <w:bottom w:w="0" w:type="dxa"/>
          <w:right w:w="0" w:type="dxa"/>
        </w:tblCellMar>
      </w:tblPr>
      <w:tblGrid>
        <w:gridCol w:w="346"/>
        <w:gridCol w:w="92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$51,000</w:t>
            </w:r>
            <w:r>
              <w:rPr>
                <w:caps w:val="false"/>
                <w:smallCaps w:val="false"/>
              </w:rPr>
              <w:t xml:space="preserve"> </w:t>
            </w:r>
            <w:r>
              <w:rPr>
                <w:rFonts w:ascii="Times New Roman;Times;serif" w:hAnsi="Times New Roman;Times;serif"/>
                <w:b w:val="false"/>
                <w:i w:val="false"/>
                <w:caps w:val="false"/>
                <w:smallCaps w:val="false"/>
                <w:sz w:val="20"/>
              </w:rPr>
              <w:t>and $59.7</w:t>
            </w:r>
            <w:r>
              <w:rPr>
                <w:caps w:val="false"/>
                <w:smallCaps w:val="false"/>
              </w:rPr>
              <w:t xml:space="preserve"> </w:t>
            </w:r>
            <w:r>
              <w:rPr>
                <w:rFonts w:ascii="Times New Roman;Times;serif" w:hAnsi="Times New Roman;Times;serif"/>
                <w:b w:val="false"/>
                <w:i w:val="false"/>
                <w:caps w:val="false"/>
                <w:smallCaps w:val="false"/>
                <w:sz w:val="20"/>
              </w:rPr>
              <w:t>million of brokered deposits at June 30, 2023 and December 31, 2022, respectively.</w:t>
            </w:r>
          </w:p>
        </w:tc>
      </w:tr>
    </w:tbl>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$295.7</w:t>
            </w:r>
            <w:r>
              <w:rPr>
                <w:caps w:val="false"/>
                <w:smallCaps w:val="false"/>
              </w:rPr>
              <w:t xml:space="preserve"> </w:t>
            </w:r>
            <w:r>
              <w:rPr>
                <w:rFonts w:ascii="Times New Roman;Times;serif" w:hAnsi="Times New Roman;Times;serif"/>
                <w:b w:val="false"/>
                <w:i w:val="false"/>
                <w:caps w:val="false"/>
                <w:smallCaps w:val="false"/>
                <w:sz w:val="20"/>
              </w:rPr>
              <w:t>million and $332.0</w:t>
            </w:r>
            <w:r>
              <w:rPr>
                <w:caps w:val="false"/>
                <w:smallCaps w:val="false"/>
              </w:rPr>
              <w:t xml:space="preserve"> </w:t>
            </w:r>
            <w:r>
              <w:rPr>
                <w:rFonts w:ascii="Times New Roman;Times;serif" w:hAnsi="Times New Roman;Times;serif"/>
                <w:b w:val="false"/>
                <w:i w:val="false"/>
                <w:caps w:val="false"/>
                <w:smallCaps w:val="false"/>
                <w:sz w:val="20"/>
              </w:rPr>
              <w:t>million of brokered deposits at June 30, 2023 and December 31, 2022, respectively.</w:t>
            </w:r>
          </w:p>
        </w:tc>
      </w:tr>
    </w:tbl>
    <w:tbl>
      <w:tblPr>
        <w:tblW w:w="2927" w:type="dxa"/>
        <w:jc w:val="left"/>
        <w:tblInd w:w="0" w:type="dxa"/>
        <w:tblLayout w:type="fixed"/>
        <w:tblCellMar>
          <w:top w:w="0" w:type="dxa"/>
          <w:left w:w="0" w:type="dxa"/>
          <w:bottom w:w="0" w:type="dxa"/>
          <w:right w:w="0" w:type="dxa"/>
        </w:tblCellMar>
      </w:tblPr>
      <w:tblGrid>
        <w:gridCol w:w="346"/>
        <w:gridCol w:w="258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 accounts.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Scheduled maturities of time deposits at June 30, 2023 for future periods ending are as follows:</w:t>
      </w:r>
    </w:p>
    <w:p>
      <w:pPr>
        <w:pStyle w:val="TextBody"/>
        <w:bidi w:val="0"/>
        <w:spacing w:before="0" w:after="0"/>
        <w:ind w:left="0" w:right="0" w:hanging="0"/>
        <w:jc w:val="left"/>
        <w:rPr/>
      </w:pPr>
      <w:r>
        <w:rPr/>
        <w:t>​</w:t>
      </w:r>
    </w:p>
    <w:tbl>
      <w:tblPr>
        <w:tblW w:w="2767" w:type="dxa"/>
        <w:jc w:val="left"/>
        <w:tblInd w:w="0" w:type="dxa"/>
        <w:tblLayout w:type="fixed"/>
        <w:tblCellMar>
          <w:top w:w="0" w:type="dxa"/>
          <w:left w:w="0" w:type="dxa"/>
          <w:bottom w:w="0" w:type="dxa"/>
          <w:right w:w="0" w:type="dxa"/>
        </w:tblCellMar>
      </w:tblPr>
      <w:tblGrid>
        <w:gridCol w:w="1561"/>
        <w:gridCol w:w="109"/>
        <w:gridCol w:w="211"/>
        <w:gridCol w:w="88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991235" cy="175260"/>
                      <wp:effectExtent l="0" t="0" r="0" b="0"/>
                      <wp:wrapNone/>
                      <wp:docPr id="458" name="Frame45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9215" cy="175260"/>
                      <wp:effectExtent l="0" t="0" r="0" b="0"/>
                      <wp:wrapNone/>
                      <wp:docPr id="459" name="Frame4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133985" cy="175260"/>
                      <wp:effectExtent l="0" t="0" r="0" b="0"/>
                      <wp:wrapNone/>
                      <wp:docPr id="460"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562610" cy="175260"/>
                      <wp:effectExtent l="0" t="0" r="0" b="0"/>
                      <wp:wrapNone/>
                      <wp:docPr id="461" name="Frame4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Maturing in 2023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382,635</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Maturing in 2024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339,314</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Maturing in 2025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130,136</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Maturing in 2026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45,574</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Maturing in 2027</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20,697</w:t>
            </w:r>
          </w:p>
        </w:tc>
      </w:tr>
      <w:tr>
        <w:trPr/>
        <w:tc>
          <w:tcPr>
            <w:tcW w:w="15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w:t>
            </w:r>
          </w:p>
        </w:tc>
      </w:tr>
      <w:tr>
        <w:trPr/>
        <w:tc>
          <w:tcPr>
            <w:tcW w:w="15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918,764</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Interest expense by deposit category for the periods indicated is as follows:</w:t>
      </w:r>
    </w:p>
    <w:p>
      <w:pPr>
        <w:pStyle w:val="TextBody"/>
        <w:bidi w:val="0"/>
        <w:spacing w:before="0" w:after="0"/>
        <w:ind w:left="0" w:right="0" w:hanging="0"/>
        <w:jc w:val="left"/>
        <w:rPr/>
      </w:pPr>
      <w:r>
        <w:rPr/>
        <w:t>​</w:t>
      </w:r>
    </w:p>
    <w:tbl>
      <w:tblPr>
        <w:tblW w:w="6519" w:type="dxa"/>
        <w:jc w:val="left"/>
        <w:tblInd w:w="0" w:type="dxa"/>
        <w:tblLayout w:type="fixed"/>
        <w:tblCellMar>
          <w:top w:w="0" w:type="dxa"/>
          <w:left w:w="0" w:type="dxa"/>
          <w:bottom w:w="0" w:type="dxa"/>
          <w:right w:w="0" w:type="dxa"/>
        </w:tblCellMar>
      </w:tblPr>
      <w:tblGrid>
        <w:gridCol w:w="2311"/>
        <w:gridCol w:w="109"/>
        <w:gridCol w:w="211"/>
        <w:gridCol w:w="571"/>
        <w:gridCol w:w="326"/>
        <w:gridCol w:w="211"/>
        <w:gridCol w:w="571"/>
        <w:gridCol w:w="326"/>
        <w:gridCol w:w="211"/>
        <w:gridCol w:w="676"/>
        <w:gridCol w:w="109"/>
        <w:gridCol w:w="211"/>
        <w:gridCol w:w="676"/>
      </w:tblGrid>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Three Months Ended </w:t>
            </w:r>
          </w:p>
        </w:tc>
        <w:tc>
          <w:tcPr>
            <w:tcW w:w="326" w:type="dxa"/>
            <w:tcBorders/>
            <w:vAlign w:val="center"/>
          </w:tcPr>
          <w:p>
            <w:pPr>
              <w:pStyle w:val="TableContents"/>
              <w:bidi w:val="0"/>
              <w:spacing w:before="0" w:after="0"/>
              <w:ind w:left="0" w:right="0" w:hanging="0"/>
              <w:jc w:val="center"/>
              <w:rPr/>
            </w:pPr>
            <w:r>
              <w:rPr/>
              <w:t>    </w:t>
            </w:r>
          </w:p>
        </w:tc>
        <w:tc>
          <w:tcPr>
            <w:tcW w:w="1883"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Six Months Ended </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center"/>
              <w:rPr/>
            </w:pPr>
            <w:r>
              <w:rPr/>
              <w:t>​</w:t>
            </w:r>
          </w:p>
        </w:tc>
        <w:tc>
          <w:tcPr>
            <w:tcW w:w="18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r>
      <w:tr>
        <w:trPr/>
        <w:tc>
          <w:tcPr>
            <w:tcW w:w="23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checking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 and money market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2,542</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11,224</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1,495</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14,234</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2,842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3677" w:name="Tc_JLULNXE55kOxEdbkY7v7pA_14_5"/>
      <w:bookmarkStart w:id="3678" w:name="Tc_QzuWPpQTFUSxOVtNa5nUmQ_14_2"/>
      <w:bookmarkStart w:id="3679" w:name="Tc_9NQTNKqPkUyh3hUKbgZkaQ_14_0"/>
      <w:bookmarkStart w:id="3680" w:name="Tc_kStqJGc0e0-_mxh24mUYLg_13_0"/>
      <w:bookmarkStart w:id="3681" w:name="Tc_weKJKlA7RUG7neN31cLDuw_12_0"/>
      <w:bookmarkStart w:id="3682" w:name="Tc_-82GDhWBc0C0Ktinp1q3lA_11_0"/>
      <w:bookmarkStart w:id="3683" w:name="Tc_GILBWvMeFkOGpkUg4JosKw_10_0"/>
      <w:bookmarkStart w:id="3684" w:name="Tc_3j6MqR9uqU66L4RvSmhyTQ_9_0"/>
      <w:bookmarkStart w:id="3685" w:name="Tc_1ch0mGmILkqQYXlRNXB4sw_8_0"/>
      <w:bookmarkStart w:id="3686" w:name="Tc_31QhBlCwj0GdeVHnVC1HDg_7_0"/>
      <w:bookmarkStart w:id="3687" w:name="Tc_YLY_euEnf0yvBjDmLebuLQ_6_0"/>
      <w:bookmarkStart w:id="3688" w:name="Tc_4xXEKCX1-kuhLMO_200yEw_5_0"/>
      <w:bookmarkStart w:id="3689" w:name="Tc_FWvn_oPi9UqzMU5o1_w8qQ_4_0"/>
      <w:bookmarkStart w:id="3690" w:name="Tc_B7vvKHlFfkuF0LDnYMoE9w_3_5"/>
      <w:bookmarkStart w:id="3691" w:name="Tc_bLb27-dfIE6t5j3ifC_h6A_3_2"/>
      <w:bookmarkStart w:id="3692" w:name="Tc_Y51ZfFTM70uAmux7NAI3WQ_3_0"/>
      <w:bookmarkStart w:id="3693" w:name="Tc_rx28KnFv80aMXrInuUFvPw_2_5"/>
      <w:bookmarkStart w:id="3694" w:name="Tc_OVRjvcyV80OB771cL7HLMQ_2_2"/>
      <w:bookmarkStart w:id="3695" w:name="Tc_FTsbylO11EWQTBYzRw45VA_2_0"/>
      <w:bookmarkStart w:id="3696" w:name="Tc_YXvdwQ2Gxk-0M_8V0ljxhQ_1_5"/>
      <w:bookmarkStart w:id="3697" w:name="Tc_t-_LT1IIyEOkX5tPWkcwBA_1_2"/>
      <w:bookmarkStart w:id="3698" w:name="Tc_XrxfskYAv0uPmTaXlvQo7w_1_0"/>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r>
        <w:rPr>
          <w:rFonts w:ascii="Times New Roman;Times;serif" w:hAnsi="Times New Roman;Times;serif"/>
          <w:b/>
          <w:sz w:val="20"/>
        </w:rPr>
        <w:t>NOTE 10 – COMMITMENTS AND CONTINGENCIES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Commitments </w:t>
      </w:r>
      <w:r>
        <w:rPr>
          <w:rFonts w:ascii="Times New Roman;Times;serif" w:hAnsi="Times New Roman;Times;serif"/>
          <w:sz w:val="20"/>
        </w:rPr>
        <w:t>– The Company is party to financial instruments with off-balance sheet risk in the normal course of business to meet the financing needs of its customers. These financial instruments include commitments to extend credit. These instruments involve, to varying degrees, elements of credit risk in excess of the amount recognized on the Consolidated Balance Sheets.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provides a summary of the Company’s commitments at the dates indicated:</w:t>
      </w:r>
    </w:p>
    <w:p>
      <w:pPr>
        <w:pStyle w:val="TextBody"/>
        <w:bidi w:val="0"/>
        <w:spacing w:before="0" w:after="0"/>
        <w:ind w:left="0" w:right="0" w:hanging="0"/>
        <w:jc w:val="left"/>
        <w:rPr/>
      </w:pPr>
      <w:r>
        <w:rPr/>
        <w:t>​</w:t>
      </w:r>
    </w:p>
    <w:tbl>
      <w:tblPr>
        <w:tblW w:w="7390" w:type="dxa"/>
        <w:jc w:val="left"/>
        <w:tblInd w:w="0" w:type="dxa"/>
        <w:tblLayout w:type="fixed"/>
        <w:tblCellMar>
          <w:top w:w="0" w:type="dxa"/>
          <w:left w:w="0" w:type="dxa"/>
          <w:bottom w:w="0" w:type="dxa"/>
          <w:right w:w="0" w:type="dxa"/>
        </w:tblCellMar>
      </w:tblPr>
      <w:tblGrid>
        <w:gridCol w:w="4441"/>
        <w:gridCol w:w="326"/>
        <w:gridCol w:w="211"/>
        <w:gridCol w:w="781"/>
        <w:gridCol w:w="326"/>
        <w:gridCol w:w="250"/>
        <w:gridCol w:w="1055"/>
      </w:tblGrid>
      <w:tr>
        <w:trPr/>
        <w:tc>
          <w:tcPr>
            <w:tcW w:w="44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left"/>
              <w:rPr/>
            </w:pPr>
            <w:r>
              <w:rPr/>
              <w:t>​</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TO EXTEND CREDIT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REAL ESTATE LOANS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168,952</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201,708</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One-to-four-family (includes locks for saleable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42,270</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10,713</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Home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96,279</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77,566</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Multi-family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2,958</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2,999</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loans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313,302</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294,246</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CONSUMER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32,731</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39,406</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COMMERCIAL BUSINESS LOANS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right"/>
              <w:rPr/>
            </w:pPr>
            <w:r>
              <w:rPr/>
              <w:t>  </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and industrial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168,593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150,109</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Warehouse lending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47,866</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64,781</w:t>
            </w:r>
          </w:p>
        </w:tc>
      </w:tr>
      <w:tr>
        <w:trPr/>
        <w:tc>
          <w:tcPr>
            <w:tcW w:w="44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commercial business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216,459</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214,890</w:t>
            </w:r>
          </w:p>
        </w:tc>
      </w:tr>
      <w:tr>
        <w:trPr/>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commitments to extend credit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562,492</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548,542</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Commitments to extend credit are agreements to lend to a customer as long as there is no violation of any condition established in the contract. Since many of the commitments are expected to expire without being drawn upon, the amount of the total commitments does not necessarily represent future cash requirements. The Company evaluates each customer’s creditworthiness on a case-by-case basis. The amount of collateral obtained, if deemed necessary by the Company upon an extension of credit, is based on management’s credit evaluation of the party. Collateral held varies, but may include accounts receivable, inventory, property and equipment, residential real estate, and income-producing commercial properties.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Unfunded commitments under commercial lines of credit, revolving credit lines, and overdraft protection agreements are commitments for possible future extensions of credit to existing customers. These lines of credit usually do not contain a specified maturity date and ultimately may not be drawn upon to the total extent to which the Company is committed. The Company’s ACL – unfunded loan commitments at June 30, 2023 and December 31, 2022 was $1.9 million and $2.5 million, respectively. The decline in the ACL was due to the Company recording a recovery from the ACL – unfunded loan commitments of $596,000 for the six months ended June 30, 2023, as compared to a provision for credit losses – unfunded loan commitments of $485,000 for the six months ended June 30, 2022.  The Company recorded a recovery from the ACL – unfunded loan commitments of $347,000 for the three months ended June 30, 2023, as compared to a provision for credit losses – unfunded loan commitments of $520,000 for the three months ended June 30, 2022, primarily attributable to a decline in unfunded construction loan commitments over the periods.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also sells one-to-four-family loans to the FHLB of Des Moines that require a limited level of recourse if the loans default and exceed a certain loss exposure. Specific to that recourse, the FHLB of Des Moines established a first loss account (“FLA”) related to the loans and required a credit enhancement (“CE”) obligation by the Bank to be utilized after the FLA is used. Based on loans sold through June 30, 2023, total loans sold to the FHLB of Des Moines were $10.0 million with the FLA totaling $581,000 and the CE obligation at $389,000 or 3.9% of the loans outstanding. Management has established a holdback of 10% of the outstanding CE, or $39,000, which is a part of the off-balance sheet holdback for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loans sold. At both June 30, 2023 and December 31, 2022, there were no loans sold to the FHLB of Des Moines that were greater than 30 days past their contractual payment due date.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Contingent liabilities for loans held for sale </w:t>
      </w:r>
      <w:r>
        <w:rPr>
          <w:rFonts w:ascii="Times New Roman;Times;serif" w:hAnsi="Times New Roman;Times;serif"/>
          <w:sz w:val="20"/>
        </w:rPr>
        <w:t>– In the ordinary course of business, loans are sold with limited recourse against the Company and may have 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may be required to either repurchase the loan or indemnify the investor for losses sustained. If there are no such defects, the Company has no commitment to repurchase the loan. The Company has recorded a holdback reserve of $2.1 million and $2.3 million to cover loss exposure related to these guarantees for one-to-four-family loans sold into the secondary market at June 30, 2023 and December 31, 2022, respectively, which is included in “Other liabilities” on the Consolidated Balance Sheets.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entered into a severance agreement with its Chief Executive Officer (“CEO”). The severance agreement, subject to certain requirements, generally includes a lump sum payment to the CEO equal to 24 months of base compensation in the event his employment is involuntarily terminated, other than for cause or the executive terminates his employment with good reason, as defined in the severance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entered into change of control agreements with its Chief Financial Officer, Chief Lending Officer, Chief Credit Officer, Chief Risk Officer, Chief Human Resources Officer, Senior Vice President Compliance Officer, Executive Vice President of Retail Banking and Marketing, and the Executive Vice President of Home Lending. The change of control agreements, subject to certain requirements, generally remain in effect until canceled by either party upon at least 24 months prior written notice. Under the change of control agreements, the executive generally will be entitled to a change of control payment from the Company if the executive is involuntarily terminated within six months preceding or 12 months after a change in control (as defined in the change of control agreements). In such an event, the executives would each be entitled to receive a cash payment in an amount equal to 12 months of their then current salary, subject to certain requirements in the change of control agreements.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a result of the nature of our activities, the Company is subject to various pending and threatened legal actions, which arise in the ordinary course of business. From time to time, subordination liens may create litigation which requires us to defend our lien rights. In the opinion of management, liabilities arising from these claims, if any, will not have a material effect on our financial position. The Company had no material pending legal actions at June 30, 2023.</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11 – FAIR VALUE MEASUREMENTS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determines fair value based on the requirements established in Accounting Standards Codification (“ASC”) </w:t>
      </w:r>
      <w:r>
        <w:rPr>
          <w:rFonts w:ascii="Times New Roman;Times;serif" w:hAnsi="Times New Roman;Times;serif"/>
          <w:i/>
          <w:sz w:val="20"/>
        </w:rPr>
        <w:t>Topic 820</w:t>
      </w:r>
      <w:r>
        <w:rPr>
          <w:rFonts w:ascii="Times New Roman;Times;serif" w:hAnsi="Times New Roman;Times;serif"/>
          <w:sz w:val="20"/>
        </w:rPr>
        <w:t xml:space="preserve">, </w:t>
      </w:r>
      <w:r>
        <w:rPr>
          <w:rFonts w:ascii="Times New Roman;Times;serif" w:hAnsi="Times New Roman;Times;serif"/>
          <w:i/>
          <w:sz w:val="20"/>
        </w:rPr>
        <w:t>Fair Value Measurements,</w:t>
      </w:r>
      <w:r>
        <w:rPr>
          <w:rFonts w:ascii="Times New Roman;Times;serif" w:hAnsi="Times New Roman;Times;serif"/>
          <w:sz w:val="20"/>
        </w:rPr>
        <w:t xml:space="preserve"> which provides a framework for measuring fair value in accordance with U.S. GAAP and requires an entity to maximize the use of observable inputs and minimize the use of unobservable inputs when measuring fair value.  ASC </w:t>
      </w:r>
      <w:r>
        <w:rPr>
          <w:rFonts w:ascii="Times New Roman;Times;serif" w:hAnsi="Times New Roman;Times;serif"/>
          <w:i/>
          <w:sz w:val="20"/>
        </w:rPr>
        <w:t>Topic 820</w:t>
      </w:r>
      <w:r>
        <w:rPr>
          <w:rFonts w:ascii="Times New Roman;Times;serif" w:hAnsi="Times New Roman;Times;serif"/>
          <w:sz w:val="20"/>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definitions describe the levels of inputs that may be used to measure fair value: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Level 1</w:t>
      </w:r>
      <w:r>
        <w:rPr>
          <w:rFonts w:ascii="Times New Roman;Times;serif" w:hAnsi="Times New Roman;Times;serif"/>
          <w:sz w:val="20"/>
        </w:rPr>
        <w:t> – Inputs to the valuation methodology are quoted prices (unadjusted) for identical assets or liabilities in active markets.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Level 2</w:t>
      </w:r>
      <w:r>
        <w:rPr>
          <w:rFonts w:ascii="Times New Roman;Times;serif" w:hAnsi="Times New Roman;Times;serif"/>
          <w:sz w:val="20"/>
        </w:rPr>
        <w:t> – 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Level 3</w:t>
      </w:r>
      <w:r>
        <w:rPr>
          <w:rFonts w:ascii="Times New Roman;Times;serif" w:hAnsi="Times New Roman;Times;serif"/>
          <w:sz w:val="20"/>
        </w:rPr>
        <w:t> – Inputs to the valuation methodology are unobservable and significant to the fair value measurement.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methods were used to estimate the fair value of certain assets and liabilities on a recurring and nonrecurring basis: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Securities </w:t>
      </w:r>
      <w:r>
        <w:rPr>
          <w:rFonts w:ascii="Times New Roman;Times;serif" w:hAnsi="Times New Roman;Times;serif"/>
          <w:sz w:val="20"/>
        </w:rPr>
        <w:t>– The fair value of securities available-for-sale are recorded on a recurring basis. The fair value of investments and mortgage-backed securities are provided by a third-party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2).  Transfers between the fair value hierarchy are determined through the third-party service provider which, from time to time will transfer between levels based on market conditions per the related security. All models and processes used take into account market convention.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Mortgage Loans Held for Sale </w:t>
      </w:r>
      <w:r>
        <w:rPr>
          <w:rFonts w:ascii="Times New Roman;Times;serif" w:hAnsi="Times New Roman;Times;serif"/>
          <w:sz w:val="20"/>
        </w:rPr>
        <w:t>– The fair value of loans held for sale reflects the value of commitments with investors and/or the relative price as delivered into a TBA mortgage-backed security (Level 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Loans Receivable</w:t>
      </w:r>
      <w:r>
        <w:rPr>
          <w:rFonts w:ascii="Times New Roman;Times;serif" w:hAnsi="Times New Roman;Times;serif"/>
          <w:sz w:val="20"/>
          <w:shd w:fill="FFFFFF" w:val="clear"/>
        </w:rPr>
        <w:t xml:space="preserve"> </w:t>
      </w:r>
      <w:r>
        <w:rPr>
          <w:rFonts w:ascii="Times New Roman;Times;serif" w:hAnsi="Times New Roman;Times;serif"/>
          <w:sz w:val="20"/>
        </w:rPr>
        <w:t>–</w:t>
      </w:r>
      <w:r>
        <w:rPr>
          <w:rFonts w:ascii="Times New Roman;Times;serif" w:hAnsi="Times New Roman;Times;serif"/>
          <w:sz w:val="20"/>
          <w:shd w:fill="FFFFFF" w:val="clear"/>
        </w:rPr>
        <w:t xml:space="preserve"> Fair values are estimated for portfolios of loans with similar financial characteristics. Loans are segregated by type, including commercial, real estate and consumer loans. Each loan category is further segregated by fixed and adjustable-rate loans. The fair value of loans is calculated by discounting expected cash flows at rates at which similar loans are currently being made. These amounts are discounted further by embedded probable losses expected to be realized in the portfolio. Certain residential mortgage loans were initially originated for sale and measured at fair value; after origination, the loans were transferred to loans held for investment.  As of June 30, 2023 and December 31, 2022, there were $14.3 million and $14.0 million, respectively, in residential mortgage loans accounted for under the fair value option as they were previously transferred from held for sale, at fair value to loans held for investment.  The aggregate unpaid principal balance of these loans was $15.9 million and $15.6 million as of June 30, 2023 and December 31, 2022, respectively.  Gains and losses from changes in fair value for these loans are reported in earnings as a component of  “Other noninterest income” on the Consolidated Statements of Income. For the three months ended June 30, 2023, the Company recorded a net decrease in fair value of $520,000,  as compared to a net decrease in fair value of $516,000  for the three months ended June 30, 2022. For the six months ended June 30, 2023, the Company recorded a net increase in fair value of $57,000,  as compared to a net decrease in fair value of $1.0 million for the six months ended June 30, 2022.  For loans originated as held for sale and transferred into loans held for investment, the fair value is determined based on quoted secondary market prices for similar loans (Level 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Derivative Instruments </w:t>
      </w:r>
      <w:r>
        <w:rPr>
          <w:rFonts w:ascii="Times New Roman;Times;serif" w:hAnsi="Times New Roman;Times;serif"/>
          <w:sz w:val="20"/>
        </w:rPr>
        <w:t>– Fair values for derivative assets and liabilities are measured on a recurring basis.  The primary use of derivative instruments is related to the mortgage banking activities of the Company.  The fair value of the interest rate lock commitments and forward sales commitments are estimated using quoted or published market prices for similar instruments, adjusted for factors such as pull-though rate assumptions based on historical information, where appropriate.  TBA mortgage-backed securities are fair valued on similar contracts in active markets (Level 2), while locks and forwards with customers and investors are fair valued using similar contracts in the market and changes in the market interest rates (Level 2 and 3).  Derivative instruments not related to mortgage banking activities include interest rate swap agreements.  The fair values of interest rate swap agreements are based on valuation models using observable market data as of the measurement date (Level 2).  The Company’s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market transactions and third-party pricing services.  The fair values of all interest rate swaps are determined from third-party pricing services without adjustment.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shd w:fill="FFFFFF" w:val="clear"/>
        </w:rPr>
        <w:t>Other Real Estate Owned</w:t>
      </w:r>
      <w:r>
        <w:rPr>
          <w:rFonts w:ascii="Times New Roman;Times;serif" w:hAnsi="Times New Roman;Times;serif"/>
          <w:sz w:val="20"/>
          <w:shd w:fill="FFFFFF" w:val="clear"/>
        </w:rPr>
        <w:t> </w:t>
      </w:r>
      <w:r>
        <w:rPr>
          <w:rFonts w:ascii="Times New Roman;Times;serif" w:hAnsi="Times New Roman;Times;serif"/>
          <w:sz w:val="20"/>
        </w:rPr>
        <w:t>–</w:t>
      </w:r>
      <w:r>
        <w:rPr>
          <w:rFonts w:ascii="Times New Roman;Times;serif" w:hAnsi="Times New Roman;Times;serif"/>
          <w:sz w:val="20"/>
          <w:shd w:fill="FFFFFF" w:val="clear"/>
        </w:rPr>
        <w:t> Fair value adjustments to OREO are recorded at the lower of carrying amount of the loan or fair value of the collateral less selling costs. Any write-downs based on the asset’s fair value at the date of acquisition are charged to the ACL for loans. After foreclosure, management periodically performs valuations such that the real estate is carried at the lower of its new cost basis or fair value, net of estimated costs to sell (Level 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18"/>
        </w:rPr>
      </w:pPr>
      <w:bookmarkStart w:id="3699" w:name="Tc_tWpBmltF4Uah-Pxb9NftSA_19_11"/>
      <w:bookmarkStart w:id="3700" w:name="Tc_tgC5ky0ptki5f7uMVl1u5w_19_8"/>
      <w:bookmarkStart w:id="3701" w:name="Tc_EJUuVmFy70qmM83pfQ54jg_19_5"/>
      <w:bookmarkStart w:id="3702" w:name="Tc_WcCn1guWUEimnNcyZQqL0A_19_2"/>
      <w:bookmarkStart w:id="3703" w:name="Tc_asFOAp6e1kiGdkyzR56YXQ_19_0"/>
      <w:bookmarkStart w:id="3704" w:name="Tc_E-hVnC3gGE2K16cDYSleyg_18_11"/>
      <w:bookmarkStart w:id="3705" w:name="Tc_82mZVHprzUyjEhuEZDP5fA_18_8"/>
      <w:bookmarkStart w:id="3706" w:name="Tc_KMO62KnqZUaD0XP1HCPoiw_18_5"/>
      <w:bookmarkStart w:id="3707" w:name="Tc_wAxzbumxM0K0q2tT7daHqA_18_2"/>
      <w:bookmarkStart w:id="3708" w:name="Tc_NZn6UPxxaU-xw2J_wG3aEQ_18_0"/>
      <w:bookmarkStart w:id="3709" w:name="Tc_6dZF6XKkBUO2ybz_eDd_Aw_17_0"/>
      <w:bookmarkStart w:id="3710" w:name="Tc_LqEdBqL5_UGRiwk2_4i2sQ_16_0"/>
      <w:bookmarkStart w:id="3711" w:name="Tc_exHCzEbBW02n56hHqQ22qg_15_11"/>
      <w:bookmarkStart w:id="3712" w:name="Tc_E-XDxyi9GEWrHM8VDUMHnQ_15_8"/>
      <w:bookmarkStart w:id="3713" w:name="Tc_Sx05q-8yEESoNHqJIjAr_Q_15_5"/>
      <w:bookmarkStart w:id="3714" w:name="Tc_hiPwZoYYQ06WZHf5haSuqQ_15_2"/>
      <w:bookmarkStart w:id="3715" w:name="Tc_VYVFbD23CEi-k2CsS7rFRQ_15_0"/>
      <w:bookmarkStart w:id="3716" w:name="Tc_hU6T-EP4lka0aOwdJHMBaw_14_0"/>
      <w:bookmarkStart w:id="3717" w:name="Tc_Ao65ivZcFkSW1fxsC4fvDg_13_0"/>
      <w:bookmarkStart w:id="3718" w:name="Tc_WdT2Ha9_TEiKs5mIUzKQlw_12_0"/>
      <w:bookmarkStart w:id="3719" w:name="Tc_UAs_CLbr2ku3ExR35l254g_11_0"/>
      <w:bookmarkStart w:id="3720" w:name="Tc_I_fBtJgBlkuj3e_AQqTp-A_10_0"/>
      <w:bookmarkStart w:id="3721" w:name="Tc_kJ7yhk7530O2Ij_taKVmig_9_0"/>
      <w:bookmarkStart w:id="3722" w:name="Tc_xvxLoivBAECYrFnkkq1EWA_8_0"/>
      <w:bookmarkStart w:id="3723" w:name="Tc_6t06-hk86067gzejtJsabQ_7_0"/>
      <w:bookmarkStart w:id="3724" w:name="Tc_1fv9zs4ayEeKqy9gnjcoXw_6_0"/>
      <w:bookmarkStart w:id="3725" w:name="Tc_fnISJs-XSEuhXyqvHYDoCA_5_0"/>
      <w:bookmarkStart w:id="3726" w:name="Tc_HLbvLJVbvEyS8C8LsXIk9g_4_0"/>
      <w:bookmarkStart w:id="3727" w:name="Tc_ytm5RLQEbEO5uYO0jxlP2A_3_11"/>
      <w:bookmarkStart w:id="3728" w:name="Tc_UdHHKNjV6UK-a20gFqhpVA_3_8"/>
      <w:bookmarkStart w:id="3729" w:name="Tc_daGH-2szy0e_VAsDYA19ng_3_5"/>
      <w:bookmarkStart w:id="3730" w:name="Tc_briZ52cqn0emci7zPL5I1A_3_2"/>
      <w:bookmarkStart w:id="3731" w:name="Tc_mu9uI5H1lE6y2PW-KreUNA_3_0"/>
      <w:bookmarkStart w:id="3732" w:name="Tc_rznRqG_dfEWxYY3vxuXDlw_2_11"/>
      <w:bookmarkStart w:id="3733" w:name="Tc_6G0eeSQ9d0CNuZ2SkWSmRg_2_8"/>
      <w:bookmarkStart w:id="3734" w:name="Tc_scPaIlkOCk6GQb-DgNXwsg_2_5"/>
      <w:bookmarkStart w:id="3735" w:name="Tc_CP-DcSD3_0-gfF0YHcmgyQ_2_2"/>
      <w:bookmarkStart w:id="3736" w:name="Tc_eYhdtYUjz0m2mvdEo_UrIQ_2_0"/>
      <w:bookmarkStart w:id="3737" w:name="Tc_zq6PlX_i_UK8fpIwTUh19A_1_2"/>
      <w:bookmarkStart w:id="3738" w:name="Tc_5qpfFdIXgkmJlQT4NNBWoA_1_0"/>
      <w:bookmarkStart w:id="3739" w:name="_790e42de_d7b4_4250_88b7_3a7e0531fedd"/>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r>
        <w:rPr>
          <w:rFonts w:ascii="Times New Roman;Times;serif" w:hAnsi="Times New Roman;Times;serif"/>
          <w:b/>
          <w:i/>
          <w:sz w:val="20"/>
        </w:rPr>
        <w:t xml:space="preserve">Loans Individually Evaluated </w:t>
      </w:r>
      <w:r>
        <w:rPr>
          <w:rFonts w:ascii="Times New Roman;Times;serif" w:hAnsi="Times New Roman;Times;serif"/>
          <w:sz w:val="18"/>
        </w:rPr>
        <w:t xml:space="preserve">– </w:t>
      </w:r>
      <w:r>
        <w:rPr>
          <w:rFonts w:ascii="Times New Roman;Times;serif" w:hAnsi="Times New Roman;Times;serif"/>
          <w:sz w:val="20"/>
        </w:rPr>
        <w:t>Expected credit losses for loans evaluated individually are measured based on the present value of expected future cash flows discounted at the loan’s original effective interest rate or when the Bank determines that foreclosure is probable, the expected credit loss is measured based on the fair value of the collateral as of the reporting date, less estimated selling costs, as applicable. As a practical expedient, the Bank measures the expected credit loss for a loan using the fair value of the collateral, if repayment is expected to be provided substantially through the operation or sale of the collateral when the borrower is experiencing financial difficulty based on the Bank’s assessment as of the reporting date. In both cases, if the fair value of the collateral is less than the amortized cost basis of the loan, the Bank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will be limited to the amount previously charged-off by the subsequent changes in the expected credit losses for loans evaluated individually are included within the provision for credit losses in the same manner in which the expected credit loss initially was recognized or as a reduction in the provision that would otherwise be reported (Level 3).</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Servicing Rights</w:t>
      </w:r>
      <w:r>
        <w:rPr>
          <w:rFonts w:ascii="Times New Roman;Times;serif" w:hAnsi="Times New Roman;Times;serif"/>
          <w:sz w:val="20"/>
        </w:rPr>
        <w:t> – The fair value of MSR is estimated using net present value of expected cash flows using a third-party model that incorporates assumptions used in the industry to value such rights, adjusted for factors such as weighted average prepayments speeds based on historical information where appropriate (Level 3).</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tables present securities available-for-sale, mortgage loans held for sale, loans receivable, at fair value, and derivative assets and liabilities measured at fair value on a recurring basis at the dates indicated:</w:t>
      </w:r>
    </w:p>
    <w:p>
      <w:pPr>
        <w:pStyle w:val="TextBody"/>
        <w:bidi w:val="0"/>
        <w:spacing w:before="0" w:after="0"/>
        <w:ind w:left="0" w:right="0" w:hanging="0"/>
        <w:jc w:val="left"/>
        <w:rPr/>
      </w:pPr>
      <w:r>
        <w:rPr/>
        <w:t>​</w:t>
      </w:r>
    </w:p>
    <w:tbl>
      <w:tblPr>
        <w:tblW w:w="9979" w:type="dxa"/>
        <w:jc w:val="left"/>
        <w:tblInd w:w="0" w:type="dxa"/>
        <w:tblLayout w:type="fixed"/>
        <w:tblCellMar>
          <w:top w:w="0" w:type="dxa"/>
          <w:left w:w="0" w:type="dxa"/>
          <w:bottom w:w="0" w:type="dxa"/>
          <w:right w:w="0" w:type="dxa"/>
        </w:tblCellMar>
      </w:tblPr>
      <w:tblGrid>
        <w:gridCol w:w="5206"/>
        <w:gridCol w:w="326"/>
        <w:gridCol w:w="272"/>
        <w:gridCol w:w="448"/>
        <w:gridCol w:w="326"/>
        <w:gridCol w:w="211"/>
        <w:gridCol w:w="781"/>
        <w:gridCol w:w="326"/>
        <w:gridCol w:w="240"/>
        <w:gridCol w:w="480"/>
        <w:gridCol w:w="326"/>
        <w:gridCol w:w="211"/>
        <w:gridCol w:w="826"/>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3305810" cy="175260"/>
                      <wp:effectExtent l="0" t="0" r="0" b="0"/>
                      <wp:wrapNone/>
                      <wp:docPr id="462" name="Frame462"/>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72720" cy="175260"/>
                      <wp:effectExtent l="0" t="0" r="0" b="0"/>
                      <wp:wrapNone/>
                      <wp:docPr id="464" name="Frame464"/>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84480" cy="175260"/>
                      <wp:effectExtent l="0" t="0" r="0" b="0"/>
                      <wp:wrapNone/>
                      <wp:docPr id="465" name="Frame465"/>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95935" cy="175260"/>
                      <wp:effectExtent l="0" t="0" r="0" b="0"/>
                      <wp:wrapNone/>
                      <wp:docPr id="468" name="Frame4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52400" cy="175260"/>
                      <wp:effectExtent l="0" t="0" r="0" b="0"/>
                      <wp:wrapNone/>
                      <wp:docPr id="470" name="Frame47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304800" cy="175260"/>
                      <wp:effectExtent l="0" t="0" r="0" b="0"/>
                      <wp:wrapNone/>
                      <wp:docPr id="471" name="Frame471"/>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24510" cy="175260"/>
                      <wp:effectExtent l="0" t="0" r="0" b="0"/>
                      <wp:wrapNone/>
                      <wp:docPr id="474" name="Frame47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26" w:type="dxa"/>
            <w:tcBorders/>
            <w:vAlign w:val="center"/>
          </w:tcPr>
          <w:p>
            <w:pPr>
              <w:pStyle w:val="TableContents"/>
              <w:bidi w:val="0"/>
              <w:spacing w:before="0" w:after="0"/>
              <w:ind w:left="0" w:right="0" w:hanging="0"/>
              <w:jc w:val="left"/>
              <w:rPr/>
            </w:pPr>
            <w:r>
              <w:rPr/>
              <w:t>​</w:t>
            </w:r>
          </w:p>
        </w:tc>
        <w:tc>
          <w:tcPr>
            <w:tcW w:w="444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June 30, 2023</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available-for-sale:</w:t>
            </w:r>
          </w:p>
        </w:tc>
        <w:tc>
          <w:tcPr>
            <w:tcW w:w="326" w:type="dxa"/>
            <w:tcBorders/>
            <w:vAlign w:val="center"/>
          </w:tcPr>
          <w:p>
            <w:pPr>
              <w:pStyle w:val="TableContents"/>
              <w:bidi w:val="0"/>
              <w:spacing w:before="0" w:after="0"/>
              <w:ind w:left="0" w:right="0" w:hanging="0"/>
              <w:jc w:val="left"/>
              <w:rPr/>
            </w:pPr>
            <w:r>
              <w:rPr/>
              <w:t>    </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7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17,638</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17,638</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6,193</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6,193</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118,664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4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118,664</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67,597</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67,597</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Small Business Administration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15,777</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4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15,777</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loans held for sale, at fair value</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16,714</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16,714</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14,349</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14,349</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11,591</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11,591</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268,715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269,111</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3740" w:name="Tc_svrEK4KLgEWmMILAaaiEEw_8_12"/>
      <w:bookmarkStart w:id="3741" w:name="Tc_Ixa4B09DYky51ThU23WHPg_8_9"/>
      <w:bookmarkStart w:id="3742" w:name="Tc_6ri3yJXIsUarf1HqsWkbhw_8_6"/>
      <w:bookmarkStart w:id="3743" w:name="Tc_--xf9gVwU0yPEoqNFmXt_g_8_0"/>
      <w:bookmarkStart w:id="3744" w:name="Tc_6gJ59XhKV0S6coS9qvPUpQ_7_0"/>
      <w:bookmarkStart w:id="3745" w:name="Tc_2rydeSmLTEamECCPqvHuUg_6_12"/>
      <w:bookmarkStart w:id="3746" w:name="Tc_GFSybuwk4EWk3yKCo2Cugw_6_9"/>
      <w:bookmarkStart w:id="3747" w:name="Tc_6D_jd7KVQ0eiuwrJxfyPng_6_6"/>
      <w:bookmarkStart w:id="3748" w:name="Tc_xriTFG05JUGp14sL9YVQWA_6_0"/>
      <w:bookmarkStart w:id="3749" w:name="Tc_xSd41BHXIEOUl3-LdUwE3A_5_12"/>
      <w:bookmarkStart w:id="3750" w:name="Tc_7QpwuFYkj0Wxn7TEXRMViA_5_9"/>
      <w:bookmarkStart w:id="3751" w:name="Tc_RbfLl48770SqDi4Z-rCw3g_5_6"/>
      <w:bookmarkStart w:id="3752" w:name="Tc_ns4v84An1UmmRxYux0_LCA_5_0"/>
      <w:bookmarkStart w:id="3753" w:name="Tc_S56MvyxgCkyrudhnl35Leg_4_0"/>
      <w:bookmarkStart w:id="3754" w:name="Tc_ongg6dCUck6d_toJxVfcPQ_3_11"/>
      <w:bookmarkStart w:id="3755" w:name="Tc_EyNqTUAfh0--bvrkHTpCpQ_3_8"/>
      <w:bookmarkStart w:id="3756" w:name="Tc_FFr1aL3Z9kytFOZsy1W2cQ_3_6"/>
      <w:bookmarkStart w:id="3757" w:name="Tc_TNiLC7dalky9Hj_0piMoIw_3_4"/>
      <w:bookmarkStart w:id="3758" w:name="Tc_FOHZAp0ngkSo3iKmVN5zTQ_3_2"/>
      <w:bookmarkStart w:id="3759" w:name="Tc_-JRbCpbgAkyx__teR6tYrA_3_0"/>
      <w:bookmarkStart w:id="3760" w:name="Tc_p_Wrv2rUdk-7Rn0AbYsLDw_2_11"/>
      <w:bookmarkStart w:id="3761" w:name="Tc_6SWLeloRJ0mUOfjGDdhvdg_2_8"/>
      <w:bookmarkStart w:id="3762" w:name="Tc_tn1k9sMoS0iZnpQrRbULpQ_2_4"/>
      <w:bookmarkStart w:id="3763" w:name="Tc_nbE-vkJ_TkSBOjAYGlGibA_2_2"/>
      <w:bookmarkStart w:id="3764" w:name="Tc_6cYRAe7v4U6V5L7vpMdegw_2_0"/>
      <w:bookmarkStart w:id="3765" w:name="Tc_vJ8RmGjIj0aYeCAAac1EFw_1_8"/>
      <w:bookmarkStart w:id="3766" w:name="Tc_TuRXumiBzUSzvGTDhdzLPQ_1_4"/>
      <w:bookmarkStart w:id="3767" w:name="Tc_Qw1mXFuqF0KyerAKn-n3lg_1_0"/>
      <w:bookmarkStart w:id="3768" w:name="Tc_7Ypz6itxqUOAUVezb9i14Q_3_11"/>
      <w:bookmarkStart w:id="3769" w:name="Tc_3TEoJn2rz0KoRdd1TIm2ig_3_8"/>
      <w:bookmarkStart w:id="3770" w:name="Tc_kAOlmnvnBkS0IvhguZ3ITA_3_5"/>
      <w:bookmarkStart w:id="3771" w:name="Tc_DYkUePJ-Z0qJ_iSaDXjG8g_3_2"/>
      <w:bookmarkStart w:id="3772" w:name="Tc_UyfTo8gRWUW7YUEgr1ZuQQ_3_0"/>
      <w:bookmarkStart w:id="3773" w:name="Tc_21AAwuBzCEyrmWXcxpl8FQ_2_11"/>
      <w:bookmarkStart w:id="3774" w:name="Tc_XGzzGzPLTE-vEbwMHKPSeQ_2_8"/>
      <w:bookmarkStart w:id="3775" w:name="Tc_NyasL_z8PUe5JV33-AF6eg_2_5"/>
      <w:bookmarkStart w:id="3776" w:name="Tc_EdZ6XX_ebUe0eUT-qlA7eA_2_2"/>
      <w:bookmarkStart w:id="3777" w:name="Tc_kC9tMwXdhEqHgW8XiEilfQ_1_2"/>
      <w:bookmarkStart w:id="3778" w:name="_86a3615c_f8e9_4b88_8602_d83c240a70de"/>
      <w:bookmarkStart w:id="3779" w:name="Tc_8RH0IyyI1EyS1iwap_oDLQ_18_11"/>
      <w:bookmarkStart w:id="3780" w:name="Tc_yx7KcoYonU6o6HC-wFSH-A_18_8"/>
      <w:bookmarkStart w:id="3781" w:name="Tc_wL3o5QgkNU6mlxjIZRI4VA_18_5"/>
      <w:bookmarkStart w:id="3782" w:name="Tc_KhgZ727ioE68JCyJ_Vd77Q_18_2"/>
      <w:bookmarkStart w:id="3783" w:name="Tc_nKopJEoNVkGkXrznBW9sZg_18_0"/>
      <w:bookmarkStart w:id="3784" w:name="Tc_Naabi5ejJEaoYI-NmE4XmQ_17_11"/>
      <w:bookmarkStart w:id="3785" w:name="Tc_QsvKeVeQokOlfxrKONltMg_17_8"/>
      <w:bookmarkStart w:id="3786" w:name="Tc_0N6XSrZJjUukrufsQrJnJA_17_5"/>
      <w:bookmarkStart w:id="3787" w:name="Tc_0qPtqkiyvUyqVR9WOCw-9w_17_2"/>
      <w:bookmarkStart w:id="3788" w:name="Tc_yMZVRTHR3kerH-XfwAkZVA_17_0"/>
      <w:bookmarkStart w:id="3789" w:name="Tc_JdhzhHnJk0mDJv51YXNSJg_16_0"/>
      <w:bookmarkStart w:id="3790" w:name="Tc_nU-Q4Buo1E-_Qau4wlgluA_15_0"/>
      <w:bookmarkStart w:id="3791" w:name="Tc_r_KbvJJTTUenadJV0FJGHA_14_11"/>
      <w:bookmarkStart w:id="3792" w:name="Tc_XnZXAbNDNkWtsp_M6gV4KQ_14_8"/>
      <w:bookmarkStart w:id="3793" w:name="Tc_LLie0-x7Yk6q7LgBjEISyg_14_5"/>
      <w:bookmarkStart w:id="3794" w:name="Tc_RGFfu0BS4kCl5-44dyTpbw_14_2"/>
      <w:bookmarkStart w:id="3795" w:name="Tc_p9pued3zCkW3j6xX1DyenA_14_0"/>
      <w:bookmarkStart w:id="3796" w:name="Tc_62IaOlGW5UWxkJZyhpB9rw_13_0"/>
      <w:bookmarkStart w:id="3797" w:name="Tc_Uc6jgWSgt0--fkehWv-WQw_12_0"/>
      <w:bookmarkStart w:id="3798" w:name="Tc_HHVh60zYXU62ao2wNP1hcw_11_0"/>
      <w:bookmarkStart w:id="3799" w:name="Tc_qhhNyoy9XEaUuFnWduK5IQ_10_0"/>
      <w:bookmarkStart w:id="3800" w:name="Tc_XN1iu8-TcUOGwbFX1wEldg_9_0"/>
      <w:bookmarkStart w:id="3801" w:name="Tc_e7nEE4JiaEGrRS1Y3Riatg_8_0"/>
      <w:bookmarkStart w:id="3802" w:name="Tc_PNP7m0mvQEW54ynk9mkkcg_7_0"/>
      <w:bookmarkStart w:id="3803" w:name="Tc_yjf8qf8E_E2nowSt8F5_gQ_6_0"/>
      <w:bookmarkStart w:id="3804" w:name="Tc_N01PbJQ-6kWqj0JvQMyhcw_5_0"/>
      <w:bookmarkStart w:id="3805" w:name="Tc__9f9fX2OUkiSGF2ZKdTXdQ_4_0"/>
      <w:bookmarkStart w:id="3806" w:name="Tc_pkNCq5c6xEy0566OF_Ke3Q_3_11"/>
      <w:bookmarkStart w:id="3807" w:name="Tc_PqMXzJK_bEqLn-drCBCuug_3_8"/>
      <w:bookmarkStart w:id="3808" w:name="Tc_61maaeG5xU6h5MFIB7Pmug_3_5"/>
      <w:bookmarkStart w:id="3809" w:name="Tc_IwUdUCGmKkGfWz_np0tw7A_3_2"/>
      <w:bookmarkStart w:id="3810" w:name="Tc_sPbbf9FySUqQ47JlF3jj9w_3_0"/>
      <w:bookmarkStart w:id="3811" w:name="Tc_z-s48pP3YkKXOLEsJXNMtA_2_11"/>
      <w:bookmarkStart w:id="3812" w:name="Tc_DLI7r_Oe-EyMYZ25pm_6wg_2_8"/>
      <w:bookmarkStart w:id="3813" w:name="Tc_9bAsXkpqhEu7_fNP-LZn7w_2_5"/>
      <w:bookmarkStart w:id="3814" w:name="Tc_1TDi2n_S2kmQ7oCCHO7f1Q_2_2"/>
      <w:bookmarkStart w:id="3815" w:name="Tc_JhgRGCVgVUyu13p4dYE1pQ_2_0"/>
      <w:bookmarkStart w:id="3816" w:name="Tc_tSmTpY8UfEa855JSmUXfqw_1_2"/>
      <w:bookmarkStart w:id="3817" w:name="Tc_zum572AyUEC2XRQ-6eyqcw_1_0"/>
      <w:bookmarkStart w:id="3818" w:name="_92264312_7f48_4f20_8e9a_cc41bf4eacfc"/>
      <w:bookmarkStart w:id="3819" w:name="Tc_svrEK4KLgEWmMILAaaiEEw_8_12"/>
      <w:bookmarkStart w:id="3820" w:name="Tc_Ixa4B09DYky51ThU23WHPg_8_9"/>
      <w:bookmarkStart w:id="3821" w:name="Tc_6ri3yJXIsUarf1HqsWkbhw_8_6"/>
      <w:bookmarkStart w:id="3822" w:name="Tc_--xf9gVwU0yPEoqNFmXt_g_8_0"/>
      <w:bookmarkStart w:id="3823" w:name="Tc_6gJ59XhKV0S6coS9qvPUpQ_7_0"/>
      <w:bookmarkStart w:id="3824" w:name="Tc_2rydeSmLTEamECCPqvHuUg_6_12"/>
      <w:bookmarkStart w:id="3825" w:name="Tc_GFSybuwk4EWk3yKCo2Cugw_6_9"/>
      <w:bookmarkStart w:id="3826" w:name="Tc_6D_jd7KVQ0eiuwrJxfyPng_6_6"/>
      <w:bookmarkStart w:id="3827" w:name="Tc_xriTFG05JUGp14sL9YVQWA_6_0"/>
      <w:bookmarkStart w:id="3828" w:name="Tc_xSd41BHXIEOUl3-LdUwE3A_5_12"/>
      <w:bookmarkStart w:id="3829" w:name="Tc_7QpwuFYkj0Wxn7TEXRMViA_5_9"/>
      <w:bookmarkStart w:id="3830" w:name="Tc_RbfLl48770SqDi4Z-rCw3g_5_6"/>
      <w:bookmarkStart w:id="3831" w:name="Tc_ns4v84An1UmmRxYux0_LCA_5_0"/>
      <w:bookmarkStart w:id="3832" w:name="Tc_S56MvyxgCkyrudhnl35Leg_4_0"/>
      <w:bookmarkStart w:id="3833" w:name="Tc_ongg6dCUck6d_toJxVfcPQ_3_11"/>
      <w:bookmarkStart w:id="3834" w:name="Tc_EyNqTUAfh0--bvrkHTpCpQ_3_8"/>
      <w:bookmarkStart w:id="3835" w:name="Tc_FFr1aL3Z9kytFOZsy1W2cQ_3_6"/>
      <w:bookmarkStart w:id="3836" w:name="Tc_TNiLC7dalky9Hj_0piMoIw_3_4"/>
      <w:bookmarkStart w:id="3837" w:name="Tc_FOHZAp0ngkSo3iKmVN5zTQ_3_2"/>
      <w:bookmarkStart w:id="3838" w:name="Tc_-JRbCpbgAkyx__teR6tYrA_3_0"/>
      <w:bookmarkStart w:id="3839" w:name="Tc_p_Wrv2rUdk-7Rn0AbYsLDw_2_11"/>
      <w:bookmarkStart w:id="3840" w:name="Tc_6SWLeloRJ0mUOfjGDdhvdg_2_8"/>
      <w:bookmarkStart w:id="3841" w:name="Tc_tn1k9sMoS0iZnpQrRbULpQ_2_4"/>
      <w:bookmarkStart w:id="3842" w:name="Tc_nbE-vkJ_TkSBOjAYGlGibA_2_2"/>
      <w:bookmarkStart w:id="3843" w:name="Tc_6cYRAe7v4U6V5L7vpMdegw_2_0"/>
      <w:bookmarkStart w:id="3844" w:name="Tc_vJ8RmGjIj0aYeCAAac1EFw_1_8"/>
      <w:bookmarkStart w:id="3845" w:name="Tc_TuRXumiBzUSzvGTDhdzLPQ_1_4"/>
      <w:bookmarkStart w:id="3846" w:name="Tc_Qw1mXFuqF0KyerAKn-n3lg_1_0"/>
      <w:bookmarkStart w:id="3847" w:name="Tc_7Ypz6itxqUOAUVezb9i14Q_3_11"/>
      <w:bookmarkStart w:id="3848" w:name="Tc_3TEoJn2rz0KoRdd1TIm2ig_3_8"/>
      <w:bookmarkStart w:id="3849" w:name="Tc_kAOlmnvnBkS0IvhguZ3ITA_3_5"/>
      <w:bookmarkStart w:id="3850" w:name="Tc_DYkUePJ-Z0qJ_iSaDXjG8g_3_2"/>
      <w:bookmarkStart w:id="3851" w:name="Tc_UyfTo8gRWUW7YUEgr1ZuQQ_3_0"/>
      <w:bookmarkStart w:id="3852" w:name="Tc_21AAwuBzCEyrmWXcxpl8FQ_2_11"/>
      <w:bookmarkStart w:id="3853" w:name="Tc_XGzzGzPLTE-vEbwMHKPSeQ_2_8"/>
      <w:bookmarkStart w:id="3854" w:name="Tc_NyasL_z8PUe5JV33-AF6eg_2_5"/>
      <w:bookmarkStart w:id="3855" w:name="Tc_EdZ6XX_ebUe0eUT-qlA7eA_2_2"/>
      <w:bookmarkStart w:id="3856" w:name="Tc_kC9tMwXdhEqHgW8XiEilfQ_1_2"/>
      <w:bookmarkStart w:id="3857" w:name="_86a3615c_f8e9_4b88_8602_d83c240a70de"/>
      <w:bookmarkStart w:id="3858" w:name="Tc_8RH0IyyI1EyS1iwap_oDLQ_18_11"/>
      <w:bookmarkStart w:id="3859" w:name="Tc_yx7KcoYonU6o6HC-wFSH-A_18_8"/>
      <w:bookmarkStart w:id="3860" w:name="Tc_wL3o5QgkNU6mlxjIZRI4VA_18_5"/>
      <w:bookmarkStart w:id="3861" w:name="Tc_KhgZ727ioE68JCyJ_Vd77Q_18_2"/>
      <w:bookmarkStart w:id="3862" w:name="Tc_nKopJEoNVkGkXrznBW9sZg_18_0"/>
      <w:bookmarkStart w:id="3863" w:name="Tc_Naabi5ejJEaoYI-NmE4XmQ_17_11"/>
      <w:bookmarkStart w:id="3864" w:name="Tc_QsvKeVeQokOlfxrKONltMg_17_8"/>
      <w:bookmarkStart w:id="3865" w:name="Tc_0N6XSrZJjUukrufsQrJnJA_17_5"/>
      <w:bookmarkStart w:id="3866" w:name="Tc_0qPtqkiyvUyqVR9WOCw-9w_17_2"/>
      <w:bookmarkStart w:id="3867" w:name="Tc_yMZVRTHR3kerH-XfwAkZVA_17_0"/>
      <w:bookmarkStart w:id="3868" w:name="Tc_JdhzhHnJk0mDJv51YXNSJg_16_0"/>
      <w:bookmarkStart w:id="3869" w:name="Tc_nU-Q4Buo1E-_Qau4wlgluA_15_0"/>
      <w:bookmarkStart w:id="3870" w:name="Tc_r_KbvJJTTUenadJV0FJGHA_14_11"/>
      <w:bookmarkStart w:id="3871" w:name="Tc_XnZXAbNDNkWtsp_M6gV4KQ_14_8"/>
      <w:bookmarkStart w:id="3872" w:name="Tc_LLie0-x7Yk6q7LgBjEISyg_14_5"/>
      <w:bookmarkStart w:id="3873" w:name="Tc_RGFfu0BS4kCl5-44dyTpbw_14_2"/>
      <w:bookmarkStart w:id="3874" w:name="Tc_p9pued3zCkW3j6xX1DyenA_14_0"/>
      <w:bookmarkStart w:id="3875" w:name="Tc_62IaOlGW5UWxkJZyhpB9rw_13_0"/>
      <w:bookmarkStart w:id="3876" w:name="Tc_Uc6jgWSgt0--fkehWv-WQw_12_0"/>
      <w:bookmarkStart w:id="3877" w:name="Tc_HHVh60zYXU62ao2wNP1hcw_11_0"/>
      <w:bookmarkStart w:id="3878" w:name="Tc_qhhNyoy9XEaUuFnWduK5IQ_10_0"/>
      <w:bookmarkStart w:id="3879" w:name="Tc_XN1iu8-TcUOGwbFX1wEldg_9_0"/>
      <w:bookmarkStart w:id="3880" w:name="Tc_e7nEE4JiaEGrRS1Y3Riatg_8_0"/>
      <w:bookmarkStart w:id="3881" w:name="Tc_PNP7m0mvQEW54ynk9mkkcg_7_0"/>
      <w:bookmarkStart w:id="3882" w:name="Tc_yjf8qf8E_E2nowSt8F5_gQ_6_0"/>
      <w:bookmarkStart w:id="3883" w:name="Tc_N01PbJQ-6kWqj0JvQMyhcw_5_0"/>
      <w:bookmarkStart w:id="3884" w:name="Tc__9f9fX2OUkiSGF2ZKdTXdQ_4_0"/>
      <w:bookmarkStart w:id="3885" w:name="Tc_pkNCq5c6xEy0566OF_Ke3Q_3_11"/>
      <w:bookmarkStart w:id="3886" w:name="Tc_PqMXzJK_bEqLn-drCBCuug_3_8"/>
      <w:bookmarkStart w:id="3887" w:name="Tc_61maaeG5xU6h5MFIB7Pmug_3_5"/>
      <w:bookmarkStart w:id="3888" w:name="Tc_IwUdUCGmKkGfWz_np0tw7A_3_2"/>
      <w:bookmarkStart w:id="3889" w:name="Tc_sPbbf9FySUqQ47JlF3jj9w_3_0"/>
      <w:bookmarkStart w:id="3890" w:name="Tc_z-s48pP3YkKXOLEsJXNMtA_2_11"/>
      <w:bookmarkStart w:id="3891" w:name="Tc_DLI7r_Oe-EyMYZ25pm_6wg_2_8"/>
      <w:bookmarkStart w:id="3892" w:name="Tc_9bAsXkpqhEu7_fNP-LZn7w_2_5"/>
      <w:bookmarkStart w:id="3893" w:name="Tc_1TDi2n_S2kmQ7oCCHO7f1Q_2_2"/>
      <w:bookmarkStart w:id="3894" w:name="Tc_JhgRGCVgVUyu13p4dYE1pQ_2_0"/>
      <w:bookmarkStart w:id="3895" w:name="Tc_tSmTpY8UfEa855JSmUXfqw_1_2"/>
      <w:bookmarkStart w:id="3896" w:name="Tc_zum572AyUEC2XRQ-6eyqcw_1_0"/>
      <w:bookmarkStart w:id="3897" w:name="_92264312_7f48_4f20_8e9a_cc41bf4eacfc"/>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p>
    <w:tbl>
      <w:tblPr>
        <w:tblW w:w="9981" w:type="dxa"/>
        <w:jc w:val="left"/>
        <w:tblInd w:w="0" w:type="dxa"/>
        <w:tblLayout w:type="fixed"/>
        <w:tblCellMar>
          <w:top w:w="0" w:type="dxa"/>
          <w:left w:w="0" w:type="dxa"/>
          <w:bottom w:w="0" w:type="dxa"/>
          <w:right w:w="0" w:type="dxa"/>
        </w:tblCellMar>
      </w:tblPr>
      <w:tblGrid>
        <w:gridCol w:w="5206"/>
        <w:gridCol w:w="326"/>
        <w:gridCol w:w="273"/>
        <w:gridCol w:w="448"/>
        <w:gridCol w:w="326"/>
        <w:gridCol w:w="211"/>
        <w:gridCol w:w="781"/>
        <w:gridCol w:w="326"/>
        <w:gridCol w:w="240"/>
        <w:gridCol w:w="481"/>
        <w:gridCol w:w="326"/>
        <w:gridCol w:w="211"/>
        <w:gridCol w:w="826"/>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305810" cy="175260"/>
                      <wp:effectExtent l="0" t="0" r="0" b="0"/>
                      <wp:wrapNone/>
                      <wp:docPr id="475" name="Frame475"/>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73355" cy="175260"/>
                      <wp:effectExtent l="0" t="0" r="0" b="0"/>
                      <wp:wrapNone/>
                      <wp:docPr id="477" name="Frame477"/>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84480" cy="175260"/>
                      <wp:effectExtent l="0" t="0" r="0" b="0"/>
                      <wp:wrapNone/>
                      <wp:docPr id="478" name="Frame478"/>
                      <a:graphic xmlns:a="http://schemas.openxmlformats.org/drawingml/2006/main">
                        <a:graphicData uri="http://schemas.microsoft.com/office/word/2010/wordprocessingShape">
                          <wps:wsp>
                            <wps:cNvSpPr txBox="1"/>
                            <wps:spPr>
                              <a:xfrm>
                                <a:off x="0" y="0"/>
                                <a:ext cx="28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9" name="Frame4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33985" cy="175260"/>
                      <wp:effectExtent l="0" t="0" r="0" b="0"/>
                      <wp:wrapNone/>
                      <wp:docPr id="480" name="Frame4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495935" cy="175260"/>
                      <wp:effectExtent l="0" t="0" r="0" b="0"/>
                      <wp:wrapNone/>
                      <wp:docPr id="481" name="Frame4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52400" cy="175260"/>
                      <wp:effectExtent l="0" t="0" r="0" b="0"/>
                      <wp:wrapNone/>
                      <wp:docPr id="483" name="Frame483"/>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305435" cy="175260"/>
                      <wp:effectExtent l="0" t="0" r="0" b="0"/>
                      <wp:wrapNone/>
                      <wp:docPr id="484" name="Frame48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07010" cy="175260"/>
                      <wp:effectExtent l="0" t="0" r="0" b="0"/>
                      <wp:wrapNone/>
                      <wp:docPr id="485"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6" name="Frame4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524510" cy="175260"/>
                      <wp:effectExtent l="0" t="0" r="0" b="0"/>
                      <wp:wrapNone/>
                      <wp:docPr id="487" name="Frame48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26" w:type="dxa"/>
            <w:tcBorders/>
            <w:vAlign w:val="center"/>
          </w:tcPr>
          <w:p>
            <w:pPr>
              <w:pStyle w:val="TableContents"/>
              <w:bidi w:val="0"/>
              <w:spacing w:before="0" w:after="0"/>
              <w:ind w:left="0" w:right="0" w:hanging="0"/>
              <w:jc w:val="left"/>
              <w:rPr/>
            </w:pPr>
            <w:r>
              <w:rPr/>
              <w:t>​</w:t>
            </w:r>
          </w:p>
        </w:tc>
        <w:tc>
          <w:tcPr>
            <w:tcW w:w="444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December 31, 2022</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available-for-sale:</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agency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17,288</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17,288</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Municipal bonds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120,602</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120,602</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Mortgage-backed securities</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 </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69,966</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69,966</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Small Business Administration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 </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12,851</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12,851</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Mortgage loans held for sale, at fair value</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9,870</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9,870</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273,414</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273,521</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Derivatives:</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measured at fair value</w:t>
            </w:r>
          </w:p>
        </w:tc>
        <w:tc>
          <w:tcPr>
            <w:tcW w:w="326" w:type="dxa"/>
            <w:tcBorders/>
            <w:vAlign w:val="center"/>
          </w:tcPr>
          <w:p>
            <w:pPr>
              <w:pStyle w:val="TableContents"/>
              <w:bidi w:val="0"/>
              <w:spacing w:before="0" w:after="0"/>
              <w:ind w:left="0" w:right="0" w:hanging="0"/>
              <w:jc w:val="left"/>
              <w:rPr/>
            </w:pPr>
            <w:r>
              <w:rPr/>
              <w:t>​</w:t>
            </w:r>
          </w:p>
        </w:tc>
        <w:tc>
          <w:tcPr>
            <w:tcW w:w="27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following table presents financial assets measured at fair value on a nonrecurring basis and the level within the fair value hierarchy at June 30, 2023. There were no financial assets measured at fair value on a nonrecurring basis as of December 31, 2022. </w:t>
      </w:r>
    </w:p>
    <w:p>
      <w:pPr>
        <w:pStyle w:val="TextBody"/>
        <w:bidi w:val="0"/>
        <w:spacing w:before="0" w:after="0"/>
        <w:ind w:left="0" w:right="0" w:hanging="0"/>
        <w:jc w:val="left"/>
        <w:rPr/>
      </w:pPr>
      <w:r>
        <w:rPr/>
        <w:t>​</w:t>
      </w:r>
    </w:p>
    <w:tbl>
      <w:tblPr>
        <w:tblW w:w="5166" w:type="dxa"/>
        <w:jc w:val="left"/>
        <w:tblInd w:w="0" w:type="dxa"/>
        <w:tblLayout w:type="fixed"/>
        <w:tblCellMar>
          <w:top w:w="0" w:type="dxa"/>
          <w:left w:w="0" w:type="dxa"/>
          <w:bottom w:w="0" w:type="dxa"/>
          <w:right w:w="0" w:type="dxa"/>
        </w:tblCellMar>
      </w:tblPr>
      <w:tblGrid>
        <w:gridCol w:w="541"/>
        <w:gridCol w:w="326"/>
        <w:gridCol w:w="273"/>
        <w:gridCol w:w="448"/>
        <w:gridCol w:w="326"/>
        <w:gridCol w:w="273"/>
        <w:gridCol w:w="448"/>
        <w:gridCol w:w="326"/>
        <w:gridCol w:w="211"/>
        <w:gridCol w:w="676"/>
        <w:gridCol w:w="326"/>
        <w:gridCol w:w="211"/>
        <w:gridCol w:w="781"/>
      </w:tblGrid>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29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vAlign w:val="center"/>
          </w:tcPr>
          <w:p>
            <w:pPr>
              <w:pStyle w:val="TableContents"/>
              <w:bidi w:val="0"/>
              <w:spacing w:before="0" w:after="0"/>
              <w:ind w:left="0" w:right="0" w:hanging="0"/>
              <w:jc w:val="left"/>
              <w:rPr/>
            </w:pPr>
            <w:r>
              <w:rPr/>
              <w:t>    </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MSR</w:t>
            </w:r>
          </w:p>
        </w:tc>
        <w:tc>
          <w:tcPr>
            <w:tcW w:w="326" w:type="dxa"/>
            <w:tcBorders/>
            <w:shd w:fill="CCEEFF" w:val="clear"/>
            <w:vAlign w:val="center"/>
          </w:tcPr>
          <w:p>
            <w:pPr>
              <w:pStyle w:val="TableContents"/>
              <w:bidi w:val="0"/>
              <w:spacing w:before="0" w:after="0"/>
              <w:ind w:left="0" w:right="0" w:hanging="0"/>
              <w:jc w:val="left"/>
              <w:rPr/>
            </w:pPr>
            <w:r>
              <w:rPr/>
              <w:t>​</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37,486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Quantitative Information about Level 3 Fair Value Measurements </w:t>
      </w:r>
      <w:r>
        <w:rPr>
          <w:rFonts w:ascii="Times New Roman;Times;serif" w:hAnsi="Times New Roman;Times;serif"/>
          <w:sz w:val="20"/>
        </w:rPr>
        <w:t>– Shown in the table below is the fair value of financial instruments measured under a Level 3 unobservable input on a recurring and nonrecurring basis at the dates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63"/>
        <w:gridCol w:w="386"/>
        <w:gridCol w:w="1243"/>
        <w:gridCol w:w="386"/>
        <w:gridCol w:w="1493"/>
        <w:gridCol w:w="386"/>
        <w:gridCol w:w="757"/>
        <w:gridCol w:w="386"/>
        <w:gridCol w:w="612"/>
        <w:gridCol w:w="271"/>
        <w:gridCol w:w="386"/>
        <w:gridCol w:w="1017"/>
        <w:gridCol w:w="319"/>
      </w:tblGrid>
      <w:tr>
        <w:trPr/>
        <w:tc>
          <w:tcPr>
            <w:tcW w:w="2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627505" cy="175260"/>
                      <wp:effectExtent l="0" t="0" r="0" b="0"/>
                      <wp:wrapNone/>
                      <wp:docPr id="488" name="Frame488"/>
                      <a:graphic xmlns:a="http://schemas.openxmlformats.org/drawingml/2006/main">
                        <a:graphicData uri="http://schemas.microsoft.com/office/word/2010/wordprocessingShape">
                          <wps:wsp>
                            <wps:cNvSpPr txBox="1"/>
                            <wps:spPr>
                              <a:xfrm>
                                <a:off x="0" y="0"/>
                                <a:ext cx="162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45110" cy="175260"/>
                      <wp:effectExtent l="0" t="0" r="0" b="0"/>
                      <wp:wrapNone/>
                      <wp:docPr id="489" name="Frame489"/>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789305" cy="175260"/>
                      <wp:effectExtent l="0" t="0" r="0" b="0"/>
                      <wp:wrapNone/>
                      <wp:docPr id="490" name="Frame490"/>
                      <a:graphic xmlns:a="http://schemas.openxmlformats.org/drawingml/2006/main">
                        <a:graphicData uri="http://schemas.microsoft.com/office/word/2010/wordprocessingShape">
                          <wps:wsp>
                            <wps:cNvSpPr txBox="1"/>
                            <wps:spPr>
                              <a:xfrm>
                                <a:off x="0" y="0"/>
                                <a:ext cx="789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45110" cy="175260"/>
                      <wp:effectExtent l="0" t="0" r="0" b="0"/>
                      <wp:wrapNone/>
                      <wp:docPr id="491" name="Frame49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948055" cy="175260"/>
                      <wp:effectExtent l="0" t="0" r="0" b="0"/>
                      <wp:wrapNone/>
                      <wp:docPr id="492" name="Frame492"/>
                      <a:graphic xmlns:a="http://schemas.openxmlformats.org/drawingml/2006/main">
                        <a:graphicData uri="http://schemas.microsoft.com/office/word/2010/wordprocessingShape">
                          <wps:wsp>
                            <wps:cNvSpPr txBox="1"/>
                            <wps:spPr>
                              <a:xfrm>
                                <a:off x="0" y="0"/>
                                <a:ext cx="948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45110" cy="175260"/>
                      <wp:effectExtent l="0" t="0" r="0" b="0"/>
                      <wp:wrapNone/>
                      <wp:docPr id="493" name="Frame49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80695" cy="175260"/>
                      <wp:effectExtent l="0" t="0" r="0" b="0"/>
                      <wp:wrapNone/>
                      <wp:docPr id="494" name="Frame494"/>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45110" cy="175260"/>
                      <wp:effectExtent l="0" t="0" r="0" b="0"/>
                      <wp:wrapNone/>
                      <wp:docPr id="495" name="Frame49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388620" cy="175260"/>
                      <wp:effectExtent l="0" t="0" r="0" b="0"/>
                      <wp:wrapNone/>
                      <wp:docPr id="496" name="Frame496"/>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72085" cy="175260"/>
                      <wp:effectExtent l="0" t="0" r="0" b="0"/>
                      <wp:wrapNone/>
                      <wp:docPr id="497" name="Frame49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45110" cy="175260"/>
                      <wp:effectExtent l="0" t="0" r="0" b="0"/>
                      <wp:wrapNone/>
                      <wp:docPr id="498" name="Frame49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5795" cy="175260"/>
                      <wp:effectExtent l="0" t="0" r="0" b="0"/>
                      <wp:wrapNone/>
                      <wp:docPr id="499" name="Frame499"/>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2565" cy="175260"/>
                      <wp:effectExtent l="0" t="0" r="0" b="0"/>
                      <wp:wrapNone/>
                      <wp:docPr id="500" name="Frame50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6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Level 3</w:t>
            </w:r>
          </w:p>
        </w:tc>
        <w:tc>
          <w:tcPr>
            <w:tcW w:w="386" w:type="dxa"/>
            <w:tcBorders/>
            <w:vAlign w:val="center"/>
          </w:tcPr>
          <w:p>
            <w:pPr>
              <w:pStyle w:val="TableContents"/>
              <w:bidi w:val="0"/>
              <w:spacing w:before="0" w:after="1"/>
              <w:ind w:left="0" w:right="0" w:hanging="0"/>
              <w:jc w:val="left"/>
              <w:rPr/>
            </w:pPr>
            <w:r>
              <w:rPr/>
              <w:t>    </w:t>
            </w:r>
          </w:p>
        </w:tc>
        <w:tc>
          <w:tcPr>
            <w:tcW w:w="1243"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    </w:t>
            </w:r>
          </w:p>
        </w:tc>
        <w:tc>
          <w:tcPr>
            <w:tcW w:w="14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Significant</w:t>
            </w:r>
          </w:p>
        </w:tc>
        <w:tc>
          <w:tcPr>
            <w:tcW w:w="386" w:type="dxa"/>
            <w:tcBorders/>
            <w:vAlign w:val="center"/>
          </w:tcPr>
          <w:p>
            <w:pPr>
              <w:pStyle w:val="TableContents"/>
              <w:bidi w:val="0"/>
              <w:spacing w:before="0" w:after="1"/>
              <w:ind w:left="0" w:right="0" w:hanging="0"/>
              <w:jc w:val="left"/>
              <w:rPr/>
            </w:pPr>
            <w:r>
              <w:rPr/>
              <w:t>    </w:t>
            </w:r>
          </w:p>
        </w:tc>
        <w:tc>
          <w:tcPr>
            <w:tcW w:w="757"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    </w:t>
            </w:r>
          </w:p>
        </w:tc>
        <w:tc>
          <w:tcPr>
            <w:tcW w:w="2605" w:type="dxa"/>
            <w:gridSpan w:val="5"/>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Weighted Average Range</w:t>
            </w:r>
          </w:p>
        </w:tc>
      </w:tr>
      <w:tr>
        <w:trPr/>
        <w:tc>
          <w:tcPr>
            <w:tcW w:w="256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Fair Value</w:t>
            </w:r>
          </w:p>
        </w:tc>
        <w:tc>
          <w:tcPr>
            <w:tcW w:w="386" w:type="dxa"/>
            <w:tcBorders/>
            <w:vAlign w:val="center"/>
          </w:tcPr>
          <w:p>
            <w:pPr>
              <w:pStyle w:val="TableContents"/>
              <w:bidi w:val="0"/>
              <w:spacing w:before="0" w:after="1"/>
              <w:ind w:left="0" w:right="0" w:hanging="0"/>
              <w:jc w:val="left"/>
              <w:rPr/>
            </w:pPr>
            <w:r>
              <w:rPr/>
              <w:t>​</w:t>
            </w:r>
          </w:p>
        </w:tc>
        <w:tc>
          <w:tcPr>
            <w:tcW w:w="124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Valuation </w:t>
            </w:r>
          </w:p>
        </w:tc>
        <w:tc>
          <w:tcPr>
            <w:tcW w:w="386" w:type="dxa"/>
            <w:tcBorders/>
            <w:vAlign w:val="center"/>
          </w:tcPr>
          <w:p>
            <w:pPr>
              <w:pStyle w:val="TableContents"/>
              <w:bidi w:val="0"/>
              <w:spacing w:before="0" w:after="1"/>
              <w:ind w:left="0" w:right="0" w:hanging="0"/>
              <w:jc w:val="left"/>
              <w:rPr/>
            </w:pPr>
            <w:r>
              <w:rPr/>
              <w:t>​</w:t>
            </w:r>
          </w:p>
        </w:tc>
        <w:tc>
          <w:tcPr>
            <w:tcW w:w="149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Unobservable </w:t>
            </w:r>
          </w:p>
        </w:tc>
        <w:tc>
          <w:tcPr>
            <w:tcW w:w="386" w:type="dxa"/>
            <w:tcBorders/>
            <w:vAlign w:val="center"/>
          </w:tcPr>
          <w:p>
            <w:pPr>
              <w:pStyle w:val="TableContents"/>
              <w:bidi w:val="0"/>
              <w:spacing w:before="0" w:after="1"/>
              <w:ind w:left="0" w:right="0" w:hanging="0"/>
              <w:jc w:val="left"/>
              <w:rPr/>
            </w:pPr>
            <w:r>
              <w:rPr/>
              <w:t>​</w:t>
            </w:r>
          </w:p>
        </w:tc>
        <w:tc>
          <w:tcPr>
            <w:tcW w:w="757"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61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w:t>
            </w:r>
          </w:p>
        </w:tc>
        <w:tc>
          <w:tcPr>
            <w:tcW w:w="27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w:t>
            </w:r>
          </w:p>
        </w:tc>
        <w:tc>
          <w:tcPr>
            <w:tcW w:w="319" w:type="dxa"/>
            <w:tcBorders/>
            <w:vAlign w:val="center"/>
          </w:tcPr>
          <w:p>
            <w:pPr>
              <w:pStyle w:val="TableContents"/>
              <w:bidi w:val="0"/>
              <w:spacing w:before="0" w:after="1"/>
              <w:ind w:left="0" w:right="0" w:hanging="0"/>
              <w:jc w:val="left"/>
              <w:rPr/>
            </w:pPr>
            <w:r>
              <w:rPr/>
              <w:t>​</w:t>
            </w:r>
          </w:p>
        </w:tc>
      </w:tr>
      <w:tr>
        <w:trPr/>
        <w:tc>
          <w:tcPr>
            <w:tcW w:w="256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Instruments</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Techniques</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4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Inputs</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Range</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8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r>
      <w:tr>
        <w:trPr/>
        <w:tc>
          <w:tcPr>
            <w:tcW w:w="256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RECURRING</w:t>
            </w:r>
          </w:p>
        </w:tc>
        <w:tc>
          <w:tcPr>
            <w:tcW w:w="386" w:type="dxa"/>
            <w:tcBorders/>
            <w:shd w:fill="CCEEFF" w:val="clear"/>
            <w:vAlign w:val="center"/>
          </w:tcPr>
          <w:p>
            <w:pPr>
              <w:pStyle w:val="TableContents"/>
              <w:bidi w:val="0"/>
              <w:spacing w:before="0" w:after="1"/>
              <w:ind w:left="0" w:right="0" w:hanging="0"/>
              <w:jc w:val="left"/>
              <w:rPr/>
            </w:pPr>
            <w:r>
              <w:rPr/>
              <w:t> </w:t>
            </w:r>
          </w:p>
        </w:tc>
        <w:tc>
          <w:tcPr>
            <w:tcW w:w="1243"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1493"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757"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 </w:t>
            </w:r>
          </w:p>
        </w:tc>
        <w:tc>
          <w:tcPr>
            <w:tcW w:w="612" w:type="dxa"/>
            <w:tcBorders/>
            <w:shd w:fill="CCEEFF" w:val="clear"/>
            <w:vAlign w:val="center"/>
          </w:tcPr>
          <w:p>
            <w:pPr>
              <w:pStyle w:val="TableContents"/>
              <w:bidi w:val="0"/>
              <w:spacing w:before="0" w:after="1"/>
              <w:ind w:left="0" w:right="0" w:hanging="0"/>
              <w:jc w:val="right"/>
              <w:rPr/>
            </w:pPr>
            <w:r>
              <w:rPr/>
              <w:t>  </w:t>
            </w:r>
          </w:p>
        </w:tc>
        <w:tc>
          <w:tcPr>
            <w:tcW w:w="271"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1017" w:type="dxa"/>
            <w:tcBorders/>
            <w:shd w:fill="CCEEFF" w:val="clear"/>
            <w:vAlign w:val="center"/>
          </w:tcPr>
          <w:p>
            <w:pPr>
              <w:pStyle w:val="TableContents"/>
              <w:bidi w:val="0"/>
              <w:spacing w:before="0" w:after="1"/>
              <w:ind w:left="0" w:right="0" w:hanging="0"/>
              <w:jc w:val="right"/>
              <w:rPr/>
            </w:pPr>
            <w:r>
              <w:rPr/>
              <w:t>​</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256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lock commitments with customers</w:t>
            </w:r>
          </w:p>
        </w:tc>
        <w:tc>
          <w:tcPr>
            <w:tcW w:w="386" w:type="dxa"/>
            <w:tcBorders/>
            <w:vAlign w:val="center"/>
          </w:tcPr>
          <w:p>
            <w:pPr>
              <w:pStyle w:val="TableContents"/>
              <w:bidi w:val="0"/>
              <w:spacing w:before="0" w:after="1"/>
              <w:ind w:left="0" w:right="0" w:hanging="0"/>
              <w:jc w:val="left"/>
              <w:rPr/>
            </w:pPr>
            <w:r>
              <w:rPr/>
              <w:t> </w:t>
            </w:r>
          </w:p>
        </w:tc>
        <w:tc>
          <w:tcPr>
            <w:tcW w:w="1243"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Quoted market prices</w:t>
            </w:r>
          </w:p>
        </w:tc>
        <w:tc>
          <w:tcPr>
            <w:tcW w:w="386" w:type="dxa"/>
            <w:tcBorders/>
            <w:vAlign w:val="center"/>
          </w:tcPr>
          <w:p>
            <w:pPr>
              <w:pStyle w:val="TableContents"/>
              <w:bidi w:val="0"/>
              <w:spacing w:before="0" w:after="1"/>
              <w:ind w:left="0" w:right="0" w:hanging="0"/>
              <w:jc w:val="left"/>
              <w:rPr/>
            </w:pPr>
            <w:r>
              <w:rPr/>
              <w:t> </w:t>
            </w:r>
          </w:p>
        </w:tc>
        <w:tc>
          <w:tcPr>
            <w:tcW w:w="1493"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Pull-through expectations</w:t>
            </w:r>
          </w:p>
        </w:tc>
        <w:tc>
          <w:tcPr>
            <w:tcW w:w="386" w:type="dxa"/>
            <w:tcBorders/>
            <w:vAlign w:val="center"/>
          </w:tcPr>
          <w:p>
            <w:pPr>
              <w:pStyle w:val="TableContents"/>
              <w:bidi w:val="0"/>
              <w:spacing w:before="0" w:after="1"/>
              <w:ind w:left="0" w:right="0" w:hanging="0"/>
              <w:jc w:val="left"/>
              <w:rPr/>
            </w:pPr>
            <w:r>
              <w:rPr/>
              <w:t> </w:t>
            </w:r>
          </w:p>
        </w:tc>
        <w:tc>
          <w:tcPr>
            <w:tcW w:w="757"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 - 99%</w:t>
            </w:r>
          </w:p>
        </w:tc>
        <w:tc>
          <w:tcPr>
            <w:tcW w:w="386" w:type="dxa"/>
            <w:tcBorders/>
            <w:vAlign w:val="center"/>
          </w:tcPr>
          <w:p>
            <w:pPr>
              <w:pStyle w:val="TableContents"/>
              <w:bidi w:val="0"/>
              <w:spacing w:before="0" w:after="1"/>
              <w:ind w:left="0" w:right="0" w:hanging="0"/>
              <w:jc w:val="left"/>
              <w:rPr/>
            </w:pPr>
            <w:r>
              <w:rPr/>
              <w:t>​</w:t>
            </w:r>
          </w:p>
        </w:tc>
        <w:tc>
          <w:tcPr>
            <w:tcW w:w="6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Individual forward sale commitments with investors</w:t>
            </w:r>
          </w:p>
        </w:tc>
        <w:tc>
          <w:tcPr>
            <w:tcW w:w="386" w:type="dxa"/>
            <w:tcBorders/>
            <w:shd w:fill="CCEEFF" w:val="clear"/>
            <w:vAlign w:val="center"/>
          </w:tcPr>
          <w:p>
            <w:pPr>
              <w:pStyle w:val="TableContents"/>
              <w:bidi w:val="0"/>
              <w:spacing w:before="0" w:after="1"/>
              <w:ind w:left="0" w:right="0" w:hanging="0"/>
              <w:jc w:val="left"/>
              <w:rPr/>
            </w:pPr>
            <w:r>
              <w:rPr/>
              <w:t> </w:t>
            </w:r>
          </w:p>
        </w:tc>
        <w:tc>
          <w:tcPr>
            <w:tcW w:w="1243"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Quoted market prices</w:t>
            </w:r>
          </w:p>
        </w:tc>
        <w:tc>
          <w:tcPr>
            <w:tcW w:w="386" w:type="dxa"/>
            <w:tcBorders/>
            <w:shd w:fill="CCEEFF" w:val="clear"/>
            <w:vAlign w:val="center"/>
          </w:tcPr>
          <w:p>
            <w:pPr>
              <w:pStyle w:val="TableContents"/>
              <w:bidi w:val="0"/>
              <w:spacing w:before="0" w:after="1"/>
              <w:ind w:left="0" w:right="0" w:hanging="0"/>
              <w:jc w:val="left"/>
              <w:rPr/>
            </w:pPr>
            <w:r>
              <w:rPr/>
              <w:t> </w:t>
            </w:r>
          </w:p>
        </w:tc>
        <w:tc>
          <w:tcPr>
            <w:tcW w:w="1493"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Pull-through expectations</w:t>
            </w:r>
          </w:p>
        </w:tc>
        <w:tc>
          <w:tcPr>
            <w:tcW w:w="386" w:type="dxa"/>
            <w:tcBorders/>
            <w:shd w:fill="CCEEFF" w:val="clear"/>
            <w:vAlign w:val="center"/>
          </w:tcPr>
          <w:p>
            <w:pPr>
              <w:pStyle w:val="TableContents"/>
              <w:bidi w:val="0"/>
              <w:spacing w:before="0" w:after="1"/>
              <w:ind w:left="0" w:right="0" w:hanging="0"/>
              <w:jc w:val="left"/>
              <w:rPr/>
            </w:pPr>
            <w:r>
              <w:rPr/>
              <w:t> </w:t>
            </w:r>
          </w:p>
        </w:tc>
        <w:tc>
          <w:tcPr>
            <w:tcW w:w="75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 - 99%</w:t>
            </w:r>
          </w:p>
        </w:tc>
        <w:tc>
          <w:tcPr>
            <w:tcW w:w="386" w:type="dxa"/>
            <w:tcBorders/>
            <w:shd w:fill="CCEEFF" w:val="clear"/>
            <w:vAlign w:val="center"/>
          </w:tcPr>
          <w:p>
            <w:pPr>
              <w:pStyle w:val="TableContents"/>
              <w:bidi w:val="0"/>
              <w:spacing w:before="0" w:after="1"/>
              <w:ind w:left="0" w:right="0" w:hanging="0"/>
              <w:jc w:val="left"/>
              <w:rPr/>
            </w:pPr>
            <w:r>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91.3</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6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NONRECURRING</w:t>
            </w:r>
          </w:p>
        </w:tc>
        <w:tc>
          <w:tcPr>
            <w:tcW w:w="386" w:type="dxa"/>
            <w:tcBorders/>
            <w:vAlign w:val="center"/>
          </w:tcPr>
          <w:p>
            <w:pPr>
              <w:pStyle w:val="TableContents"/>
              <w:bidi w:val="0"/>
              <w:spacing w:before="0" w:after="1"/>
              <w:ind w:left="0" w:right="0" w:hanging="0"/>
              <w:jc w:val="left"/>
              <w:rPr/>
            </w:pPr>
            <w:r>
              <w:rPr/>
              <w:t> </w:t>
            </w:r>
          </w:p>
        </w:tc>
        <w:tc>
          <w:tcPr>
            <w:tcW w:w="1243" w:type="dxa"/>
            <w:tcBorders/>
            <w:vAlign w:val="center"/>
          </w:tcPr>
          <w:p>
            <w:pPr>
              <w:pStyle w:val="TableContents"/>
              <w:bidi w:val="0"/>
              <w:spacing w:before="0" w:after="1"/>
              <w:ind w:left="0" w:right="0" w:hanging="0"/>
              <w:jc w:val="left"/>
              <w:rPr/>
            </w:pPr>
            <w:r>
              <w:rPr/>
              <w:t>  </w:t>
            </w:r>
          </w:p>
        </w:tc>
        <w:tc>
          <w:tcPr>
            <w:tcW w:w="386" w:type="dxa"/>
            <w:tcBorders/>
            <w:vAlign w:val="center"/>
          </w:tcPr>
          <w:p>
            <w:pPr>
              <w:pStyle w:val="TableContents"/>
              <w:bidi w:val="0"/>
              <w:spacing w:before="0" w:after="1"/>
              <w:ind w:left="0" w:right="0" w:hanging="0"/>
              <w:jc w:val="left"/>
              <w:rPr/>
            </w:pPr>
            <w:r>
              <w:rPr/>
              <w:t> </w:t>
            </w:r>
          </w:p>
        </w:tc>
        <w:tc>
          <w:tcPr>
            <w:tcW w:w="1493" w:type="dxa"/>
            <w:tcBorders/>
            <w:vAlign w:val="center"/>
          </w:tcPr>
          <w:p>
            <w:pPr>
              <w:pStyle w:val="TableContents"/>
              <w:bidi w:val="0"/>
              <w:spacing w:before="0" w:after="1"/>
              <w:ind w:left="0" w:right="0" w:hanging="0"/>
              <w:jc w:val="left"/>
              <w:rPr/>
            </w:pPr>
            <w:r>
              <w:rPr/>
              <w:t>  </w:t>
            </w:r>
          </w:p>
        </w:tc>
        <w:tc>
          <w:tcPr>
            <w:tcW w:w="386" w:type="dxa"/>
            <w:tcBorders/>
            <w:vAlign w:val="center"/>
          </w:tcPr>
          <w:p>
            <w:pPr>
              <w:pStyle w:val="TableContents"/>
              <w:bidi w:val="0"/>
              <w:spacing w:before="0" w:after="1"/>
              <w:ind w:left="0" w:right="0" w:hanging="0"/>
              <w:jc w:val="left"/>
              <w:rPr/>
            </w:pPr>
            <w:r>
              <w:rPr/>
              <w:t> </w:t>
            </w:r>
          </w:p>
        </w:tc>
        <w:tc>
          <w:tcPr>
            <w:tcW w:w="757" w:type="dxa"/>
            <w:tcBorders/>
            <w:vAlign w:val="center"/>
          </w:tcPr>
          <w:p>
            <w:pPr>
              <w:pStyle w:val="TableContents"/>
              <w:bidi w:val="0"/>
              <w:spacing w:before="0" w:after="1"/>
              <w:ind w:left="0" w:right="0" w:hanging="0"/>
              <w:jc w:val="center"/>
              <w:rPr/>
            </w:pPr>
            <w:r>
              <w:rPr/>
              <w:t>  </w:t>
            </w:r>
          </w:p>
        </w:tc>
        <w:tc>
          <w:tcPr>
            <w:tcW w:w="386" w:type="dxa"/>
            <w:tcBorders/>
            <w:vAlign w:val="center"/>
          </w:tcPr>
          <w:p>
            <w:pPr>
              <w:pStyle w:val="TableContents"/>
              <w:bidi w:val="0"/>
              <w:spacing w:before="0" w:after="1"/>
              <w:ind w:left="0" w:right="0" w:hanging="0"/>
              <w:jc w:val="left"/>
              <w:rPr/>
            </w:pPr>
            <w:r>
              <w:rPr/>
              <w:t> </w:t>
            </w:r>
          </w:p>
        </w:tc>
        <w:tc>
          <w:tcPr>
            <w:tcW w:w="612" w:type="dxa"/>
            <w:tcBorders/>
            <w:vAlign w:val="center"/>
          </w:tcPr>
          <w:p>
            <w:pPr>
              <w:pStyle w:val="TableContents"/>
              <w:bidi w:val="0"/>
              <w:spacing w:before="0" w:after="1"/>
              <w:ind w:left="0" w:right="0" w:hanging="0"/>
              <w:jc w:val="right"/>
              <w:rPr/>
            </w:pPr>
            <w:r>
              <w:rPr/>
              <w:t>​</w:t>
            </w:r>
          </w:p>
        </w:tc>
        <w:tc>
          <w:tcPr>
            <w:tcW w:w="27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1017"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25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MSR</w:t>
            </w:r>
          </w:p>
        </w:tc>
        <w:tc>
          <w:tcPr>
            <w:tcW w:w="386" w:type="dxa"/>
            <w:tcBorders/>
            <w:shd w:fill="CCEEFF" w:val="clear"/>
            <w:vAlign w:val="center"/>
          </w:tcPr>
          <w:p>
            <w:pPr>
              <w:pStyle w:val="TableContents"/>
              <w:bidi w:val="0"/>
              <w:spacing w:before="0" w:after="1"/>
              <w:ind w:left="0" w:right="0" w:hanging="0"/>
              <w:jc w:val="left"/>
              <w:rPr/>
            </w:pPr>
            <w:r>
              <w:rPr/>
              <w:t>​</w:t>
            </w:r>
          </w:p>
        </w:tc>
        <w:tc>
          <w:tcPr>
            <w:tcW w:w="1243"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Industry sources</w:t>
            </w:r>
          </w:p>
        </w:tc>
        <w:tc>
          <w:tcPr>
            <w:tcW w:w="386" w:type="dxa"/>
            <w:tcBorders/>
            <w:shd w:fill="CCEEFF" w:val="clear"/>
            <w:vAlign w:val="center"/>
          </w:tcPr>
          <w:p>
            <w:pPr>
              <w:pStyle w:val="TableContents"/>
              <w:bidi w:val="0"/>
              <w:spacing w:before="0" w:after="1"/>
              <w:ind w:left="0" w:right="0" w:hanging="0"/>
              <w:jc w:val="left"/>
              <w:rPr/>
            </w:pPr>
            <w:r>
              <w:rPr/>
              <w:t>​</w:t>
            </w:r>
          </w:p>
        </w:tc>
        <w:tc>
          <w:tcPr>
            <w:tcW w:w="1493"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Pre-payment speeds</w:t>
            </w:r>
          </w:p>
        </w:tc>
        <w:tc>
          <w:tcPr>
            <w:tcW w:w="386" w:type="dxa"/>
            <w:tcBorders/>
            <w:shd w:fill="CCEEFF" w:val="clear"/>
            <w:vAlign w:val="center"/>
          </w:tcPr>
          <w:p>
            <w:pPr>
              <w:pStyle w:val="TableContents"/>
              <w:bidi w:val="0"/>
              <w:spacing w:before="0" w:after="1"/>
              <w:ind w:left="0" w:right="0" w:hanging="0"/>
              <w:jc w:val="left"/>
              <w:rPr/>
            </w:pPr>
            <w:r>
              <w:rPr/>
              <w:t>​</w:t>
            </w:r>
          </w:p>
        </w:tc>
        <w:tc>
          <w:tcPr>
            <w:tcW w:w="75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 - 50%</w:t>
            </w:r>
          </w:p>
        </w:tc>
        <w:tc>
          <w:tcPr>
            <w:tcW w:w="386" w:type="dxa"/>
            <w:tcBorders/>
            <w:shd w:fill="CCEEFF" w:val="clear"/>
            <w:vAlign w:val="center"/>
          </w:tcPr>
          <w:p>
            <w:pPr>
              <w:pStyle w:val="TableContents"/>
              <w:bidi w:val="0"/>
              <w:spacing w:before="0" w:after="1"/>
              <w:ind w:left="0" w:right="0" w:hanging="0"/>
              <w:jc w:val="left"/>
              <w:rPr/>
            </w:pPr>
            <w:r>
              <w:rPr/>
              <w:t>​</w:t>
            </w:r>
          </w:p>
        </w:tc>
        <w:tc>
          <w:tcPr>
            <w:tcW w:w="6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bidi w:val="0"/>
              <w:spacing w:before="0" w:after="1"/>
              <w:ind w:left="0" w:right="0" w:hanging="0"/>
              <w:jc w:val="left"/>
              <w:rPr/>
            </w:pPr>
            <w:r>
              <w:rPr/>
              <w:t>​</w:t>
            </w:r>
          </w:p>
        </w:tc>
        <w:tc>
          <w:tcPr>
            <w:tcW w:w="101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pull-through rate is based on historical loan closing rates for similar interest rate lock commitments.  An increase or decrease in the pull-through rate would have a corresponding positive or negative fair value adjustment.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3898" w:name="Tc_qU1NgZwwnEKJ4TiTBjyMHg_8_18"/>
      <w:bookmarkStart w:id="3899" w:name="Tc_rxkEgPJnNEWYcCy4WcvX6A_8_0"/>
      <w:bookmarkStart w:id="3900" w:name="Tc__eonsdDfhUe8Xv-bYwiT4A_7_18"/>
      <w:bookmarkStart w:id="3901" w:name="Tc_fAftlMlYs0O7KOyCbRbhHA_7_17"/>
      <w:bookmarkStart w:id="3902" w:name="Tc_v9ACkjAgE0-pibtmIjQ1XQ_7_14"/>
      <w:bookmarkStart w:id="3903" w:name="Tc_6gg1eRht8Uedwa57jnW7pQ_7_11"/>
      <w:bookmarkStart w:id="3904" w:name="Tc_afmkIxPEHEqNmNNKs27S7w_7_8"/>
      <w:bookmarkStart w:id="3905" w:name="Tc_YcwsmnUNj0CDBp060Lcalw_7_5"/>
      <w:bookmarkStart w:id="3906" w:name="Tc_OXuL006ScUC78ygOFCvhvg_7_2"/>
      <w:bookmarkStart w:id="3907" w:name="Tc_KMzjGmfwmUWrsaTD9JlfFg_7_0"/>
      <w:bookmarkStart w:id="3908" w:name="Tc_9IJgKYl9YkGrTR-U1uT3xA_6_0"/>
      <w:bookmarkStart w:id="3909" w:name="Tc_WYR9_nxhQEuDMHFzYewFog_5_18"/>
      <w:bookmarkStart w:id="3910" w:name="Tc_oiNXbPUVg0KubNArmNL5LA_5_0"/>
      <w:bookmarkStart w:id="3911" w:name="Tc_NNveqmAhbUyxViXzGpXEIQ_4_18"/>
      <w:bookmarkStart w:id="3912" w:name="Tc_Yrez6TK1VUiCFpMvHhQrNA_4_17"/>
      <w:bookmarkStart w:id="3913" w:name="Tc_Z2Xo90kGbEWG09OfA-mBTw_4_14"/>
      <w:bookmarkStart w:id="3914" w:name="Tc_tbzCufpSUkarZodE0AIWxQ_4_11"/>
      <w:bookmarkStart w:id="3915" w:name="Tc_Q0b-gYM1j0qFSRGbNGZiyA_4_8"/>
      <w:bookmarkStart w:id="3916" w:name="Tc_vCBO4cP_C0mg_oBDrncUPg_4_5"/>
      <w:bookmarkStart w:id="3917" w:name="Tc_WlDzz1xdzEONyPQlKSgyuw_4_2"/>
      <w:bookmarkStart w:id="3918" w:name="Tc_LxmYqyzvukmneDx-iLD_Lg_4_0"/>
      <w:bookmarkStart w:id="3919" w:name="Tc_11H4RzA1lUubWQc5ULwNUQ_3_17"/>
      <w:bookmarkStart w:id="3920" w:name="Tc_s_QPhlFBzEinrTejHmH9yQ_3_14"/>
      <w:bookmarkStart w:id="3921" w:name="Tc_45xw5zNvPUO4fKlUJeCKnA_3_11"/>
      <w:bookmarkStart w:id="3922" w:name="Tc_TaY_hD-gtk2jp9mJ4CT_cg_3_8"/>
      <w:bookmarkStart w:id="3923" w:name="Tc_2O1OhN6bhkmDYPCjQT6ljQ_3_5"/>
      <w:bookmarkStart w:id="3924" w:name="Tc_0Y32fZo7OU-zQBVuV9DjOQ_3_2"/>
      <w:bookmarkStart w:id="3925" w:name="Tc_Sc2rssL7LE2t_S2bSVtTdA_3_0"/>
      <w:bookmarkStart w:id="3926" w:name="Tc_COLl8cIozUSKuKnaiFM2QQ_2_17"/>
      <w:bookmarkStart w:id="3927" w:name="Tc_TPP3wVIFUku54YxfYSqlhw_2_14"/>
      <w:bookmarkStart w:id="3928" w:name="Tc_FLInysPQ0USX9DfHo79zKA_2_11"/>
      <w:bookmarkStart w:id="3929" w:name="Tc_ZdGTSSq2tU-9Npw-k-2KPw_2_8"/>
      <w:bookmarkStart w:id="3930" w:name="Tc_ykaZEk_3OEiTyvfuhMxrOA_2_5"/>
      <w:bookmarkStart w:id="3931" w:name="Tc_RM3x_xnJJkOL_TtjydSW9g_2_2"/>
      <w:bookmarkStart w:id="3932" w:name="Tc_9RiWKrUSQ0uzH5WHfYn0oA_2_0"/>
      <w:bookmarkStart w:id="3933" w:name="Tc_PnOx77k9nEWefNa346am7g_1_17"/>
      <w:bookmarkStart w:id="3934" w:name="Tc_08fiW7d-fkWwTTOq10zTRw_1_14"/>
      <w:bookmarkStart w:id="3935" w:name="Tc_DDnyIMSgEEOlQPq4pue_zA_1_5"/>
      <w:bookmarkStart w:id="3936" w:name="_c6b586ca_b705_418e_83e0_05ab547a973a"/>
      <w:bookmarkStart w:id="3937" w:name="Tc_wPcdQHfGSkCDuaf0SW5org_8_18"/>
      <w:bookmarkStart w:id="3938" w:name="Tc_94CmxExT4UKitcvOh_s7nA_8_0"/>
      <w:bookmarkStart w:id="3939" w:name="Tc_mAAz9mG1wUCRGjOXY3VRyA_7_18"/>
      <w:bookmarkStart w:id="3940" w:name="Tc_YUcPoJLG90uWp6f-hMBBRA_7_17"/>
      <w:bookmarkStart w:id="3941" w:name="Tc_BrDNkzKTgE-qyTGyD7jQ1g_7_14"/>
      <w:bookmarkStart w:id="3942" w:name="Tc_xOj6JFO2ZE6itcyvhCP9BA_7_11"/>
      <w:bookmarkStart w:id="3943" w:name="Tc_ZGZYoDgeH0m94P9zjxMi9Q_7_8"/>
      <w:bookmarkStart w:id="3944" w:name="Tc_8aMJ5CTVFUCg8JIroKLE0w_7_5"/>
      <w:bookmarkStart w:id="3945" w:name="Tc_c6BxF_GKjE6SPqBcfkko1Q_7_2"/>
      <w:bookmarkStart w:id="3946" w:name="Tc_npsOqagTQE68JOhg_7UpeQ_7_0"/>
      <w:bookmarkStart w:id="3947" w:name="Tc_64xJ6vdiOEOb1N6biY_-Ow_6_0"/>
      <w:bookmarkStart w:id="3948" w:name="Tc_x4oZnQAfnkemX06YuJkDfg_5_18"/>
      <w:bookmarkStart w:id="3949" w:name="Tc_TuGkWRwRYEOVGfdrFMvxPg_5_0"/>
      <w:bookmarkStart w:id="3950" w:name="Tc_qH9Ro58j2k28rQ0n9Rsaxw_4_18"/>
      <w:bookmarkStart w:id="3951" w:name="Tc_3RwpmwBBD0yCXZnZXcb0dA_4_17"/>
      <w:bookmarkStart w:id="3952" w:name="Tc_5aPiUYAHkkyjmTY9TTgqMw_4_14"/>
      <w:bookmarkStart w:id="3953" w:name="Tc_Nl2tStsdfE6mWAVblqhnmQ_4_11"/>
      <w:bookmarkStart w:id="3954" w:name="Tc_a-hBOF3gokaf1E4qmAVJqg_4_8"/>
      <w:bookmarkStart w:id="3955" w:name="Tc_bTBFSdxYekSze9_N6__ikg_4_5"/>
      <w:bookmarkStart w:id="3956" w:name="Tc_V-2l8oKWlkeiAI12FFNSLg_4_2"/>
      <w:bookmarkStart w:id="3957" w:name="Tc_HotwFoZAX0uoxMv5iX_nRQ_4_0"/>
      <w:bookmarkStart w:id="3958" w:name="Tc_UXdMfOm9o0mYBYuH7G0hsA_3_17"/>
      <w:bookmarkStart w:id="3959" w:name="Tc_6DP8-lsAjEiB4xzk4AFACw_3_14"/>
      <w:bookmarkStart w:id="3960" w:name="Tc_jIxnxgGElUiBlBf9G9u8LA_3_11"/>
      <w:bookmarkStart w:id="3961" w:name="Tc_wZlqy24wNEOSrcMyNllXew_3_8"/>
      <w:bookmarkStart w:id="3962" w:name="Tc_PGgg0j9o10SOt6vyJQYGng_3_5"/>
      <w:bookmarkStart w:id="3963" w:name="Tc_YyPHkaqkq0G-q4eLB4c4qg_3_2"/>
      <w:bookmarkStart w:id="3964" w:name="Tc_L-1uZuzJ9UC5dwx6or7lKg_3_0"/>
      <w:bookmarkStart w:id="3965" w:name="Tc_WxvUzIefk067Z2US00FPqw_2_17"/>
      <w:bookmarkStart w:id="3966" w:name="Tc_32zw0RSN0ES3UwKRPy70Fg_2_14"/>
      <w:bookmarkStart w:id="3967" w:name="Tc_0hp1UxvnTEqe0x0T_nYAvQ_2_11"/>
      <w:bookmarkStart w:id="3968" w:name="Tc_G28UbMDtM0un4bRJzjfp6A_2_8"/>
      <w:bookmarkStart w:id="3969" w:name="Tc_lvOVQPcNrkayWoI7RxHdlg_2_5"/>
      <w:bookmarkStart w:id="3970" w:name="Tc_06QvIAVhXkCaRQ8B5RYIiw_2_2"/>
      <w:bookmarkStart w:id="3971" w:name="Tc_zV842DTWQUCiHIejFX9S9Q_2_0"/>
      <w:bookmarkStart w:id="3972" w:name="Tc_a9IRxibUpkWZSV_-3b9lFg_1_17"/>
      <w:bookmarkStart w:id="3973" w:name="Tc_BcuWQ7Ft2ESAH28-drMFmg_1_14"/>
      <w:bookmarkStart w:id="3974" w:name="Tc_2o352r3V9EWluMSTW7KeeA_1_5"/>
      <w:bookmarkStart w:id="3975" w:name="_693bea0b_7e83_4ed7_bfe2_99237e78d6da"/>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r>
        <w:rPr>
          <w:rFonts w:ascii="Times New Roman;Times;serif" w:hAnsi="Times New Roman;Times;serif"/>
          <w:sz w:val="20"/>
        </w:rPr>
        <w:t>The following table provides a reconciliation of assets and liabilities measured at fair value using significant unobservable inputs (Level 3) on a recurring basis during the dates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64"/>
        <w:gridCol w:w="326"/>
        <w:gridCol w:w="283"/>
        <w:gridCol w:w="568"/>
        <w:gridCol w:w="326"/>
        <w:gridCol w:w="211"/>
        <w:gridCol w:w="571"/>
        <w:gridCol w:w="326"/>
        <w:gridCol w:w="211"/>
        <w:gridCol w:w="684"/>
        <w:gridCol w:w="326"/>
        <w:gridCol w:w="215"/>
        <w:gridCol w:w="431"/>
        <w:gridCol w:w="266"/>
        <w:gridCol w:w="303"/>
        <w:gridCol w:w="753"/>
        <w:gridCol w:w="266"/>
        <w:gridCol w:w="341"/>
        <w:gridCol w:w="734"/>
      </w:tblGrid>
      <w:tr>
        <w:trPr/>
        <w:tc>
          <w:tcPr>
            <w:tcW w:w="3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945640" cy="175260"/>
                      <wp:effectExtent l="0" t="0" r="0" b="0"/>
                      <wp:wrapNone/>
                      <wp:docPr id="501" name="Frame501"/>
                      <a:graphic xmlns:a="http://schemas.openxmlformats.org/drawingml/2006/main">
                        <a:graphicData uri="http://schemas.microsoft.com/office/word/2010/wordprocessingShape">
                          <wps:wsp>
                            <wps:cNvSpPr txBox="1"/>
                            <wps:spPr>
                              <a:xfrm>
                                <a:off x="0" y="0"/>
                                <a:ext cx="194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79705" cy="175260"/>
                      <wp:effectExtent l="0" t="0" r="0" b="0"/>
                      <wp:wrapNone/>
                      <wp:docPr id="503" name="Frame503"/>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360680" cy="175260"/>
                      <wp:effectExtent l="0" t="0" r="0" b="0"/>
                      <wp:wrapNone/>
                      <wp:docPr id="504" name="Frame504"/>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5"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362585" cy="175260"/>
                      <wp:effectExtent l="0" t="0" r="0" b="0"/>
                      <wp:wrapNone/>
                      <wp:docPr id="507" name="Frame5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9"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34340" cy="175260"/>
                      <wp:effectExtent l="0" t="0" r="0" b="0"/>
                      <wp:wrapNone/>
                      <wp:docPr id="510" name="Frame51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07010" cy="175260"/>
                      <wp:effectExtent l="0" t="0" r="0" b="0"/>
                      <wp:wrapNone/>
                      <wp:docPr id="511" name="Frame5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6525" cy="175260"/>
                      <wp:effectExtent l="0" t="0" r="0" b="0"/>
                      <wp:wrapNone/>
                      <wp:docPr id="512" name="Frame512"/>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73685" cy="175260"/>
                      <wp:effectExtent l="0" t="0" r="0" b="0"/>
                      <wp:wrapNone/>
                      <wp:docPr id="513" name="Frame513"/>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68910" cy="175260"/>
                      <wp:effectExtent l="0" t="0" r="0" b="0"/>
                      <wp:wrapNone/>
                      <wp:docPr id="514" name="Frame51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92405" cy="175260"/>
                      <wp:effectExtent l="0" t="0" r="0" b="0"/>
                      <wp:wrapNone/>
                      <wp:docPr id="515" name="Frame51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78155" cy="175260"/>
                      <wp:effectExtent l="0" t="0" r="0" b="0"/>
                      <wp:wrapNone/>
                      <wp:docPr id="516" name="Frame516"/>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68910" cy="175260"/>
                      <wp:effectExtent l="0" t="0" r="0" b="0"/>
                      <wp:wrapNone/>
                      <wp:docPr id="517" name="Frame51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216535" cy="175260"/>
                      <wp:effectExtent l="0" t="0" r="0" b="0"/>
                      <wp:wrapNone/>
                      <wp:docPr id="518" name="Frame518"/>
                      <a:graphic xmlns:a="http://schemas.openxmlformats.org/drawingml/2006/main">
                        <a:graphicData uri="http://schemas.microsoft.com/office/word/2010/wordprocessingShape">
                          <wps:wsp>
                            <wps:cNvSpPr txBox="1"/>
                            <wps:spPr>
                              <a:xfrm>
                                <a:off x="0" y="0"/>
                                <a:ext cx="21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466090" cy="175260"/>
                      <wp:effectExtent l="0" t="0" r="0" b="0"/>
                      <wp:wrapNone/>
                      <wp:docPr id="519" name="Frame519"/>
                      <a:graphic xmlns:a="http://schemas.openxmlformats.org/drawingml/2006/main">
                        <a:graphicData uri="http://schemas.microsoft.com/office/word/2010/wordprocessingShape">
                          <wps:wsp>
                            <wps:cNvSpPr txBox="1"/>
                            <wps:spPr>
                              <a:xfrm>
                                <a:off x="0" y="0"/>
                                <a:ext cx="466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5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Purchases</w:t>
            </w:r>
          </w:p>
        </w:tc>
        <w:tc>
          <w:tcPr>
            <w:tcW w:w="326" w:type="dxa"/>
            <w:tcBorders/>
            <w:vAlign w:val="center"/>
          </w:tcPr>
          <w:p>
            <w:pPr>
              <w:pStyle w:val="TableContents"/>
              <w:bidi w:val="0"/>
              <w:spacing w:before="0" w:after="0"/>
              <w:ind w:left="0" w:right="0" w:hanging="0"/>
              <w:jc w:val="left"/>
              <w:rPr/>
            </w:pPr>
            <w:r>
              <w:rPr/>
              <w:t>​</w:t>
            </w:r>
          </w:p>
        </w:tc>
        <w:tc>
          <w:tcPr>
            <w:tcW w:w="89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center"/>
              <w:rPr/>
            </w:pPr>
            <w:r>
              <w:rPr/>
              <w:t>​</w:t>
            </w:r>
          </w:p>
        </w:tc>
        <w:tc>
          <w:tcPr>
            <w:tcW w:w="266" w:type="dxa"/>
            <w:tcBorders/>
            <w:vAlign w:val="center"/>
          </w:tcPr>
          <w:p>
            <w:pPr>
              <w:pStyle w:val="TableContents"/>
              <w:bidi w:val="0"/>
              <w:spacing w:before="0" w:after="0"/>
              <w:ind w:left="0" w:right="0" w:hanging="0"/>
              <w:jc w:val="left"/>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Net change in</w:t>
            </w:r>
          </w:p>
        </w:tc>
        <w:tc>
          <w:tcPr>
            <w:tcW w:w="266" w:type="dxa"/>
            <w:tcBorders/>
            <w:vAlign w:val="center"/>
          </w:tcPr>
          <w:p>
            <w:pPr>
              <w:pStyle w:val="TableContents"/>
              <w:bidi w:val="0"/>
              <w:spacing w:before="0" w:after="0"/>
              <w:ind w:left="0" w:right="0" w:hanging="0"/>
              <w:jc w:val="left"/>
              <w:rPr/>
            </w:pPr>
            <w:r>
              <w:rPr/>
              <w:t>​</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Net change in</w:t>
            </w:r>
          </w:p>
        </w:tc>
      </w:tr>
      <w:tr>
        <w:trPr/>
        <w:tc>
          <w:tcPr>
            <w:tcW w:w="3064"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851"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Beginning </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and </w:t>
            </w:r>
          </w:p>
        </w:tc>
        <w:tc>
          <w:tcPr>
            <w:tcW w:w="326" w:type="dxa"/>
            <w:tcBorders/>
            <w:vAlign w:val="center"/>
          </w:tcPr>
          <w:p>
            <w:pPr>
              <w:pStyle w:val="TableContents"/>
              <w:bidi w:val="0"/>
              <w:spacing w:before="0" w:after="0"/>
              <w:ind w:left="0" w:right="0" w:hanging="0"/>
              <w:jc w:val="left"/>
              <w:rPr/>
            </w:pPr>
            <w:r>
              <w:rPr/>
              <w:t>    </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and</w:t>
            </w:r>
          </w:p>
        </w:tc>
        <w:tc>
          <w:tcPr>
            <w:tcW w:w="326" w:type="dxa"/>
            <w:tcBorders/>
            <w:vAlign w:val="center"/>
          </w:tcPr>
          <w:p>
            <w:pPr>
              <w:pStyle w:val="TableContents"/>
              <w:bidi w:val="0"/>
              <w:spacing w:before="0" w:after="0"/>
              <w:ind w:left="0" w:right="0" w:hanging="0"/>
              <w:jc w:val="left"/>
              <w:rPr/>
            </w:pPr>
            <w:r>
              <w:rPr/>
              <w:t>    </w:t>
            </w:r>
          </w:p>
        </w:tc>
        <w:tc>
          <w:tcPr>
            <w:tcW w:w="64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Ending</w:t>
            </w:r>
          </w:p>
        </w:tc>
        <w:tc>
          <w:tcPr>
            <w:tcW w:w="266" w:type="dxa"/>
            <w:tcBorders/>
            <w:vAlign w:val="center"/>
          </w:tcPr>
          <w:p>
            <w:pPr>
              <w:pStyle w:val="TableContents"/>
              <w:bidi w:val="0"/>
              <w:spacing w:before="0" w:after="0"/>
              <w:ind w:left="0" w:right="0" w:hanging="0"/>
              <w:jc w:val="left"/>
              <w:rPr/>
            </w:pPr>
            <w:r>
              <w:rPr/>
              <w:t>​</w:t>
            </w:r>
          </w:p>
        </w:tc>
        <w:tc>
          <w:tcPr>
            <w:tcW w:w="105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fair value for</w:t>
            </w:r>
          </w:p>
        </w:tc>
        <w:tc>
          <w:tcPr>
            <w:tcW w:w="266" w:type="dxa"/>
            <w:tcBorders/>
            <w:vAlign w:val="center"/>
          </w:tcPr>
          <w:p>
            <w:pPr>
              <w:pStyle w:val="TableContents"/>
              <w:bidi w:val="0"/>
              <w:spacing w:before="0" w:after="0"/>
              <w:ind w:left="0" w:right="0" w:hanging="0"/>
              <w:jc w:val="left"/>
              <w:rPr/>
            </w:pPr>
            <w:r>
              <w:rPr/>
              <w:t>​</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fair value for</w:t>
            </w:r>
          </w:p>
        </w:tc>
      </w:tr>
      <w:tr>
        <w:trPr/>
        <w:tc>
          <w:tcPr>
            <w:tcW w:w="3064"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June 30, 2023</w:t>
            </w:r>
          </w:p>
        </w:tc>
        <w:tc>
          <w:tcPr>
            <w:tcW w:w="326" w:type="dxa"/>
            <w:tcBorders/>
            <w:vAlign w:val="center"/>
          </w:tcPr>
          <w:p>
            <w:pPr>
              <w:pStyle w:val="TableContents"/>
              <w:bidi w:val="0"/>
              <w:spacing w:before="0" w:after="0"/>
              <w:ind w:left="0" w:right="0" w:hanging="0"/>
              <w:jc w:val="left"/>
              <w:rPr/>
            </w:pPr>
            <w:r>
              <w:rPr/>
              <w:t>    </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Issuances</w:t>
            </w:r>
          </w:p>
        </w:tc>
        <w:tc>
          <w:tcPr>
            <w:tcW w:w="326" w:type="dxa"/>
            <w:tcBorders/>
            <w:vAlign w:val="center"/>
          </w:tcPr>
          <w:p>
            <w:pPr>
              <w:pStyle w:val="TableContents"/>
              <w:bidi w:val="0"/>
              <w:spacing w:before="0" w:after="0"/>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Settlements</w:t>
            </w:r>
          </w:p>
        </w:tc>
        <w:tc>
          <w:tcPr>
            <w:tcW w:w="326" w:type="dxa"/>
            <w:tcBorders/>
            <w:vAlign w:val="center"/>
          </w:tcPr>
          <w:p>
            <w:pPr>
              <w:pStyle w:val="TableContents"/>
              <w:bidi w:val="0"/>
              <w:spacing w:before="0" w:after="0"/>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266" w:type="dxa"/>
            <w:tcBorders/>
            <w:vAlign w:val="center"/>
          </w:tcPr>
          <w:p>
            <w:pPr>
              <w:pStyle w:val="TableContents"/>
              <w:bidi w:val="0"/>
              <w:spacing w:before="0" w:after="0"/>
              <w:ind w:left="0" w:right="0" w:hanging="0"/>
              <w:jc w:val="left"/>
              <w:rPr/>
            </w:pPr>
            <w:r>
              <w:rPr/>
              <w:t>   </w:t>
            </w:r>
          </w:p>
        </w:tc>
        <w:tc>
          <w:tcPr>
            <w:tcW w:w="1056"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 xml:space="preserve">gains/(losses) </w:t>
            </w:r>
            <w:r>
              <w:rPr>
                <w:rFonts w:ascii="Times New Roman;Times;serif" w:hAnsi="Times New Roman;Times;serif"/>
                <w:sz w:val="12"/>
              </w:rPr>
              <w:t>(1)</w:t>
            </w:r>
            <w:r>
              <w:rPr>
                <w:rFonts w:ascii="Times New Roman;Times;serif" w:hAnsi="Times New Roman;Times;serif"/>
                <w:sz w:val="16"/>
              </w:rPr>
              <w:t>  </w:t>
            </w:r>
          </w:p>
        </w:tc>
        <w:tc>
          <w:tcPr>
            <w:tcW w:w="266" w:type="dxa"/>
            <w:tcBorders/>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 xml:space="preserve">gains/(losses) </w:t>
            </w:r>
            <w:r>
              <w:rPr>
                <w:rFonts w:ascii="Times New Roman;Times;serif" w:hAnsi="Times New Roman;Times;serif"/>
                <w:sz w:val="12"/>
              </w:rPr>
              <w:t>(2)</w:t>
            </w:r>
            <w:r>
              <w:rPr>
                <w:rFonts w:ascii="Times New Roman;Times;serif" w:hAnsi="Times New Roman;Times;serif"/>
                <w:sz w:val="16"/>
              </w:rPr>
              <w:t>  </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26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w:t>
            </w:r>
          </w:p>
        </w:tc>
        <w:tc>
          <w:tcPr>
            <w:tcW w:w="26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0"/>
              <w:ind w:left="0" w:right="0" w:hanging="0"/>
              <w:jc w:val="right"/>
              <w:rPr/>
            </w:pPr>
            <w:r>
              <w:rPr/>
              <w:t>—</w:t>
            </w:r>
          </w:p>
        </w:tc>
      </w:tr>
      <w:tr>
        <w:trPr/>
        <w:tc>
          <w:tcPr>
            <w:tcW w:w="3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Individual forward sale commitments with investors</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26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26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pPr>
            <w:r>
              <w:rPr/>
              <w:t>​</w:t>
            </w:r>
          </w:p>
        </w:tc>
        <w:tc>
          <w:tcPr>
            <w:tcW w:w="734" w:type="dxa"/>
            <w:tcBorders/>
            <w:vAlign w:val="center"/>
          </w:tcPr>
          <w:p>
            <w:pPr>
              <w:pStyle w:val="TableContents"/>
              <w:bidi w:val="0"/>
              <w:spacing w:before="0" w:after="0"/>
              <w:ind w:left="0" w:right="0" w:hanging="0"/>
              <w:jc w:val="right"/>
              <w:rPr/>
            </w:pPr>
            <w:r>
              <w:rPr/>
              <w:t>—</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0" w:hanging="0"/>
              <w:jc w:val="left"/>
              <w:rPr/>
            </w:pPr>
            <w:r>
              <w:rPr/>
              <w:t>​</w:t>
            </w:r>
          </w:p>
        </w:tc>
      </w:tr>
      <w:tr>
        <w:trPr/>
        <w:tc>
          <w:tcPr>
            <w:tcW w:w="3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vAlign w:val="center"/>
          </w:tcPr>
          <w:p>
            <w:pPr>
              <w:pStyle w:val="TableContents"/>
              <w:bidi w:val="0"/>
              <w:spacing w:before="0" w:after="0"/>
              <w:ind w:left="0" w:right="0" w:hanging="0"/>
              <w:jc w:val="left"/>
              <w:rPr/>
            </w:pPr>
            <w:r>
              <w:rPr/>
              <w:t>​</w:t>
            </w:r>
          </w:p>
        </w:tc>
        <w:tc>
          <w:tcPr>
            <w:tcW w:w="2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26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266" w:type="dxa"/>
            <w:tcBorders/>
            <w:vAlign w:val="center"/>
          </w:tcPr>
          <w:p>
            <w:pPr>
              <w:pStyle w:val="TableContents"/>
              <w:bidi w:val="0"/>
              <w:spacing w:before="0" w:after="0"/>
              <w:ind w:left="0" w:right="0" w:hanging="0"/>
              <w:jc w:val="left"/>
              <w:rPr/>
            </w:pPr>
            <w:r>
              <w:rPr/>
              <w:t>​</w:t>
            </w:r>
          </w:p>
        </w:tc>
        <w:tc>
          <w:tcPr>
            <w:tcW w:w="3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vAlign w:val="center"/>
          </w:tcPr>
          <w:p>
            <w:pPr>
              <w:pStyle w:val="TableContents"/>
              <w:bidi w:val="0"/>
              <w:spacing w:before="0" w:after="0"/>
              <w:ind w:left="0" w:right="0" w:hanging="0"/>
              <w:jc w:val="right"/>
              <w:rPr/>
            </w:pPr>
            <w:r>
              <w:rPr/>
              <w:t>—</w:t>
            </w:r>
          </w:p>
        </w:tc>
      </w:tr>
      <w:tr>
        <w:trPr/>
        <w:tc>
          <w:tcPr>
            <w:tcW w:w="3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Individual forward sale commitments with investors</w:t>
            </w:r>
          </w:p>
        </w:tc>
        <w:tc>
          <w:tcPr>
            <w:tcW w:w="326" w:type="dxa"/>
            <w:tcBorders/>
            <w:shd w:fill="CCEEFF" w:val="clear"/>
            <w:vAlign w:val="center"/>
          </w:tcPr>
          <w:p>
            <w:pPr>
              <w:pStyle w:val="TableContents"/>
              <w:bidi w:val="0"/>
              <w:spacing w:before="0" w:after="0"/>
              <w:ind w:left="0" w:right="0" w:hanging="0"/>
              <w:jc w:val="left"/>
              <w:rPr/>
            </w:pPr>
            <w:r>
              <w:rPr/>
              <w:t>​</w:t>
            </w:r>
          </w:p>
        </w:tc>
        <w:tc>
          <w:tcPr>
            <w:tcW w:w="283"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26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266" w:type="dxa"/>
            <w:tcBorders/>
            <w:shd w:fill="CCEEFF" w:val="clear"/>
            <w:vAlign w:val="center"/>
          </w:tcPr>
          <w:p>
            <w:pPr>
              <w:pStyle w:val="TableContents"/>
              <w:bidi w:val="0"/>
              <w:spacing w:before="0" w:after="0"/>
              <w:ind w:left="0" w:right="0" w:hanging="0"/>
              <w:jc w:val="left"/>
              <w:rPr/>
            </w:pPr>
            <w:r>
              <w:rPr/>
              <w:t>​</w:t>
            </w:r>
          </w:p>
        </w:tc>
        <w:tc>
          <w:tcPr>
            <w:tcW w:w="341" w:type="dxa"/>
            <w:tcBorders/>
            <w:shd w:fill="CCEEFF" w:val="clear"/>
            <w:vAlign w:val="center"/>
          </w:tcPr>
          <w:p>
            <w:pPr>
              <w:pStyle w:val="TableContents"/>
              <w:bidi w:val="0"/>
              <w:spacing w:before="0" w:after="0"/>
              <w:ind w:left="0" w:right="0" w:hanging="0"/>
              <w:jc w:val="left"/>
              <w:rPr/>
            </w:pPr>
            <w:r>
              <w:rPr/>
              <w:t>​</w:t>
            </w:r>
          </w:p>
        </w:tc>
        <w:tc>
          <w:tcPr>
            <w:tcW w:w="734"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1"/>
        <w:gridCol w:w="326"/>
        <w:gridCol w:w="282"/>
        <w:gridCol w:w="568"/>
        <w:gridCol w:w="326"/>
        <w:gridCol w:w="211"/>
        <w:gridCol w:w="571"/>
        <w:gridCol w:w="326"/>
        <w:gridCol w:w="211"/>
        <w:gridCol w:w="684"/>
        <w:gridCol w:w="326"/>
        <w:gridCol w:w="215"/>
        <w:gridCol w:w="431"/>
        <w:gridCol w:w="326"/>
        <w:gridCol w:w="299"/>
        <w:gridCol w:w="741"/>
        <w:gridCol w:w="326"/>
        <w:gridCol w:w="335"/>
        <w:gridCol w:w="720"/>
      </w:tblGrid>
      <w:tr>
        <w:trPr/>
        <w:tc>
          <w:tcPr>
            <w:tcW w:w="2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892935" cy="175260"/>
                      <wp:effectExtent l="0" t="0" r="0" b="0"/>
                      <wp:wrapNone/>
                      <wp:docPr id="520" name="Frame520"/>
                      <a:graphic xmlns:a="http://schemas.openxmlformats.org/drawingml/2006/main">
                        <a:graphicData uri="http://schemas.microsoft.com/office/word/2010/wordprocessingShape">
                          <wps:wsp>
                            <wps:cNvSpPr txBox="1"/>
                            <wps:spPr>
                              <a:xfrm>
                                <a:off x="0" y="0"/>
                                <a:ext cx="189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07010" cy="175260"/>
                      <wp:effectExtent l="0" t="0" r="0" b="0"/>
                      <wp:wrapNone/>
                      <wp:docPr id="521"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79070" cy="175260"/>
                      <wp:effectExtent l="0" t="0" r="0" b="0"/>
                      <wp:wrapNone/>
                      <wp:docPr id="522" name="Frame522"/>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360680" cy="175260"/>
                      <wp:effectExtent l="0" t="0" r="0" b="0"/>
                      <wp:wrapNone/>
                      <wp:docPr id="523" name="Frame523"/>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4"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33985" cy="175260"/>
                      <wp:effectExtent l="0" t="0" r="0" b="0"/>
                      <wp:wrapNone/>
                      <wp:docPr id="525"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362585" cy="175260"/>
                      <wp:effectExtent l="0" t="0" r="0" b="0"/>
                      <wp:wrapNone/>
                      <wp:docPr id="526" name="Frame5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7"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34340" cy="175260"/>
                      <wp:effectExtent l="0" t="0" r="0" b="0"/>
                      <wp:wrapNone/>
                      <wp:docPr id="529" name="Frame529"/>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30" name="Frame5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36525" cy="175260"/>
                      <wp:effectExtent l="0" t="0" r="0" b="0"/>
                      <wp:wrapNone/>
                      <wp:docPr id="531" name="Frame531"/>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273685" cy="175260"/>
                      <wp:effectExtent l="0" t="0" r="0" b="0"/>
                      <wp:wrapNone/>
                      <wp:docPr id="532" name="Frame532"/>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89865" cy="175260"/>
                      <wp:effectExtent l="0" t="0" r="0" b="0"/>
                      <wp:wrapNone/>
                      <wp:docPr id="534" name="Frame53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470535" cy="175260"/>
                      <wp:effectExtent l="0" t="0" r="0" b="0"/>
                      <wp:wrapNone/>
                      <wp:docPr id="535" name="Frame535"/>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12725" cy="175260"/>
                      <wp:effectExtent l="0" t="0" r="0" b="0"/>
                      <wp:wrapNone/>
                      <wp:docPr id="537" name="Frame53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57200" cy="175260"/>
                      <wp:effectExtent l="0" t="0" r="0" b="0"/>
                      <wp:wrapNone/>
                      <wp:docPr id="538" name="Frame5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Purchases</w:t>
            </w:r>
          </w:p>
        </w:tc>
        <w:tc>
          <w:tcPr>
            <w:tcW w:w="326" w:type="dxa"/>
            <w:tcBorders/>
            <w:vAlign w:val="center"/>
          </w:tcPr>
          <w:p>
            <w:pPr>
              <w:pStyle w:val="TableContents"/>
              <w:bidi w:val="0"/>
              <w:spacing w:before="0" w:after="0"/>
              <w:ind w:left="0" w:right="0" w:hanging="0"/>
              <w:jc w:val="left"/>
              <w:rPr/>
            </w:pPr>
            <w:r>
              <w:rPr/>
              <w:t>    </w:t>
            </w:r>
          </w:p>
        </w:tc>
        <w:tc>
          <w:tcPr>
            <w:tcW w:w="895"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64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Net change in</w:t>
            </w:r>
          </w:p>
        </w:tc>
        <w:tc>
          <w:tcPr>
            <w:tcW w:w="326" w:type="dxa"/>
            <w:tcBorders/>
            <w:vAlign w:val="center"/>
          </w:tcPr>
          <w:p>
            <w:pPr>
              <w:pStyle w:val="TableContents"/>
              <w:bidi w:val="0"/>
              <w:spacing w:before="0" w:after="0"/>
              <w:ind w:left="0" w:right="0" w:hanging="0"/>
              <w:jc w:val="left"/>
              <w:rPr/>
            </w:pPr>
            <w:r>
              <w:rP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Net change in</w:t>
            </w:r>
          </w:p>
        </w:tc>
      </w:tr>
      <w:tr>
        <w:trPr/>
        <w:tc>
          <w:tcPr>
            <w:tcW w:w="298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Six Months Ended</w:t>
            </w:r>
          </w:p>
        </w:tc>
        <w:tc>
          <w:tcPr>
            <w:tcW w:w="326" w:type="dxa"/>
            <w:tcBorders/>
            <w:vAlign w:val="center"/>
          </w:tcPr>
          <w:p>
            <w:pPr>
              <w:pStyle w:val="TableContents"/>
              <w:bidi w:val="0"/>
              <w:spacing w:before="0" w:after="0"/>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Beginning </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 xml:space="preserve">and </w:t>
            </w:r>
          </w:p>
        </w:tc>
        <w:tc>
          <w:tcPr>
            <w:tcW w:w="326" w:type="dxa"/>
            <w:tcBorders/>
            <w:vAlign w:val="center"/>
          </w:tcPr>
          <w:p>
            <w:pPr>
              <w:pStyle w:val="TableContents"/>
              <w:bidi w:val="0"/>
              <w:spacing w:before="0" w:after="0"/>
              <w:ind w:left="0" w:right="0" w:hanging="0"/>
              <w:jc w:val="left"/>
              <w:rPr/>
            </w:pPr>
            <w:r>
              <w:rPr/>
              <w:t>    </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Sales and</w:t>
            </w:r>
          </w:p>
        </w:tc>
        <w:tc>
          <w:tcPr>
            <w:tcW w:w="326" w:type="dxa"/>
            <w:tcBorders/>
            <w:vAlign w:val="center"/>
          </w:tcPr>
          <w:p>
            <w:pPr>
              <w:pStyle w:val="TableContents"/>
              <w:bidi w:val="0"/>
              <w:spacing w:before="0" w:after="0"/>
              <w:ind w:left="0" w:right="0" w:hanging="0"/>
              <w:jc w:val="left"/>
              <w:rPr/>
            </w:pPr>
            <w:r>
              <w:rPr/>
              <w:t>    </w:t>
            </w:r>
          </w:p>
        </w:tc>
        <w:tc>
          <w:tcPr>
            <w:tcW w:w="646"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Ending</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fair value for</w:t>
            </w:r>
          </w:p>
        </w:tc>
        <w:tc>
          <w:tcPr>
            <w:tcW w:w="326" w:type="dxa"/>
            <w:tcBorders/>
            <w:vAlign w:val="center"/>
          </w:tcPr>
          <w:p>
            <w:pPr>
              <w:pStyle w:val="TableContents"/>
              <w:bidi w:val="0"/>
              <w:spacing w:before="0" w:after="0"/>
              <w:ind w:left="0" w:right="0" w:hanging="0"/>
              <w:jc w:val="left"/>
              <w:rPr/>
            </w:pPr>
            <w:r>
              <w:rP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fair value for</w:t>
            </w:r>
          </w:p>
        </w:tc>
      </w:tr>
      <w:tr>
        <w:trPr/>
        <w:tc>
          <w:tcPr>
            <w:tcW w:w="2981" w:type="dxa"/>
            <w:tcBorders/>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June 30, 2023</w:t>
            </w:r>
          </w:p>
        </w:tc>
        <w:tc>
          <w:tcPr>
            <w:tcW w:w="326" w:type="dxa"/>
            <w:tcBorders/>
            <w:vAlign w:val="center"/>
          </w:tcPr>
          <w:p>
            <w:pPr>
              <w:pStyle w:val="TableContents"/>
              <w:bidi w:val="0"/>
              <w:spacing w:before="0" w:after="0"/>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Issuances</w:t>
            </w:r>
          </w:p>
        </w:tc>
        <w:tc>
          <w:tcPr>
            <w:tcW w:w="326" w:type="dxa"/>
            <w:tcBorders/>
            <w:vAlign w:val="center"/>
          </w:tcPr>
          <w:p>
            <w:pPr>
              <w:pStyle w:val="TableContents"/>
              <w:bidi w:val="0"/>
              <w:spacing w:before="0" w:after="0"/>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Settlements</w:t>
            </w:r>
          </w:p>
        </w:tc>
        <w:tc>
          <w:tcPr>
            <w:tcW w:w="326" w:type="dxa"/>
            <w:tcBorders/>
            <w:vAlign w:val="center"/>
          </w:tcPr>
          <w:p>
            <w:pPr>
              <w:pStyle w:val="TableContents"/>
              <w:bidi w:val="0"/>
              <w:spacing w:before="0" w:after="0"/>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Balance</w:t>
            </w:r>
          </w:p>
        </w:tc>
        <w:tc>
          <w:tcPr>
            <w:tcW w:w="326" w:type="dxa"/>
            <w:tcBorders/>
            <w:vAlign w:val="center"/>
          </w:tcPr>
          <w:p>
            <w:pPr>
              <w:pStyle w:val="TableContents"/>
              <w:bidi w:val="0"/>
              <w:spacing w:before="0" w:after="0"/>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 xml:space="preserve">gains/(losses) </w:t>
            </w:r>
            <w:r>
              <w:rPr>
                <w:rFonts w:ascii="Times New Roman;Times;serif" w:hAnsi="Times New Roman;Times;serif"/>
                <w:sz w:val="12"/>
              </w:rPr>
              <w:t>(1)</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sz w:val="16"/>
              </w:rPr>
              <w:t xml:space="preserve">gains/(losses) </w:t>
            </w:r>
            <w:r>
              <w:rPr>
                <w:rFonts w:ascii="Times New Roman;Times;serif" w:hAnsi="Times New Roman;Times;serif"/>
                <w:sz w:val="12"/>
              </w:rPr>
              <w:t>(2)</w:t>
            </w:r>
            <w:r>
              <w:rPr>
                <w:rFonts w:ascii="Times New Roman;Times;serif" w:hAnsi="Times New Roman;Times;serif"/>
                <w:sz w:val="16"/>
              </w:rPr>
              <w:t>  </w:t>
            </w:r>
          </w:p>
        </w:tc>
      </w:tr>
      <w:tr>
        <w:trPr/>
        <w:tc>
          <w:tcPr>
            <w:tcW w:w="2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0"/>
              <w:ind w:left="0" w:right="0" w:hanging="0"/>
              <w:jc w:val="right"/>
              <w:rPr/>
            </w:pPr>
            <w:r>
              <w:rPr/>
              <w:t>—</w:t>
            </w:r>
          </w:p>
        </w:tc>
      </w:tr>
      <w:tr>
        <w:trPr/>
        <w:tc>
          <w:tcPr>
            <w:tcW w:w="2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Individual forward sale commitments with investors</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pPr>
            <w:r>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pPr>
            <w:r>
              <w:rPr/>
              <w:t>—</w:t>
            </w:r>
          </w:p>
        </w:tc>
      </w:tr>
      <w:tr>
        <w:trPr/>
        <w:tc>
          <w:tcPr>
            <w:tcW w:w="2981" w:type="dxa"/>
            <w:tcBorders/>
            <w:shd w:fill="CCEEFF" w:val="clear"/>
            <w:vAlign w:val="center"/>
          </w:tcPr>
          <w:p>
            <w:pPr>
              <w:pStyle w:val="TableContents"/>
              <w:bidi w:val="0"/>
              <w:spacing w:before="0" w:after="0"/>
              <w:ind w:left="0" w:right="0" w:hanging="0"/>
              <w:jc w:val="left"/>
              <w:rPr>
                <w:rFonts w:ascii="Times New Roman;Times;serif" w:hAnsi="Times New Roman;Times;serif"/>
                <w:b/>
                <w:sz w:val="19"/>
              </w:rPr>
            </w:pPr>
            <w:r>
              <w:rPr>
                <w:rFonts w:ascii="Times New Roman;Times;serif" w:hAnsi="Times New Roman;Times;serif"/>
                <w:b/>
                <w:sz w:val="19"/>
              </w:rPr>
              <w:t>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left"/>
              <w:rPr/>
            </w:pPr>
            <w:r>
              <w:rPr/>
              <w:t>​</w:t>
            </w:r>
          </w:p>
        </w:tc>
      </w:tr>
      <w:tr>
        <w:trPr/>
        <w:tc>
          <w:tcPr>
            <w:tcW w:w="2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lock commitments with customers</w:t>
            </w:r>
          </w:p>
        </w:tc>
        <w:tc>
          <w:tcPr>
            <w:tcW w:w="326" w:type="dxa"/>
            <w:tcBorders/>
            <w:vAlign w:val="center"/>
          </w:tcPr>
          <w:p>
            <w:pPr>
              <w:pStyle w:val="TableContents"/>
              <w:bidi w:val="0"/>
              <w:spacing w:before="0" w:after="0"/>
              <w:ind w:left="0" w:right="0" w:hanging="0"/>
              <w:jc w:val="left"/>
              <w:rPr/>
            </w:pPr>
            <w:r>
              <w:rPr/>
              <w:t>​</w:t>
            </w:r>
          </w:p>
        </w:tc>
        <w:tc>
          <w:tcPr>
            <w:tcW w:w="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(2,690)</w:t>
            </w:r>
          </w:p>
        </w:tc>
        <w:tc>
          <w:tcPr>
            <w:tcW w:w="326" w:type="dxa"/>
            <w:tcBorders/>
            <w:vAlign w:val="center"/>
          </w:tcPr>
          <w:p>
            <w:pPr>
              <w:pStyle w:val="TableContents"/>
              <w:bidi w:val="0"/>
              <w:spacing w:before="0" w:after="0"/>
              <w:ind w:left="0" w:right="0" w:hanging="0"/>
              <w:jc w:val="left"/>
              <w:rPr/>
            </w:pPr>
            <w:r>
              <w:rPr/>
              <w:t>​</w:t>
            </w:r>
          </w:p>
        </w:tc>
        <w:tc>
          <w:tcPr>
            <w:tcW w:w="2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vAlign w:val="center"/>
          </w:tcPr>
          <w:p>
            <w:pPr>
              <w:pStyle w:val="TableContents"/>
              <w:bidi w:val="0"/>
              <w:spacing w:before="0" w:after="0"/>
              <w:ind w:left="0" w:right="0" w:hanging="0"/>
              <w:jc w:val="right"/>
              <w:rPr/>
            </w:pPr>
            <w:r>
              <w:rPr/>
              <w:t>—</w:t>
            </w:r>
          </w:p>
        </w:tc>
      </w:tr>
      <w:tr>
        <w:trPr/>
        <w:tc>
          <w:tcPr>
            <w:tcW w:w="2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Individual forward sale commitments with investors</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(5,363)</w:t>
            </w:r>
          </w:p>
        </w:tc>
        <w:tc>
          <w:tcPr>
            <w:tcW w:w="326" w:type="dxa"/>
            <w:tcBorders/>
            <w:shd w:fill="CCEEFF" w:val="clear"/>
            <w:vAlign w:val="center"/>
          </w:tcPr>
          <w:p>
            <w:pPr>
              <w:pStyle w:val="TableContents"/>
              <w:bidi w:val="0"/>
              <w:spacing w:before="0" w:after="0"/>
              <w:ind w:left="0" w:right="0" w:hanging="0"/>
              <w:jc w:val="left"/>
              <w:rPr/>
            </w:pPr>
            <w:r>
              <w:rPr/>
              <w:t>​</w:t>
            </w:r>
          </w:p>
        </w:tc>
        <w:tc>
          <w:tcPr>
            <w:tcW w:w="215"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Relating to items held at end of period included in income.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(2) Relating to items held at end of period included in other comprehensive income (loss).</w:t>
      </w:r>
    </w:p>
    <w:p>
      <w:pPr>
        <w:pStyle w:val="TextBody"/>
        <w:bidi w:val="0"/>
        <w:spacing w:before="200" w:after="120"/>
        <w:ind w:left="0" w:right="0" w:hanging="0"/>
        <w:jc w:val="both"/>
        <w:rPr>
          <w:rFonts w:ascii="Times New Roman;Times;serif" w:hAnsi="Times New Roman;Times;serif"/>
          <w:sz w:val="20"/>
        </w:rPr>
      </w:pPr>
      <w:r>
        <w:rPr>
          <w:rFonts w:ascii="Times New Roman;Times;serif" w:hAnsi="Times New Roman;Times;serif"/>
          <w:sz w:val="20"/>
        </w:rPr>
        <w:t xml:space="preserve">(Losses) gains on interest rate lock commitments and on forward sale commitments with investors carried at fair value are recorded in “Gain on sale of loans” on the Consolidated Statements of Income.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3976" w:name="Tc_YCXbpdms5k2xob-HkugvHg_29_6"/>
      <w:bookmarkStart w:id="3977" w:name="Tc_gGxWJVscyEutTHumuoAHaw_29_3"/>
      <w:bookmarkStart w:id="3978" w:name="Tc_wcwWnd7LBE6TtK_EFcpJog_29_0"/>
      <w:bookmarkStart w:id="3979" w:name="Tc_eyzB7E_NckKsu9nxMZ7WVQ_28_0"/>
      <w:bookmarkStart w:id="3980" w:name="Tc_hierb89VzEeSIH1tlCFE_Q_27_12"/>
      <w:bookmarkStart w:id="3981" w:name="Tc_c6mStXDB_UG8hIuzn9483g_27_9"/>
      <w:bookmarkStart w:id="3982" w:name="Tc_AeBhxK4Wikuwglq7VYSRUA_27_0"/>
      <w:bookmarkStart w:id="3983" w:name="Tc_fzf0t9yldkG7XsnEdTo-_w_26_0"/>
      <w:bookmarkStart w:id="3984" w:name="Tc_vvL5tGlLc0mcQpjyTHddZg_25_0"/>
      <w:bookmarkStart w:id="3985" w:name="Tc_M74XSUIGP0uMZudy4_78Fw_24_0"/>
      <w:bookmarkStart w:id="3986" w:name="Tc_9Q-SA_JBaEmZKnf4dTi_6Q_23_0"/>
      <w:bookmarkStart w:id="3987" w:name="Tc_IXqMG2MBAE-JwXKjKoXGBA_22_0"/>
      <w:bookmarkStart w:id="3988" w:name="Tc_pLAIoLe64EehEYS6AhgwUQ_21_0"/>
      <w:bookmarkStart w:id="3989" w:name="Tc_Jsu3XELipUiF42GvGS06qw_20_12"/>
      <w:bookmarkStart w:id="3990" w:name="Tc_8xteW73FpU-Ornt9OsLwyQ_20_9"/>
      <w:bookmarkStart w:id="3991" w:name="Tc_4ciiRNZFhE6S3VvjtmGyiw_20_0"/>
      <w:bookmarkStart w:id="3992" w:name="Tc_B7tAMnQGxEesfVm_6NcC9g_19_0"/>
      <w:bookmarkStart w:id="3993" w:name="Tc__qVZe_8sdEu5bXdjeYDzFQ_18_0"/>
      <w:bookmarkStart w:id="3994" w:name="Tc_0aSOZG9SC0CxbJijVG_OLg_17_0"/>
      <w:bookmarkStart w:id="3995" w:name="Tc___yOnx9WZE2KpKCq1vtb5w_16_0"/>
      <w:bookmarkStart w:id="3996" w:name="Tc_kavrDaKLJU2SiMDiO__7wQ_15_0"/>
      <w:bookmarkStart w:id="3997" w:name="Tc_IO1RmDg6jEuBJawvS7T5qQ_14_0"/>
      <w:bookmarkStart w:id="3998" w:name="Tc_m7VchRo90U-v5Xilb3gveQ_13_0"/>
      <w:bookmarkStart w:id="3999" w:name="Tc_VIGIDo45kkCwnioOT5PB8w_12_0"/>
      <w:bookmarkStart w:id="4000" w:name="Tc_yygJbEAFCkq-2RrKMDN5WQ_11_0"/>
      <w:bookmarkStart w:id="4001" w:name="Tc_p1TKw-T200uTdIPt5UBiNA_10_0"/>
      <w:bookmarkStart w:id="4002" w:name="Tc_LBH9RsimlkuYpezQLeM-Bg_9_0"/>
      <w:bookmarkStart w:id="4003" w:name="Tc_VTR8wfworUWscA_F93fCow_8_0"/>
      <w:bookmarkStart w:id="4004" w:name="Tc_337CKTfKsUenYJkYXnraMw_7_0"/>
      <w:bookmarkStart w:id="4005" w:name="Tc_P51l0C25D0OltksSjq4M9w_6_0"/>
      <w:bookmarkStart w:id="4006" w:name="Tc_EJ03q35JzUqtenoVxd7vCg_5_11"/>
      <w:bookmarkStart w:id="4007" w:name="Tc_d0F39ZFaOkGwdn8l-tirkQ_5_8"/>
      <w:bookmarkStart w:id="4008" w:name="Tc_HpyCszcfJ06nwLLZWmvJkg_5_5"/>
      <w:bookmarkStart w:id="4009" w:name="Tc_SYBbCjCFV0iSwuoRl4YFtA_5_2"/>
      <w:bookmarkStart w:id="4010" w:name="Tc_dJ9S5InQMEe2_0egJVbC5Q_5_0"/>
      <w:bookmarkStart w:id="4011" w:name="Tc_w_9wWWJHeky2gQycWeZkXQ_4_11"/>
      <w:bookmarkStart w:id="4012" w:name="Tc_qMZ7hPpoq02J0gx8hS3Ubg_4_8"/>
      <w:bookmarkStart w:id="4013" w:name="Tc_s58Kgcc8qkiWZ4LYZLe3Jg_4_5"/>
      <w:bookmarkStart w:id="4014" w:name="Tc_FpbJmS2zPkyILUlnmwKJHQ_4_2"/>
      <w:bookmarkStart w:id="4015" w:name="Tc_JqYJgCjAxUG7mSPaOqrHGw_4_0"/>
      <w:bookmarkStart w:id="4016" w:name="Tc_1xUTw8H21kKRbnDOQk3VwQ_3_11"/>
      <w:bookmarkStart w:id="4017" w:name="Tc_0nxJ-z1SWEeQSD4RDZFOjw_3_8"/>
      <w:bookmarkStart w:id="4018" w:name="Tc_xMIkthTnoUCMcIIKIS0rJA_3_5"/>
      <w:bookmarkStart w:id="4019" w:name="Tc_rJqs9TH6T0eZ30dxsIpl8w_3_2"/>
      <w:bookmarkStart w:id="4020" w:name="Tc__g4wD08JmUi4EZPxpbQZ6w_3_0"/>
      <w:bookmarkStart w:id="4021" w:name="Tc_Zh2cjXrBL0aSiODATmjssg_2_8"/>
      <w:bookmarkStart w:id="4022" w:name="Tc_EY0zxk3tV0uXTUfbe-K4fQ_2_2"/>
      <w:bookmarkStart w:id="4023" w:name="Tc_bR9TDFGEf022H861M7Cs3Q_1_8"/>
      <w:bookmarkStart w:id="4024" w:name="Tc_Gq5F-spYMUWwTImOthHb0g_1_2"/>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r>
        <w:rPr>
          <w:rFonts w:ascii="Times New Roman;Times;serif" w:hAnsi="Times New Roman;Times;serif"/>
          <w:sz w:val="20"/>
        </w:rPr>
        <w:t>The following table provides estimated fair values of the Company’s financial instruments at the dates indicated, whether or not recognized at fair value on the Consolidated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88"/>
        <w:gridCol w:w="326"/>
        <w:gridCol w:w="211"/>
        <w:gridCol w:w="931"/>
        <w:gridCol w:w="326"/>
        <w:gridCol w:w="211"/>
        <w:gridCol w:w="931"/>
        <w:gridCol w:w="326"/>
        <w:gridCol w:w="211"/>
        <w:gridCol w:w="931"/>
        <w:gridCol w:w="326"/>
        <w:gridCol w:w="211"/>
        <w:gridCol w:w="976"/>
      </w:tblGrid>
      <w:tr>
        <w:trPr/>
        <w:tc>
          <w:tcPr>
            <w:tcW w:w="4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2722880" cy="175260"/>
                      <wp:effectExtent l="0" t="0" r="0" b="0"/>
                      <wp:wrapNone/>
                      <wp:docPr id="539" name="Frame539"/>
                      <a:graphic xmlns:a="http://schemas.openxmlformats.org/drawingml/2006/main">
                        <a:graphicData uri="http://schemas.microsoft.com/office/word/2010/wordprocessingShape">
                          <wps:wsp>
                            <wps:cNvSpPr txBox="1"/>
                            <wps:spPr>
                              <a:xfrm>
                                <a:off x="0" y="0"/>
                                <a:ext cx="272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3985" cy="175260"/>
                      <wp:effectExtent l="0" t="0" r="0" b="0"/>
                      <wp:wrapNone/>
                      <wp:docPr id="541" name="Frame5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591185" cy="175260"/>
                      <wp:effectExtent l="0" t="0" r="0" b="0"/>
                      <wp:wrapNone/>
                      <wp:docPr id="542" name="Frame54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4" name="Frame5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591185" cy="175260"/>
                      <wp:effectExtent l="0" t="0" r="0" b="0"/>
                      <wp:wrapNone/>
                      <wp:docPr id="545" name="Frame5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7010" cy="175260"/>
                      <wp:effectExtent l="0" t="0" r="0" b="0"/>
                      <wp:wrapNone/>
                      <wp:docPr id="546"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33985" cy="175260"/>
                      <wp:effectExtent l="0" t="0" r="0" b="0"/>
                      <wp:wrapNone/>
                      <wp:docPr id="547" name="Frame5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91185" cy="175260"/>
                      <wp:effectExtent l="0" t="0" r="0" b="0"/>
                      <wp:wrapNone/>
                      <wp:docPr id="548" name="Frame54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07010" cy="175260"/>
                      <wp:effectExtent l="0" t="0" r="0" b="0"/>
                      <wp:wrapNone/>
                      <wp:docPr id="549" name="Frame5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133985" cy="175260"/>
                      <wp:effectExtent l="0" t="0" r="0" b="0"/>
                      <wp:wrapNone/>
                      <wp:docPr id="550" name="Frame5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19760" cy="175260"/>
                      <wp:effectExtent l="0" t="0" r="0" b="0"/>
                      <wp:wrapNone/>
                      <wp:docPr id="551" name="Frame55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10"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tc>
        <w:tc>
          <w:tcPr>
            <w:tcW w:w="326" w:type="dxa"/>
            <w:tcBorders/>
            <w:vAlign w:val="center"/>
          </w:tcPr>
          <w:p>
            <w:pPr>
              <w:pStyle w:val="TableContents"/>
              <w:bidi w:val="0"/>
              <w:spacing w:before="0" w:after="0"/>
              <w:ind w:left="0" w:right="0" w:hanging="0"/>
              <w:jc w:val="center"/>
              <w:rPr/>
            </w:pPr>
            <w:r>
              <w:rPr/>
              <w:t>​</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w:t>
            </w:r>
          </w:p>
        </w:tc>
      </w:tr>
      <w:tr>
        <w:trPr/>
        <w:tc>
          <w:tcPr>
            <w:tcW w:w="42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6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center"/>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Carrying</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Carrying</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 inputs:</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41,437</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Certificates of deposit at other financial institutions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 inputs: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available-for-sale, at fair value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229,252</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held-to-maturity, gross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7,929</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held for sale, at fair value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20,093</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FHLB stock, at 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10,611</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Forward TBA mortgage-backed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receivable,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14,035</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9,870</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11,144</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 inputs: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Loans receivable, gross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2,358,425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2,280,219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2,204,817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2,153,769</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MSR, held at lower of cost or fair value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35,478</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interest rate locks with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 inputs: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Deposits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2,365,308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2,347,200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2,127,741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2,105,926</w:t>
            </w:r>
          </w:p>
        </w:tc>
      </w:tr>
      <w:tr>
        <w:trPr/>
        <w:tc>
          <w:tcPr>
            <w:tcW w:w="4288"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Borrowings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199,896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186,188</w:t>
            </w:r>
          </w:p>
        </w:tc>
      </w:tr>
      <w:tr>
        <w:trPr/>
        <w:tc>
          <w:tcPr>
            <w:tcW w:w="4288"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Subordinated notes, excluding unamortized debt issuance costs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44,500</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2,270</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 inputs: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Mandatory and best effort forward commitments with investors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w:t>
      </w:r>
    </w:p>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 EARNINGS PER SHARE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computes earnings per share using the two-class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entity.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4025" w:name="Tc_RbeRWBAad0u0f1l8THeTug_12_0"/>
      <w:bookmarkStart w:id="4026" w:name="Tc_ZGHDi31fcEuVBGZmvLn_gA_11_11"/>
      <w:bookmarkStart w:id="4027" w:name="Tc_Z0RFJQjKj0KV1ZIgcP2OVQ_11_8"/>
      <w:bookmarkStart w:id="4028" w:name="Tc_t8_Vx2sB90WDVviv8T0cEA_11_5"/>
      <w:bookmarkStart w:id="4029" w:name="Tc_UMkFokIql065yxKEFb4ssA_11_2"/>
      <w:bookmarkStart w:id="4030" w:name="Tc_KuSU45RllUuorUNABVK8xQ_11_0"/>
      <w:bookmarkStart w:id="4031" w:name="Tc_YmDe7wD1NkuufERAwV07Nw_10_11"/>
      <w:bookmarkStart w:id="4032" w:name="Tc_Ufxty9GYd0yA5yl6tGo4KQ_10_8"/>
      <w:bookmarkStart w:id="4033" w:name="Tc_L0zOrzzZxUWe1LyIlFB3yg_10_5"/>
      <w:bookmarkStart w:id="4034" w:name="Tc_5_pscvCDXkOaEHFQEN8pHA_10_2"/>
      <w:bookmarkStart w:id="4035" w:name="Tc_U1VYz0Dd3UWCg7KvrHclzA_10_0"/>
      <w:bookmarkStart w:id="4036" w:name="Tc_7mavi90IY02TAs2MIVnMqw_9_0"/>
      <w:bookmarkStart w:id="4037" w:name="Tc_w--drZjiuEKk87HWX8VXAQ_8_0"/>
      <w:bookmarkStart w:id="4038" w:name="Tc_dwWBuIykX0WqR8Gc8kK0BQ_7_0"/>
      <w:bookmarkStart w:id="4039" w:name="Tc_5NxpbQDaXUi27aFZWHBNJg_6_0"/>
      <w:bookmarkStart w:id="4040" w:name="Tc_WOKQ1Mqz-E2hNnF2ZI__6Q_5_11"/>
      <w:bookmarkStart w:id="4041" w:name="Tc_DgmVvei65EGrIG75U3CLsQ_5_8"/>
      <w:bookmarkStart w:id="4042" w:name="Tc_jmlWy8mrDEy1oOO3qm-kpg_5_5"/>
      <w:bookmarkStart w:id="4043" w:name="Tc_dfUZ-1j1XUKPHDGtge2A8A_5_2"/>
      <w:bookmarkStart w:id="4044" w:name="Tc_DDFDFXRRmUOFFaG87Embjw_5_0"/>
      <w:bookmarkStart w:id="4045" w:name="Tc_tx_vLYbdfkW0PcO_8szSlw_4_0"/>
      <w:bookmarkStart w:id="4046" w:name="Tc_ycWJc_vy4EeGzg3tGiH78Q_3_11"/>
      <w:bookmarkStart w:id="4047" w:name="Tc_vqDc1HL-C06YbK1xCEAnDw_3_8"/>
      <w:bookmarkStart w:id="4048" w:name="Tc_fzR2c3AAok6FWrZlUB44FA_3_5"/>
      <w:bookmarkStart w:id="4049" w:name="Tc_scvvPVDDv0m_tazk33pR3Q_3_2"/>
      <w:bookmarkStart w:id="4050" w:name="Tc_Riqj_44plE6kEHI5VvQ9Yg_3_0"/>
      <w:bookmarkStart w:id="4051" w:name="Tc_OFLRVTvdQkChQwkq0ysIXA_2_11"/>
      <w:bookmarkStart w:id="4052" w:name="Tc_6Mr8Mbkmj023R1VefaHj8g_2_8"/>
      <w:bookmarkStart w:id="4053" w:name="Tc_HR6_vnHKNUK6AkJI5Xz1eQ_2_5"/>
      <w:bookmarkStart w:id="4054" w:name="Tc_70d9KdaDFEKAfN8c_IPR_g_2_2"/>
      <w:bookmarkStart w:id="4055" w:name="Tc_FRRaVQKZ_UCTTk22GNRxtQ_2_0"/>
      <w:bookmarkStart w:id="4056" w:name="Tc_B4BTawtFBEiLIEnD00yvXw_1_8"/>
      <w:bookmarkStart w:id="4057" w:name="Tc_wxSds60VNES-_VL5LGcFbg_1_2"/>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r>
        <w:rPr>
          <w:rFonts w:ascii="Times New Roman;Times;serif" w:hAnsi="Times New Roman;Times;serif"/>
          <w:sz w:val="20"/>
        </w:rPr>
        <w:t>The following table presents a reconciliation of the components used to compute basic and diluted earnings per share at or for the dates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22"/>
        <w:gridCol w:w="326"/>
        <w:gridCol w:w="230"/>
        <w:gridCol w:w="1016"/>
        <w:gridCol w:w="355"/>
        <w:gridCol w:w="230"/>
        <w:gridCol w:w="1016"/>
        <w:gridCol w:w="326"/>
        <w:gridCol w:w="231"/>
        <w:gridCol w:w="1024"/>
        <w:gridCol w:w="119"/>
        <w:gridCol w:w="231"/>
        <w:gridCol w:w="1079"/>
      </w:tblGrid>
      <w:tr>
        <w:trPr/>
        <w:tc>
          <w:tcPr>
            <w:tcW w:w="4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553970" cy="175260"/>
                      <wp:effectExtent l="0" t="0" r="0" b="0"/>
                      <wp:wrapNone/>
                      <wp:docPr id="552" name="Frame552"/>
                      <a:graphic xmlns:a="http://schemas.openxmlformats.org/drawingml/2006/main">
                        <a:graphicData uri="http://schemas.microsoft.com/office/word/2010/wordprocessingShape">
                          <wps:wsp>
                            <wps:cNvSpPr txBox="1"/>
                            <wps:spPr>
                              <a:xfrm>
                                <a:off x="0" y="0"/>
                                <a:ext cx="2553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3"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46050" cy="175260"/>
                      <wp:effectExtent l="0" t="0" r="0" b="0"/>
                      <wp:wrapNone/>
                      <wp:docPr id="554" name="Frame554"/>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5160" cy="175260"/>
                      <wp:effectExtent l="0" t="0" r="0" b="0"/>
                      <wp:wrapNone/>
                      <wp:docPr id="555" name="Frame555"/>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25425" cy="175260"/>
                      <wp:effectExtent l="0" t="0" r="0" b="0"/>
                      <wp:wrapNone/>
                      <wp:docPr id="556" name="Frame556"/>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46050" cy="175260"/>
                      <wp:effectExtent l="0" t="0" r="0" b="0"/>
                      <wp:wrapNone/>
                      <wp:docPr id="557" name="Frame55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5160" cy="175260"/>
                      <wp:effectExtent l="0" t="0" r="0" b="0"/>
                      <wp:wrapNone/>
                      <wp:docPr id="558" name="Frame558"/>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7010" cy="175260"/>
                      <wp:effectExtent l="0" t="0" r="0" b="0"/>
                      <wp:wrapNone/>
                      <wp:docPr id="559" name="Frame5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146685" cy="175260"/>
                      <wp:effectExtent l="0" t="0" r="0" b="0"/>
                      <wp:wrapNone/>
                      <wp:docPr id="560" name="Frame560"/>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50240" cy="175260"/>
                      <wp:effectExtent l="0" t="0" r="0" b="0"/>
                      <wp:wrapNone/>
                      <wp:docPr id="561" name="Frame561"/>
                      <a:graphic xmlns:a="http://schemas.openxmlformats.org/drawingml/2006/main">
                        <a:graphicData uri="http://schemas.microsoft.com/office/word/2010/wordprocessingShape">
                          <wps:wsp>
                            <wps:cNvSpPr txBox="1"/>
                            <wps:spPr>
                              <a:xfrm>
                                <a:off x="0" y="0"/>
                                <a:ext cx="650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75565" cy="175260"/>
                      <wp:effectExtent l="0" t="0" r="0" b="0"/>
                      <wp:wrapNone/>
                      <wp:docPr id="562" name="Frame562"/>
                      <a:graphic xmlns:a="http://schemas.openxmlformats.org/drawingml/2006/main">
                        <a:graphicData uri="http://schemas.microsoft.com/office/word/2010/wordprocessingShape">
                          <wps:wsp>
                            <wps:cNvSpPr txBox="1"/>
                            <wps:spPr>
                              <a:xfrm>
                                <a:off x="0" y="0"/>
                                <a:ext cx="75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146685" cy="175260"/>
                      <wp:effectExtent l="0" t="0" r="0" b="0"/>
                      <wp:wrapNone/>
                      <wp:docPr id="563" name="Frame56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85165" cy="175260"/>
                      <wp:effectExtent l="0" t="0" r="0" b="0"/>
                      <wp:wrapNone/>
                      <wp:docPr id="564" name="Frame564"/>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2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8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Three Months Ended June 30, </w:t>
            </w:r>
          </w:p>
        </w:tc>
        <w:tc>
          <w:tcPr>
            <w:tcW w:w="326" w:type="dxa"/>
            <w:tcBorders/>
            <w:vAlign w:val="center"/>
          </w:tcPr>
          <w:p>
            <w:pPr>
              <w:pStyle w:val="TableContents"/>
              <w:bidi w:val="0"/>
              <w:spacing w:before="0" w:after="0"/>
              <w:ind w:left="0" w:right="0" w:hanging="0"/>
              <w:jc w:val="center"/>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Six Months Ended June 30, </w:t>
            </w:r>
          </w:p>
        </w:tc>
      </w:tr>
      <w:tr>
        <w:trPr/>
        <w:tc>
          <w:tcPr>
            <w:tcW w:w="4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Numerator </w:t>
            </w:r>
          </w:p>
        </w:tc>
        <w:tc>
          <w:tcPr>
            <w:tcW w:w="32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55"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center"/>
              <w:rPr/>
            </w:pPr>
            <w:r>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119" w:type="dxa"/>
            <w:tcBorders/>
            <w:vAlign w:val="center"/>
          </w:tcPr>
          <w:p>
            <w:pPr>
              <w:pStyle w:val="TableContents"/>
              <w:bidi w:val="0"/>
              <w:spacing w:before="0" w:after="0"/>
              <w:ind w:left="0" w:right="0" w:hanging="0"/>
              <w:jc w:val="center"/>
              <w:rPr/>
            </w:pPr>
            <w:r>
              <w:rPr/>
              <w:t>​</w:t>
            </w:r>
          </w:p>
        </w:tc>
        <w:tc>
          <w:tcPr>
            <w:tcW w:w="13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9,116</w:t>
            </w:r>
          </w:p>
        </w:tc>
        <w:tc>
          <w:tcPr>
            <w:tcW w:w="355"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6,699</w:t>
            </w:r>
          </w:p>
        </w:tc>
        <w:tc>
          <w:tcPr>
            <w:tcW w:w="326" w:type="dxa"/>
            <w:tcBorders/>
            <w:shd w:fill="CCEEFF" w:val="clear"/>
            <w:vAlign w:val="center"/>
          </w:tcPr>
          <w:p>
            <w:pPr>
              <w:pStyle w:val="TableContents"/>
              <w:bidi w:val="0"/>
              <w:spacing w:before="0" w:after="0"/>
              <w:ind w:left="0" w:right="0" w:hanging="0"/>
              <w:jc w:val="center"/>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17,328</w:t>
            </w:r>
          </w:p>
        </w:tc>
        <w:tc>
          <w:tcPr>
            <w:tcW w:w="119"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13,569</w:t>
            </w:r>
          </w:p>
        </w:tc>
      </w:tr>
      <w:tr>
        <w:trPr/>
        <w:tc>
          <w:tcPr>
            <w:tcW w:w="4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and undistributed earnings allocated to participating securities</w:t>
            </w:r>
          </w:p>
        </w:tc>
        <w:tc>
          <w:tcPr>
            <w:tcW w:w="326" w:type="dxa"/>
            <w:tcBorders/>
            <w:vAlign w:val="center"/>
          </w:tcPr>
          <w:p>
            <w:pPr>
              <w:pStyle w:val="TableContents"/>
              <w:bidi w:val="0"/>
              <w:spacing w:before="0" w:after="0"/>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55" w:type="dxa"/>
            <w:tcBorders/>
            <w:vAlign w:val="center"/>
          </w:tcPr>
          <w:p>
            <w:pPr>
              <w:pStyle w:val="TableContents"/>
              <w:bidi w:val="0"/>
              <w:spacing w:before="0" w:after="0"/>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26" w:type="dxa"/>
            <w:tcBorders/>
            <w:vAlign w:val="center"/>
          </w:tcPr>
          <w:p>
            <w:pPr>
              <w:pStyle w:val="TableContents"/>
              <w:bidi w:val="0"/>
              <w:spacing w:before="0" w:after="0"/>
              <w:ind w:left="0" w:right="0" w:hanging="0"/>
              <w:jc w:val="center"/>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119"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4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available to common shareholders </w:t>
            </w:r>
          </w:p>
        </w:tc>
        <w:tc>
          <w:tcPr>
            <w:tcW w:w="326" w:type="dxa"/>
            <w:tcBorders/>
            <w:shd w:fill="CCEEFF" w:val="clear"/>
            <w:vAlign w:val="center"/>
          </w:tcPr>
          <w:p>
            <w:pPr>
              <w:pStyle w:val="TableContents"/>
              <w:bidi w:val="0"/>
              <w:spacing w:before="0" w:after="0"/>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8,956</w:t>
            </w:r>
          </w:p>
        </w:tc>
        <w:tc>
          <w:tcPr>
            <w:tcW w:w="355" w:type="dxa"/>
            <w:tcBorders/>
            <w:shd w:fill="CCEEFF" w:val="clear"/>
            <w:vAlign w:val="center"/>
          </w:tcPr>
          <w:p>
            <w:pPr>
              <w:pStyle w:val="TableContents"/>
              <w:bidi w:val="0"/>
              <w:spacing w:before="0" w:after="0"/>
              <w:ind w:left="0" w:right="0" w:hanging="0"/>
              <w:jc w:val="center"/>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6,561</w:t>
            </w:r>
          </w:p>
        </w:tc>
        <w:tc>
          <w:tcPr>
            <w:tcW w:w="326" w:type="dxa"/>
            <w:tcBorders/>
            <w:shd w:fill="CCEEFF" w:val="clear"/>
            <w:vAlign w:val="center"/>
          </w:tcPr>
          <w:p>
            <w:pPr>
              <w:pStyle w:val="TableContents"/>
              <w:bidi w:val="0"/>
              <w:spacing w:before="0" w:after="0"/>
              <w:ind w:left="0" w:right="0" w:hanging="0"/>
              <w:jc w:val="center"/>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17,021</w:t>
            </w:r>
          </w:p>
        </w:tc>
        <w:tc>
          <w:tcPr>
            <w:tcW w:w="119" w:type="dxa"/>
            <w:tcBorders/>
            <w:shd w:fill="CCEEFF" w:val="clear"/>
            <w:vAlign w:val="center"/>
          </w:tcPr>
          <w:p>
            <w:pPr>
              <w:pStyle w:val="TableContents"/>
              <w:bidi w:val="0"/>
              <w:spacing w:before="0" w:after="0"/>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13,304</w:t>
            </w:r>
          </w:p>
        </w:tc>
      </w:tr>
      <w:tr>
        <w:trPr/>
        <w:tc>
          <w:tcPr>
            <w:tcW w:w="4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(shown as actual):</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24" w:type="dxa"/>
            <w:tcBorders/>
            <w:vAlign w:val="center"/>
          </w:tcPr>
          <w:p>
            <w:pPr>
              <w:pStyle w:val="TableContents"/>
              <w:bidi w:val="0"/>
              <w:spacing w:before="0" w:after="0"/>
              <w:ind w:left="0" w:right="0" w:hanging="0"/>
              <w:jc w:val="right"/>
              <w:rPr/>
            </w:pPr>
            <w:r>
              <w:rPr/>
              <w:t>​</w:t>
            </w:r>
          </w:p>
        </w:tc>
        <w:tc>
          <w:tcPr>
            <w:tcW w:w="119" w:type="dxa"/>
            <w:tcBorders/>
            <w:vAlign w:val="center"/>
          </w:tcPr>
          <w:p>
            <w:pPr>
              <w:pStyle w:val="TableContents"/>
              <w:bidi w:val="0"/>
              <w:spacing w:before="0" w:after="0"/>
              <w:ind w:left="0" w:right="0" w:hanging="0"/>
              <w:jc w:val="right"/>
              <w:rPr/>
            </w:pPr>
            <w:r>
              <w:rPr/>
              <w:t>​</w:t>
            </w:r>
          </w:p>
        </w:tc>
        <w:tc>
          <w:tcPr>
            <w:tcW w:w="231"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pPr>
            <w:r>
              <w:rPr/>
              <w:t>​</w:t>
            </w:r>
          </w:p>
        </w:tc>
      </w:tr>
      <w:tr>
        <w:trPr/>
        <w:tc>
          <w:tcPr>
            <w:tcW w:w="4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common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7,637,210</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7,776,939</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7,635,647</w:t>
            </w:r>
          </w:p>
        </w:tc>
        <w:tc>
          <w:tcPr>
            <w:tcW w:w="119" w:type="dxa"/>
            <w:tcBorders/>
            <w:shd w:fill="CCEEFF" w:val="clear"/>
            <w:vAlign w:val="center"/>
          </w:tcPr>
          <w:p>
            <w:pPr>
              <w:pStyle w:val="TableContents"/>
              <w:bidi w:val="0"/>
              <w:spacing w:before="0" w:after="0"/>
              <w:ind w:left="0" w:right="0" w:hanging="0"/>
              <w:jc w:val="righ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7,899,522</w:t>
            </w:r>
          </w:p>
        </w:tc>
      </w:tr>
      <w:tr>
        <w:trPr/>
        <w:tc>
          <w:tcPr>
            <w:tcW w:w="4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shares</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109,126</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119,271</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133,870</w:t>
            </w:r>
          </w:p>
        </w:tc>
        <w:tc>
          <w:tcPr>
            <w:tcW w:w="119" w:type="dxa"/>
            <w:tcBorders/>
            <w:vAlign w:val="center"/>
          </w:tcPr>
          <w:p>
            <w:pPr>
              <w:pStyle w:val="TableContents"/>
              <w:bidi w:val="0"/>
              <w:spacing w:before="0" w:after="0"/>
              <w:ind w:left="0" w:right="0" w:hanging="0"/>
              <w:jc w:val="righ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131,214</w:t>
            </w:r>
          </w:p>
        </w:tc>
      </w:tr>
      <w:tr>
        <w:trPr/>
        <w:tc>
          <w:tcPr>
            <w:tcW w:w="4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common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7,746,336</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7,896,210</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7,769,517</w:t>
            </w:r>
          </w:p>
        </w:tc>
        <w:tc>
          <w:tcPr>
            <w:tcW w:w="119" w:type="dxa"/>
            <w:tcBorders/>
            <w:shd w:fill="CCEEFF" w:val="clear"/>
            <w:vAlign w:val="center"/>
          </w:tcPr>
          <w:p>
            <w:pPr>
              <w:pStyle w:val="TableContents"/>
              <w:bidi w:val="0"/>
              <w:spacing w:before="0" w:after="0"/>
              <w:ind w:left="0" w:right="0" w:hanging="0"/>
              <w:jc w:val="righ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8,030,736</w:t>
            </w:r>
          </w:p>
        </w:tc>
      </w:tr>
      <w:tr>
        <w:trPr/>
        <w:tc>
          <w:tcPr>
            <w:tcW w:w="402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Basic earnings per share </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0.84</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119" w:type="dxa"/>
            <w:tcBorders/>
            <w:vAlign w:val="center"/>
          </w:tcPr>
          <w:p>
            <w:pPr>
              <w:pStyle w:val="TableContents"/>
              <w:bidi w:val="0"/>
              <w:spacing w:before="0" w:after="0"/>
              <w:ind w:left="0" w:right="0" w:hanging="0"/>
              <w:jc w:val="righ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40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earnings per share </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0.83</w:t>
            </w:r>
          </w:p>
        </w:tc>
        <w:tc>
          <w:tcPr>
            <w:tcW w:w="326" w:type="dxa"/>
            <w:tcBorders/>
            <w:shd w:fill="CCEEFF" w:val="clear"/>
            <w:vAlign w:val="center"/>
          </w:tcPr>
          <w:p>
            <w:pPr>
              <w:pStyle w:val="TableContents"/>
              <w:bidi w:val="0"/>
              <w:spacing w:before="0" w:after="0"/>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119" w:type="dxa"/>
            <w:tcBorders/>
            <w:shd w:fill="CCEEFF" w:val="clear"/>
            <w:vAlign w:val="center"/>
          </w:tcPr>
          <w:p>
            <w:pPr>
              <w:pStyle w:val="TableContents"/>
              <w:bidi w:val="0"/>
              <w:spacing w:before="0" w:after="0"/>
              <w:ind w:left="0" w:right="0" w:hanging="0"/>
              <w:jc w:val="righ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40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Potentially dilutive weighted average share options that were not included in the computation of diluted earnings per share because to do so would be anti-dilutive.</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67,675</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68,008</w:t>
            </w:r>
          </w:p>
        </w:tc>
        <w:tc>
          <w:tcPr>
            <w:tcW w:w="326" w:type="dxa"/>
            <w:tcBorders/>
            <w:vAlign w:val="center"/>
          </w:tcPr>
          <w:p>
            <w:pPr>
              <w:pStyle w:val="TableContents"/>
              <w:bidi w:val="0"/>
              <w:spacing w:before="0" w:after="0"/>
              <w:ind w:left="0" w:right="0" w:hanging="0"/>
              <w:jc w:val="righ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50,555</w:t>
            </w:r>
          </w:p>
        </w:tc>
        <w:tc>
          <w:tcPr>
            <w:tcW w:w="119" w:type="dxa"/>
            <w:tcBorders/>
            <w:vAlign w:val="center"/>
          </w:tcPr>
          <w:p>
            <w:pPr>
              <w:pStyle w:val="TableContents"/>
              <w:bidi w:val="0"/>
              <w:spacing w:before="0" w:after="0"/>
              <w:ind w:left="0" w:right="0" w:hanging="0"/>
              <w:jc w:val="righ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52,364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13 – STOCK-BASED COMPENSATION</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 Options and Restricted Stock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May 17, 2018, the shareholders of FS Bancorp, Inc. approved the 2018 Equity Incentive Plan (the “2018 Plan”) that authorized 1.3 million shares of the Company’s common stock to be awarded. The 2018 Plan provides for the grant of incentive stock options, nonqualified stock options, and up to 326,000 shares as restricted stock awards (“RSAs”) to directors, emeritus directors, officers, employees or advisory directors of the Company.  At June 30, 2023, there were 356,532 stock option awards and 114,222 RSAs available to be granted under the 2018 Plan.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Total share-based compensation expense was $364,000  and $1.0 million for the three and six months ended June 30, 2023, respectively, and $481,000 and $932,000 for the three and six months ended June 30, 2022,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Stock Options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2018 Plan consists of stock option awards that may be granted as incentive stock options or nonqualified stock options.  Stock option awards generally vest over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or three-year period for independent directors or over a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or five-year period for employees and officers with 20% vesting on the anniversary date of each grant date as long as the award recipient remains in service to the Company.  The options are exercisable after vesting for up to the remaining term of the original grant.  The maximum term of the options granted is 10 years. Any unexercised stock options will expire 10 years after the grant date or sooner in the event of the award recipient’s termination of service with the Company or the Bank.  The fair value of each stock option award is estimated on the grant date using a Black-Scholes Option pricing model that uses the following assumptions. The dividend yield is based on the current quarterly dividend in effect at the time of the grant. Historical employment data is used to estimate the forfeiture rate. The Company elected to use Staff Accounting Bulletin 107, simplified expected term calculation for the “Share-Based Payments” method permitted by the SEC to calculate the expected term. This method uses the vesting term of an option along with the contractual term, setting the expected life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4058" w:name="Tc_itnLfQWP7E-yPQPQODhphg_8_4"/>
      <w:bookmarkStart w:id="4059" w:name="Tc_xU9xhl_Sk0qkoaGixqaPJA_8_0"/>
      <w:bookmarkStart w:id="4060" w:name="Tc_DfBQ38WQ3kG5GIbh8Dcl-w_7_0"/>
      <w:bookmarkStart w:id="4061" w:name="Tc_yAm66CDFLUujwzsVM_CGFA_6_0"/>
      <w:bookmarkStart w:id="4062" w:name="Tc_ugeg3hTS7Ee1BpOF2a-HSA_5_0"/>
      <w:bookmarkStart w:id="4063" w:name="Tc_SkfiTuXESEGxsT6EL4e4ug_4_4"/>
      <w:bookmarkStart w:id="4064" w:name="Tc_Zl4gaTxjM06_euDkKNNQ_g_4_0"/>
      <w:bookmarkStart w:id="4065" w:name="Tc_RBqyXss5LE2fAS1OTNxsbg_3_4"/>
      <w:bookmarkStart w:id="4066" w:name="Tc_rS0b9ZAYRU-eBdGWpHJqoQ_3_2"/>
      <w:bookmarkStart w:id="4067" w:name="Tc_F44x32Im8UmyY2IgOdTvCA_3_0"/>
      <w:bookmarkStart w:id="4068" w:name="Tc_s2iS9Y-qEku1JSARo2vLEQ_2_4"/>
      <w:bookmarkStart w:id="4069" w:name="Tc_xtnIlkDD7UuRV6k64cjGoA_1_4"/>
      <w:bookmarkStart w:id="4070" w:name="Tc_SeDbFdVOVU6RiSDhca7PjQ_13_9"/>
      <w:bookmarkStart w:id="4071" w:name="Tc__zph8WEulUyL1TVLn8UIHQ_13_4"/>
      <w:bookmarkStart w:id="4072" w:name="Tc_TO6Zw2WnV0KdZHURU3UAkw_13_0"/>
      <w:bookmarkStart w:id="4073" w:name="Tc_Kf5ryGxATEGlgFfEGv-G1w_11_9"/>
      <w:bookmarkStart w:id="4074" w:name="Tc_kp8v77TPk0mshICs32f21A_11_4"/>
      <w:bookmarkStart w:id="4075" w:name="Tc_Xxsa-9X65kG9lFRUaCG6Jg_11_0"/>
      <w:bookmarkStart w:id="4076" w:name="Tc_Zxy3bwzNgE2Ik-yeV_WIUg_9_9"/>
      <w:bookmarkStart w:id="4077" w:name="Tc_-S9EROqC50Sjk8bkgpW70Q_9_4"/>
      <w:bookmarkStart w:id="4078" w:name="Tc_gWJUpF_5lU2MzCCkcWsLqw_9_0"/>
      <w:bookmarkStart w:id="4079" w:name="Tc_R2x-EZUvPU2l_wj95Mq4ag_8_10"/>
      <w:bookmarkStart w:id="4080" w:name="Tc_RqiOvLscpEGm1jNprFBLZw_8_7"/>
      <w:bookmarkStart w:id="4081" w:name="Tc_Ung5eW-2Fk2NWJvSV7L6rw_8_0"/>
      <w:bookmarkStart w:id="4082" w:name="Tc_GeKpz6nuw0CbybVJnh4znA_7_9"/>
      <w:bookmarkStart w:id="4083" w:name="Tc_E7xw0Fe2LkKhdIV4nnyQVQ_7_7"/>
      <w:bookmarkStart w:id="4084" w:name="Tc_PlVz2cmOIUShOxwYHKCw-A_7_4"/>
      <w:bookmarkStart w:id="4085" w:name="Tc_0IengyyrtkKprdSqnUeKaw_7_0"/>
      <w:bookmarkStart w:id="4086" w:name="Tc__93so4jzpEu8KpZUeQA28w_6_10"/>
      <w:bookmarkStart w:id="4087" w:name="Tc_QJMSiycfB0e9BbSOCXeALA_6_7"/>
      <w:bookmarkStart w:id="4088" w:name="Tc_udQ3v0HQT0-yDsbX0uwbEA_6_5"/>
      <w:bookmarkStart w:id="4089" w:name="Tc_tW3w9iCCNUiLsskJyhG_PQ_6_4"/>
      <w:bookmarkStart w:id="4090" w:name="Tc_3tQfJI3DgECmBQ94Iq5m6w_6_2"/>
      <w:bookmarkStart w:id="4091" w:name="Tc_rXRnq3XkvUOK8VA1hbXO_g_6_0"/>
      <w:bookmarkStart w:id="4092" w:name="Tc_5HXylrFa1UKPOVIiVDZJuQ_5_9"/>
      <w:bookmarkStart w:id="4093" w:name="Tc_mWAPhgXb-ESXGEcwkPlwRw_5_4"/>
      <w:bookmarkStart w:id="4094" w:name="Tc_DJQBicxprkq-e48gHilRig_5_0"/>
      <w:bookmarkStart w:id="4095" w:name="Tc_pflFZM3bQkCMy7l02E9ucw_4_9"/>
      <w:bookmarkStart w:id="4096" w:name="Tc_Tf9fGBk_MEei7WBTo2eGhA_4_7"/>
      <w:bookmarkStart w:id="4097" w:name="Tc_2nZQKAR3qUe5d768CzSzOg_4_4"/>
      <w:bookmarkStart w:id="4098" w:name="Tc_lN2-a1lFVkuCpIJCUAPs-A_4_2"/>
      <w:bookmarkStart w:id="4099" w:name="Tc_hEbwhvdyJE-QON5fbsjhDA_3_9"/>
      <w:bookmarkStart w:id="4100" w:name="Tc_BTHbgjBP40SrDwRnj4jY6Q_3_7"/>
      <w:bookmarkStart w:id="4101" w:name="Tc_kadAB1xtb02h6PGxVz80bQ_3_4"/>
      <w:bookmarkStart w:id="4102" w:name="Tc_jCwsjatijEaH8I1NZ9_Eew_2_7"/>
      <w:bookmarkStart w:id="4103" w:name="Tc_FXfnqRB3f0e4Bm-r0ZykPQ_2_4"/>
      <w:bookmarkStart w:id="4104" w:name="Tc_X6o9Ta1w0kCMUHAmF2r3Kg_1_7"/>
      <w:bookmarkStart w:id="4105" w:name="_bb6deb4c_5678_4e08_8548_501d3d274b43"/>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r>
        <w:rPr>
          <w:rFonts w:ascii="Times New Roman;Times;serif" w:hAnsi="Times New Roman;Times;serif"/>
          <w:sz w:val="20"/>
        </w:rPr>
        <w:t>5.5 years for one-year vesting, 5.75 years for two-year vesting, 6.0 years for three-year vesting, and 6.5 years for five-year vesting.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summary of the Company’s stock option awards during the dates indicated (shown as actual):</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82"/>
        <w:gridCol w:w="326"/>
        <w:gridCol w:w="781"/>
        <w:gridCol w:w="326"/>
        <w:gridCol w:w="336"/>
        <w:gridCol w:w="910"/>
        <w:gridCol w:w="326"/>
        <w:gridCol w:w="1741"/>
        <w:gridCol w:w="326"/>
        <w:gridCol w:w="228"/>
        <w:gridCol w:w="1123"/>
      </w:tblGrid>
      <w:tr>
        <w:trPr/>
        <w:tc>
          <w:tcPr>
            <w:tcW w:w="3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401570" cy="175260"/>
                      <wp:effectExtent l="0" t="0" r="0" b="0"/>
                      <wp:wrapNone/>
                      <wp:docPr id="565" name="Frame565"/>
                      <a:graphic xmlns:a="http://schemas.openxmlformats.org/drawingml/2006/main">
                        <a:graphicData uri="http://schemas.microsoft.com/office/word/2010/wordprocessingShape">
                          <wps:wsp>
                            <wps:cNvSpPr txBox="1"/>
                            <wps:spPr>
                              <a:xfrm>
                                <a:off x="0" y="0"/>
                                <a:ext cx="2401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66" name="Frame5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495935" cy="175260"/>
                      <wp:effectExtent l="0" t="0" r="0" b="0"/>
                      <wp:wrapNone/>
                      <wp:docPr id="567" name="Frame5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8" name="Frame5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13360" cy="175260"/>
                      <wp:effectExtent l="0" t="0" r="0" b="0"/>
                      <wp:wrapNone/>
                      <wp:docPr id="569" name="Frame569"/>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77850" cy="175260"/>
                      <wp:effectExtent l="0" t="0" r="0" b="0"/>
                      <wp:wrapNone/>
                      <wp:docPr id="570" name="Frame570"/>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71" name="Frame5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105535" cy="175260"/>
                      <wp:effectExtent l="0" t="0" r="0" b="0"/>
                      <wp:wrapNone/>
                      <wp:docPr id="572" name="Frame572"/>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3" name="Frame5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144780" cy="175260"/>
                      <wp:effectExtent l="0" t="0" r="0" b="0"/>
                      <wp:wrapNone/>
                      <wp:docPr id="574" name="Frame57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713105" cy="175260"/>
                      <wp:effectExtent l="0" t="0" r="0" b="0"/>
                      <wp:wrapNone/>
                      <wp:docPr id="575" name="Frame575"/>
                      <a:graphic xmlns:a="http://schemas.openxmlformats.org/drawingml/2006/main">
                        <a:graphicData uri="http://schemas.microsoft.com/office/word/2010/wordprocessingShape">
                          <wps:wsp>
                            <wps:cNvSpPr txBox="1"/>
                            <wps:spPr>
                              <a:xfrm>
                                <a:off x="0" y="0"/>
                                <a:ext cx="713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6"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Weighted-Average</w:t>
            </w:r>
          </w:p>
        </w:tc>
        <w:tc>
          <w:tcPr>
            <w:tcW w:w="32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center"/>
              <w:rPr/>
            </w:pPr>
            <w:r>
              <w:rPr/>
              <w:t>​</w:t>
            </w:r>
          </w:p>
        </w:tc>
      </w:tr>
      <w:tr>
        <w:trPr/>
        <w:tc>
          <w:tcPr>
            <w:tcW w:w="3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vAlign w:val="center"/>
          </w:tcPr>
          <w:p>
            <w:pPr>
              <w:pStyle w:val="TableContents"/>
              <w:bidi w:val="0"/>
              <w:spacing w:before="0" w:after="0"/>
              <w:ind w:left="0" w:right="0" w:hanging="0"/>
              <w:jc w:val="center"/>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1123" w:type="dxa"/>
            <w:tcBorders/>
            <w:vAlign w:val="center"/>
          </w:tcPr>
          <w:p>
            <w:pPr>
              <w:pStyle w:val="TableContents"/>
              <w:bidi w:val="0"/>
              <w:spacing w:before="0" w:after="0"/>
              <w:ind w:left="0" w:right="0" w:hanging="0"/>
              <w:jc w:val="center"/>
              <w:rPr/>
            </w:pPr>
            <w:r>
              <w:rPr/>
              <w:t>​</w:t>
            </w:r>
          </w:p>
        </w:tc>
      </w:tr>
      <w:tr>
        <w:trPr/>
        <w:tc>
          <w:tcPr>
            <w:tcW w:w="3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center"/>
              <w:rPr/>
            </w:pPr>
            <w:r>
              <w:rPr/>
              <w:t>​</w:t>
            </w:r>
          </w:p>
        </w:tc>
        <w:tc>
          <w:tcPr>
            <w:tcW w:w="17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Contractual Term In</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3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Shares </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0"/>
              <w:ind w:left="0" w:right="0" w:hanging="0"/>
              <w:jc w:val="center"/>
              <w:rPr/>
            </w:pPr>
            <w:r>
              <w:rPr/>
              <w:t>​</w:t>
            </w:r>
          </w:p>
        </w:tc>
        <w:tc>
          <w:tcPr>
            <w:tcW w:w="17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vAlign w:val="center"/>
          </w:tcPr>
          <w:p>
            <w:pPr>
              <w:pStyle w:val="TableContents"/>
              <w:bidi w:val="0"/>
              <w:spacing w:before="0" w:after="0"/>
              <w:ind w:left="0" w:right="0" w:hanging="0"/>
              <w:jc w:val="left"/>
              <w:rPr/>
            </w:pPr>
            <w:r>
              <w:rPr/>
              <w:t>​</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647,832</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w:t>
            </w:r>
          </w:p>
        </w:tc>
        <w:tc>
          <w:tcPr>
            <w:tcW w:w="326" w:type="dxa"/>
            <w:tcBorders/>
            <w:shd w:fill="CCEEFF" w:val="clear"/>
            <w:vAlign w:val="center"/>
          </w:tcPr>
          <w:p>
            <w:pPr>
              <w:pStyle w:val="TableContents"/>
              <w:bidi w:val="0"/>
              <w:spacing w:before="0" w:after="0"/>
              <w:ind w:left="0" w:right="0" w:hanging="0"/>
              <w:jc w:val="left"/>
              <w:rPr/>
            </w:pPr>
            <w:r>
              <w:rPr/>
              <w:t> </w:t>
            </w:r>
          </w:p>
        </w:tc>
        <w:tc>
          <w:tcPr>
            <w:tcW w:w="1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4,627,255</w:t>
            </w:r>
          </w:p>
        </w:tc>
      </w:tr>
      <w:tr>
        <w:trPr/>
        <w:tc>
          <w:tcPr>
            <w:tcW w:w="3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right"/>
              <w:rPr/>
            </w:pPr>
            <w:r>
              <w:rPr/>
              <w:t>—</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6,225</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26" w:type="dxa"/>
            <w:tcBorders/>
            <w:shd w:fill="CCEEFF" w:val="clear"/>
            <w:vAlign w:val="center"/>
          </w:tcPr>
          <w:p>
            <w:pPr>
              <w:pStyle w:val="TableContents"/>
              <w:bidi w:val="0"/>
              <w:spacing w:before="0" w:after="0"/>
              <w:ind w:left="0" w:right="0" w:hanging="0"/>
              <w:jc w:val="left"/>
              <w:rPr/>
            </w:pPr>
            <w:r>
              <w:rPr/>
              <w:t> </w:t>
            </w:r>
          </w:p>
        </w:tc>
        <w:tc>
          <w:tcPr>
            <w:tcW w:w="17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130,192</w:t>
            </w:r>
          </w:p>
        </w:tc>
      </w:tr>
      <w:tr>
        <w:trPr/>
        <w:tc>
          <w:tcPr>
            <w:tcW w:w="37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forfeited or expired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23,295</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34.26</w:t>
            </w:r>
          </w:p>
        </w:tc>
        <w:tc>
          <w:tcPr>
            <w:tcW w:w="32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1123" w:type="dxa"/>
            <w:tcBorders/>
            <w:vAlign w:val="center"/>
          </w:tcPr>
          <w:p>
            <w:pPr>
              <w:pStyle w:val="TableContents"/>
              <w:bidi w:val="0"/>
              <w:spacing w:before="0" w:after="0"/>
              <w:ind w:left="0" w:right="0" w:hanging="0"/>
              <w:jc w:val="right"/>
              <w:rPr/>
            </w:pPr>
            <w:r>
              <w:rPr/>
              <w:t>—</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618,312</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w:t>
            </w:r>
          </w:p>
        </w:tc>
        <w:tc>
          <w:tcPr>
            <w:tcW w:w="326" w:type="dxa"/>
            <w:tcBorders/>
            <w:shd w:fill="CCEEFF" w:val="clear"/>
            <w:vAlign w:val="center"/>
          </w:tcPr>
          <w:p>
            <w:pPr>
              <w:pStyle w:val="TableContents"/>
              <w:bidi w:val="0"/>
              <w:spacing w:before="0" w:after="0"/>
              <w:ind w:left="0" w:right="0" w:hanging="0"/>
              <w:jc w:val="left"/>
              <w:rPr/>
            </w:pPr>
            <w:r>
              <w:rPr/>
              <w:t> </w:t>
            </w:r>
          </w:p>
        </w:tc>
        <w:tc>
          <w:tcPr>
            <w:tcW w:w="1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2,796,274</w:t>
            </w:r>
          </w:p>
        </w:tc>
      </w:tr>
      <w:tr>
        <w:trPr/>
        <w:tc>
          <w:tcPr>
            <w:tcW w:w="3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right"/>
              <w:rPr/>
            </w:pPr>
            <w:r>
              <w:rPr/>
              <w:t>​</w:t>
            </w:r>
          </w:p>
        </w:tc>
      </w:tr>
      <w:tr>
        <w:trPr/>
        <w:tc>
          <w:tcPr>
            <w:tcW w:w="378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to vest, assuming a 0.31% annual forfeiture rate at June 30, 2023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610,295</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26.55</w:t>
            </w:r>
          </w:p>
        </w:tc>
        <w:tc>
          <w:tcPr>
            <w:tcW w:w="326" w:type="dxa"/>
            <w:tcBorders/>
            <w:shd w:fill="CCEEFF" w:val="clear"/>
            <w:vAlign w:val="center"/>
          </w:tcPr>
          <w:p>
            <w:pPr>
              <w:pStyle w:val="TableContents"/>
              <w:bidi w:val="0"/>
              <w:spacing w:before="0" w:after="0"/>
              <w:ind w:left="0" w:right="0" w:hanging="0"/>
              <w:jc w:val="left"/>
              <w:rPr/>
            </w:pPr>
            <w:r>
              <w:rPr/>
              <w:t> </w:t>
            </w:r>
          </w:p>
        </w:tc>
        <w:tc>
          <w:tcPr>
            <w:tcW w:w="1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2,770,086</w:t>
            </w:r>
          </w:p>
        </w:tc>
      </w:tr>
      <w:tr>
        <w:trPr/>
        <w:tc>
          <w:tcPr>
            <w:tcW w:w="378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6"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1123" w:type="dxa"/>
            <w:tcBorders/>
            <w:vAlign w:val="center"/>
          </w:tcPr>
          <w:p>
            <w:pPr>
              <w:pStyle w:val="TableContents"/>
              <w:bidi w:val="0"/>
              <w:spacing w:before="0" w:after="0"/>
              <w:ind w:left="0" w:right="0" w:hanging="0"/>
              <w:jc w:val="right"/>
              <w:rPr/>
            </w:pPr>
            <w:r>
              <w:rPr/>
              <w:t>​</w:t>
            </w:r>
          </w:p>
        </w:tc>
      </w:tr>
      <w:tr>
        <w:trPr/>
        <w:tc>
          <w:tcPr>
            <w:tcW w:w="37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302,096</w:t>
            </w:r>
          </w:p>
        </w:tc>
        <w:tc>
          <w:tcPr>
            <w:tcW w:w="326" w:type="dxa"/>
            <w:tcBorders/>
            <w:shd w:fill="CCEEFF" w:val="clear"/>
            <w:vAlign w:val="center"/>
          </w:tcPr>
          <w:p>
            <w:pPr>
              <w:pStyle w:val="TableContents"/>
              <w:bidi w:val="0"/>
              <w:spacing w:before="0" w:after="0"/>
              <w:ind w:left="0" w:right="0" w:hanging="0"/>
              <w:jc w:val="left"/>
              <w:rPr/>
            </w:pPr>
            <w:r>
              <w:rPr/>
              <w:t>​</w:t>
            </w:r>
          </w:p>
        </w:tc>
        <w:tc>
          <w:tcPr>
            <w:tcW w:w="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24.18</w:t>
            </w:r>
          </w:p>
        </w:tc>
        <w:tc>
          <w:tcPr>
            <w:tcW w:w="326" w:type="dxa"/>
            <w:tcBorders/>
            <w:shd w:fill="CCEEFF" w:val="clear"/>
            <w:vAlign w:val="center"/>
          </w:tcPr>
          <w:p>
            <w:pPr>
              <w:pStyle w:val="TableContents"/>
              <w:bidi w:val="0"/>
              <w:spacing w:before="0" w:after="0"/>
              <w:ind w:left="0" w:right="0" w:hanging="0"/>
              <w:jc w:val="left"/>
              <w:rPr/>
            </w:pPr>
            <w:r>
              <w:rPr/>
              <w:t> </w:t>
            </w:r>
          </w:p>
        </w:tc>
        <w:tc>
          <w:tcPr>
            <w:tcW w:w="17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1,924,864</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w:t>
      </w:r>
    </w:p>
    <w:tbl>
      <w:tblPr>
        <w:tblW w:w="9242" w:type="dxa"/>
        <w:jc w:val="left"/>
        <w:tblInd w:w="0" w:type="dxa"/>
        <w:tblLayout w:type="fixed"/>
        <w:tblCellMar>
          <w:top w:w="0" w:type="dxa"/>
          <w:left w:w="0" w:type="dxa"/>
          <w:bottom w:w="0" w:type="dxa"/>
          <w:right w:w="0" w:type="dxa"/>
        </w:tblCellMar>
      </w:tblPr>
      <w:tblGrid>
        <w:gridCol w:w="346"/>
        <w:gridCol w:w="88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Forfeiture rate has been calculated and estimated to assume a forfeiture of 3.1%</w:t>
            </w:r>
            <w:r>
              <w:rPr>
                <w:caps w:val="false"/>
                <w:smallCaps w:val="false"/>
              </w:rPr>
              <w:t xml:space="preserve"> </w:t>
            </w:r>
            <w:r>
              <w:rPr>
                <w:rFonts w:ascii="Times New Roman;Times;serif" w:hAnsi="Times New Roman;Times;serif"/>
                <w:b w:val="false"/>
                <w:i w:val="false"/>
                <w:caps w:val="false"/>
                <w:smallCaps w:val="false"/>
                <w:sz w:val="20"/>
              </w:rPr>
              <w:t>of the options over 10 years.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June 30, 2023, there was $1.4 million of total unrecognized forfeiture adjusted compensation cost related to nonvested stock options granted under the 2018 plan. The cost is expected to be recognized over the remaining weighted-average vesting period of 3.0 years.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Restricted Stock Awards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RSAs’ fair value is equal to the value of the market price of FS Bancorp’s common stock on the grant date and compensation expense is recognized over the vesting period of the awards based on the fair value of the restricted stock. Shares for the 2018 Plan generally vest over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or three-year period for independent directors or over a </w:t>
      </w:r>
      <w:r>
        <w:rPr>
          <w:rFonts w:ascii="Times New Roman;Times;serif" w:hAnsi="Times New Roman;Times;serif"/>
          <w:b w:val="false"/>
          <w:i w:val="false"/>
          <w:caps w:val="false"/>
          <w:smallCaps w:val="false"/>
          <w:sz w:val="20"/>
        </w:rPr>
        <w:t>two</w:t>
      </w:r>
      <w:r>
        <w:rPr>
          <w:rFonts w:ascii="Times New Roman;Times;serif" w:hAnsi="Times New Roman;Times;serif"/>
          <w:sz w:val="20"/>
        </w:rPr>
        <w:t>- or five-year period for employees and officers beginning on the grant date. Any unvested RSAs will expire after vesting or sooner in the event of the award recipient’s termination of service with the Company or the Bank.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a summary of the Company’s nonvested awards during the dates indicated (shown as actual):</w:t>
      </w:r>
    </w:p>
    <w:p>
      <w:pPr>
        <w:pStyle w:val="TextBody"/>
        <w:bidi w:val="0"/>
        <w:spacing w:before="0" w:after="200"/>
        <w:ind w:left="0" w:right="0" w:hanging="0"/>
        <w:jc w:val="both"/>
        <w:rPr/>
      </w:pPr>
      <w:r>
        <w:rPr/>
        <w:t>​</w:t>
      </w:r>
    </w:p>
    <w:tbl>
      <w:tblPr>
        <w:tblW w:w="5875" w:type="dxa"/>
        <w:jc w:val="left"/>
        <w:tblInd w:w="0" w:type="dxa"/>
        <w:tblLayout w:type="fixed"/>
        <w:tblCellMar>
          <w:top w:w="0" w:type="dxa"/>
          <w:left w:w="0" w:type="dxa"/>
          <w:bottom w:w="0" w:type="dxa"/>
          <w:right w:w="0" w:type="dxa"/>
        </w:tblCellMar>
      </w:tblPr>
      <w:tblGrid>
        <w:gridCol w:w="2521"/>
        <w:gridCol w:w="326"/>
        <w:gridCol w:w="781"/>
        <w:gridCol w:w="326"/>
        <w:gridCol w:w="455"/>
        <w:gridCol w:w="1466"/>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600835" cy="175260"/>
                      <wp:effectExtent l="0" t="0" r="0" b="0"/>
                      <wp:wrapNone/>
                      <wp:docPr id="576" name="Frame576"/>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7"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495935" cy="175260"/>
                      <wp:effectExtent l="0" t="0" r="0" b="0"/>
                      <wp:wrapNone/>
                      <wp:docPr id="578" name="Frame5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07010" cy="175260"/>
                      <wp:effectExtent l="0" t="0" r="0" b="0"/>
                      <wp:wrapNone/>
                      <wp:docPr id="579" name="Frame5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88925" cy="175260"/>
                      <wp:effectExtent l="0" t="0" r="0" b="0"/>
                      <wp:wrapNone/>
                      <wp:docPr id="580" name="Frame580"/>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930910" cy="175260"/>
                      <wp:effectExtent l="0" t="0" r="0" b="0"/>
                      <wp:wrapNone/>
                      <wp:docPr id="581" name="Frame581"/>
                      <a:graphic xmlns:a="http://schemas.openxmlformats.org/drawingml/2006/main">
                        <a:graphicData uri="http://schemas.microsoft.com/office/word/2010/wordprocessingShape">
                          <wps:wsp>
                            <wps:cNvSpPr txBox="1"/>
                            <wps:spPr>
                              <a:xfrm>
                                <a:off x="0" y="0"/>
                                <a:ext cx="93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Weighted-Average</w: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2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Grant-Date Fair Value</w:t>
            </w:r>
          </w:p>
        </w:tc>
      </w:tr>
      <w:tr>
        <w:trPr/>
        <w:tc>
          <w:tcPr>
            <w:tcW w:w="25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Nonvested Shares</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Shares</w:t>
            </w:r>
          </w:p>
        </w:tc>
        <w:tc>
          <w:tcPr>
            <w:tcW w:w="326" w:type="dxa"/>
            <w:tcBorders/>
            <w:vAlign w:val="center"/>
          </w:tcPr>
          <w:p>
            <w:pPr>
              <w:pStyle w:val="TableContents"/>
              <w:bidi w:val="0"/>
              <w:spacing w:before="0" w:after="0"/>
              <w:ind w:left="0" w:right="0" w:hanging="0"/>
              <w:jc w:val="left"/>
              <w:rPr/>
            </w:pPr>
            <w:r>
              <w:rPr/>
              <w:t>​</w:t>
            </w:r>
          </w:p>
        </w:tc>
        <w:tc>
          <w:tcPr>
            <w:tcW w:w="1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 Share</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January 1,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118,530</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28.85</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w:t>
            </w:r>
          </w:p>
        </w:tc>
        <w:tc>
          <w:tcPr>
            <w:tcW w:w="1466" w:type="dxa"/>
            <w:tcBorders/>
            <w:vAlign w:val="center"/>
          </w:tcPr>
          <w:p>
            <w:pPr>
              <w:pStyle w:val="TableContents"/>
              <w:bidi w:val="0"/>
              <w:spacing w:before="0" w:after="0"/>
              <w:ind w:left="0" w:right="0" w:hanging="0"/>
              <w:jc w:val="righ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vested</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pPr>
            <w:r>
              <w:rPr/>
              <w:t>​</w:t>
            </w:r>
          </w:p>
        </w:tc>
        <w:tc>
          <w:tcPr>
            <w:tcW w:w="1466" w:type="dxa"/>
            <w:tcBorders/>
            <w:shd w:fill="CCEEFF" w:val="clear"/>
            <w:vAlign w:val="center"/>
          </w:tcPr>
          <w:p>
            <w:pPr>
              <w:pStyle w:val="TableContents"/>
              <w:bidi w:val="0"/>
              <w:spacing w:before="0" w:after="0"/>
              <w:ind w:left="0" w:right="0" w:hanging="0"/>
              <w:jc w:val="right"/>
              <w:rPr/>
            </w:pPr>
            <w:r>
              <w:rPr/>
              <w:t>—</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forfeited or expired</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4,812</w:t>
            </w:r>
          </w:p>
        </w:tc>
        <w:tc>
          <w:tcPr>
            <w:tcW w:w="326" w:type="dxa"/>
            <w:tcBorders/>
            <w:vAlign w:val="center"/>
          </w:tcPr>
          <w:p>
            <w:pPr>
              <w:pStyle w:val="TableContents"/>
              <w:bidi w:val="0"/>
              <w:spacing w:before="0" w:after="0"/>
              <w:ind w:left="0" w:right="0" w:hanging="0"/>
              <w:jc w:val="left"/>
              <w:rPr/>
            </w:pPr>
            <w:r>
              <w:rPr/>
              <w:t>​</w:t>
            </w:r>
          </w:p>
        </w:tc>
        <w:tc>
          <w:tcPr>
            <w:tcW w:w="455" w:type="dxa"/>
            <w:tcBorders/>
            <w:vAlign w:val="center"/>
          </w:tcPr>
          <w:p>
            <w:pPr>
              <w:pStyle w:val="TableContents"/>
              <w:bidi w:val="0"/>
              <w:spacing w:before="0" w:after="0"/>
              <w:ind w:left="0" w:right="0" w:hanging="0"/>
              <w:jc w:val="left"/>
              <w:rPr/>
            </w:pPr>
            <w:r>
              <w:rPr/>
              <w:t> </w:t>
            </w:r>
          </w:p>
        </w:tc>
        <w:tc>
          <w:tcPr>
            <w:tcW w:w="1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33.76</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112,265</w:t>
            </w:r>
          </w:p>
        </w:tc>
        <w:tc>
          <w:tcPr>
            <w:tcW w:w="326" w:type="dxa"/>
            <w:tcBorders/>
            <w:shd w:fill="CCEEFF" w:val="clear"/>
            <w:vAlign w:val="center"/>
          </w:tcPr>
          <w:p>
            <w:pPr>
              <w:pStyle w:val="TableContents"/>
              <w:bidi w:val="0"/>
              <w:spacing w:before="0" w:after="0"/>
              <w:ind w:left="0" w:right="0" w:hanging="0"/>
              <w:jc w:val="left"/>
              <w:rPr/>
            </w:pPr>
            <w:r>
              <w:rPr/>
              <w:t>​</w:t>
            </w:r>
          </w:p>
        </w:tc>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28.64</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At June 30, 2023, there was $2.2 million of total unrecognized forfeiture adjusted compensation cost related to nonvested shares granted under the 2018 Plan as RSAs. The cost is expected to be recognized over the remaining weighted-average vesting period of 3.0 years.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14 – REGULATORY CAPITAL</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direct material effect on the Company’s consolidated financial statements.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4106" w:name="Tc_TqqipvmeYEG5U8eGznGeZw_14_21"/>
      <w:bookmarkStart w:id="4107" w:name="Tc_1zzQWuO2_UyitWcWh1qVcg_14_17"/>
      <w:bookmarkStart w:id="4108" w:name="Tc_q4Hi0o4e_E6LD1pV4dsAeg_14_16"/>
      <w:bookmarkStart w:id="4109" w:name="Tc_1FNT9TLDfkW5u_T_VYaA6Q_14_12"/>
      <w:bookmarkStart w:id="4110" w:name="Tc_JoeaBWTuX02jz4pY3Zi2bw_14_11"/>
      <w:bookmarkStart w:id="4111" w:name="Tc_ljAF6pptYk2JNLhrJ9H2gQ_14_7"/>
      <w:bookmarkStart w:id="4112" w:name="Tc_jac9wih_hUy1gR1JbLpL2Q_14_6"/>
      <w:bookmarkStart w:id="4113" w:name="Tc_jPNpjR_4hEK4X8gUkGE_pA_14_2"/>
      <w:bookmarkStart w:id="4114" w:name="Tc_lGuFneTWcU2SUZXtvOzHtg_14_0"/>
      <w:bookmarkStart w:id="4115" w:name="Tc_6Ra1e1ADWE2CRvwM1jRvUg_13_0"/>
      <w:bookmarkStart w:id="4116" w:name="Tc_MS6OkMVqskqL11N7LgRUSg_12_21"/>
      <w:bookmarkStart w:id="4117" w:name="Tc_LB2r49YJLUCLZm1VQ7ev_Q_12_17"/>
      <w:bookmarkStart w:id="4118" w:name="Tc_teRdZwvtXEaYillhDocP4g_12_15"/>
      <w:bookmarkStart w:id="4119" w:name="Tc_D0dJBUUWpEqnAZK2Snl1ow_12_13"/>
      <w:bookmarkStart w:id="4120" w:name="Tc_r7oYuM3nHka-yoyBwtJzlA_12_12"/>
      <w:bookmarkStart w:id="4121" w:name="Tc_v8732shvIEix-ZawtQ9O1w_12_11"/>
      <w:bookmarkStart w:id="4122" w:name="Tc_XogyNv4yv02aBVwuKksliw_12_7"/>
      <w:bookmarkStart w:id="4123" w:name="Tc_A24PxIdlPkSOCAAaJzbHtA_12_6"/>
      <w:bookmarkStart w:id="4124" w:name="Tc_TjddbMJ-zUGDY9QvkEmtjA_12_2"/>
      <w:bookmarkStart w:id="4125" w:name="Tc_DqiCJ1ZNoUuVSU4QxSemKQ_12_0"/>
      <w:bookmarkStart w:id="4126" w:name="Tc_MslgYd9v-kigzrxPtI8S5Q_11_0"/>
      <w:bookmarkStart w:id="4127" w:name="Tc_VuDs0GrrCUyVA1IwbWWUNg_10_21"/>
      <w:bookmarkStart w:id="4128" w:name="Tc_MtYQZCmKe0OLbeoJ0CC1RQ_10_17"/>
      <w:bookmarkStart w:id="4129" w:name="Tc_r4iysqk5FUWMWNzx1auE7g_10_16"/>
      <w:bookmarkStart w:id="4130" w:name="Tc_tJLCfV5ZLEK4WHAqBAPx7A_10_12"/>
      <w:bookmarkStart w:id="4131" w:name="Tc_AqZ4JFAx7UimJvfteBPrPw_10_11"/>
      <w:bookmarkStart w:id="4132" w:name="Tc_GnvIYuLEzEGjFi2hgUctPA_10_7"/>
      <w:bookmarkStart w:id="4133" w:name="Tc_ShTIFfgu90C_Pwd1fnsvJA_10_6"/>
      <w:bookmarkStart w:id="4134" w:name="Tc_mUr3dLkmGEiLKwbBcGlt6w_10_2"/>
      <w:bookmarkStart w:id="4135" w:name="Tc_cPcaqqGcTEyQFH7XjAMpEQ_10_0"/>
      <w:bookmarkStart w:id="4136" w:name="Tc_0ctq688tbkCj9NOALEIFzg_9_0"/>
      <w:bookmarkStart w:id="4137" w:name="Tc_5gKlQtA33kevaUjaQ7wz5g_8_21"/>
      <w:bookmarkStart w:id="4138" w:name="Tc_LgAW6CLrwU2eNshTnky6KA_8_17"/>
      <w:bookmarkStart w:id="4139" w:name="Tc_4j350aa4A0KgJmsSYT7NRQ_8_16"/>
      <w:bookmarkStart w:id="4140" w:name="Tc_6K42t6RUBEy4pd5D6TC_lA_8_12"/>
      <w:bookmarkStart w:id="4141" w:name="Tc_HDpAYMnEHkSMXFGfPcRViQ_8_11"/>
      <w:bookmarkStart w:id="4142" w:name="Tc_xdVxwqqIGEi0AXRAY7_-DQ_8_7"/>
      <w:bookmarkStart w:id="4143" w:name="Tc_pgM3yuyfUkijDULNGIRudA_8_6"/>
      <w:bookmarkStart w:id="4144" w:name="Tc_Q0uTCS1vjUa1N09loBNL3w_8_2"/>
      <w:bookmarkStart w:id="4145" w:name="Tc_7FZXJRK590KKgJW4sQLI2A_8_0"/>
      <w:bookmarkStart w:id="4146" w:name="Tc_ULJQrgy5x0S4xwT8lNEdog_7_0"/>
      <w:bookmarkStart w:id="4147" w:name="Tc_xEVAPPKUIkWXks14_PjHmQ_6_0"/>
      <w:bookmarkStart w:id="4148" w:name="Tc_fKeS41YN6EOx19wfPQAhLA_5_20"/>
      <w:bookmarkStart w:id="4149" w:name="Tc_T82XP3ly8kyOXVgqNmYKFA_5_17"/>
      <w:bookmarkStart w:id="4150" w:name="Tc_KjWtNLOu1kODMmLUI8Meqg_5_15"/>
      <w:bookmarkStart w:id="4151" w:name="Tc_aV-5xfmOzEWaWMOJ7MsCIg_5_12"/>
      <w:bookmarkStart w:id="4152" w:name="Tc__kwymX926U-IRDO7-ZY6gQ_5_10"/>
      <w:bookmarkStart w:id="4153" w:name="Tc_75Fy-YmgnUqKmYnyz8DSWQ_5_7"/>
      <w:bookmarkStart w:id="4154" w:name="Tc_44nIIeug3kad8kr1w7XIJg_5_5"/>
      <w:bookmarkStart w:id="4155" w:name="Tc_a4mgOIKYuE2hgetCF8XJXg_5_2"/>
      <w:bookmarkStart w:id="4156" w:name="Tc_5_Tg_aMitk6m-pbfUtCXSw_5_0"/>
      <w:bookmarkStart w:id="4157" w:name="Tc_XDrHrezaWUqamq3EFXsSnQ_4_17"/>
      <w:bookmarkStart w:id="4158" w:name="Tc_khtmegAIEEyyIOHQKIUx2w_4_12"/>
      <w:bookmarkStart w:id="4159" w:name="Tc_l3wOfBzXrk-4tI81Fd044w_4_7"/>
      <w:bookmarkStart w:id="4160" w:name="Tc_vlS45CVwTUegJPSmv9Z_2w_4_2"/>
      <w:bookmarkStart w:id="4161" w:name="Tc_eztmbV2UNES5VrfxJYzAEA_3_17"/>
      <w:bookmarkStart w:id="4162" w:name="Tc_LLrCq3RDnkOgJ6F5S6xhrQ_3_12"/>
      <w:bookmarkStart w:id="4163" w:name="Tc_JzEGPc2TC0qpl2_GUEI0dA_3_7"/>
      <w:bookmarkStart w:id="4164" w:name="Tc_8cdMOQvHcUOn-JE9amdRUg_2_17"/>
      <w:bookmarkStart w:id="4165" w:name="Tc_3cuGLD8iv0OuUhOOk4pz5g_1_17"/>
      <w:bookmarkStart w:id="4166" w:name="_88a6ebed_4849_4118_8626_3a4407b320a8"/>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r>
        <w:rPr>
          <w:rFonts w:ascii="Times New Roman;Times;serif" w:hAnsi="Times New Roman;Times;serif"/>
          <w:sz w:val="20"/>
        </w:rPr>
        <w:t>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the risk-based capital adequacy framework, quantitative measures established by regulation to ensure capital adequacy require the Bank to maintain minimum amounts and ratios (set forth in the table below) of Tier 1 capital (as defined in the regulations) to total average assets (as defined), and minimum ratios of Tier 1 total capital (as defined) and common equity Tier 1 (“CET 1”) capital to risk-weighted assets (as defined).</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Bank must maintain minimum total risk-based, Tier 1 risk-based, Tier 1 leverage, and CET 1 capital ratios as set forth in the table below to be categorized as well capitalized. At June 30, 2023, the Bank was categorized as well capitalized under applicable regulatory requirements. There are no conditions or events since that notification that management believes have changed the Bank’s category. Management believes, at June 30, 2023, that the Bank met all capital adequacy requirements.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compares the Bank’s actual capital amounts and ratios at June 30, 2023 to their minimum regulatory capital requirements and well capitalized regulatory capital at that date:</w:t>
      </w:r>
    </w:p>
    <w:p>
      <w:pPr>
        <w:pStyle w:val="TextBody"/>
        <w:bidi w:val="0"/>
        <w:spacing w:before="0" w:after="0"/>
        <w:ind w:left="0" w:right="0" w:hanging="0"/>
        <w:jc w:val="both"/>
        <w:rPr/>
      </w:pPr>
      <w:r>
        <w:rPr/>
        <w:t>​</w:t>
      </w:r>
    </w:p>
    <w:tbl>
      <w:tblPr>
        <w:tblW w:w="10229" w:type="dxa"/>
        <w:jc w:val="left"/>
        <w:tblInd w:w="0" w:type="dxa"/>
        <w:tblLayout w:type="fixed"/>
        <w:tblCellMar>
          <w:top w:w="0" w:type="dxa"/>
          <w:left w:w="0" w:type="dxa"/>
          <w:bottom w:w="0" w:type="dxa"/>
          <w:right w:w="0" w:type="dxa"/>
        </w:tblCellMar>
      </w:tblPr>
      <w:tblGrid>
        <w:gridCol w:w="1261"/>
        <w:gridCol w:w="326"/>
        <w:gridCol w:w="196"/>
        <w:gridCol w:w="691"/>
        <w:gridCol w:w="326"/>
        <w:gridCol w:w="556"/>
        <w:gridCol w:w="346"/>
        <w:gridCol w:w="196"/>
        <w:gridCol w:w="691"/>
        <w:gridCol w:w="326"/>
        <w:gridCol w:w="556"/>
        <w:gridCol w:w="346"/>
        <w:gridCol w:w="196"/>
        <w:gridCol w:w="691"/>
        <w:gridCol w:w="326"/>
        <w:gridCol w:w="556"/>
        <w:gridCol w:w="346"/>
        <w:gridCol w:w="221"/>
        <w:gridCol w:w="779"/>
        <w:gridCol w:w="367"/>
        <w:gridCol w:w="629"/>
        <w:gridCol w:w="301"/>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800735" cy="175260"/>
                      <wp:effectExtent l="0" t="0" r="0" b="0"/>
                      <wp:wrapNone/>
                      <wp:docPr id="582" name="Frame58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07010" cy="175260"/>
                      <wp:effectExtent l="0" t="0" r="0" b="0"/>
                      <wp:wrapNone/>
                      <wp:docPr id="583" name="Frame5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24460" cy="175260"/>
                      <wp:effectExtent l="0" t="0" r="0" b="0"/>
                      <wp:wrapNone/>
                      <wp:docPr id="584" name="Frame5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438785" cy="175260"/>
                      <wp:effectExtent l="0" t="0" r="0" b="0"/>
                      <wp:wrapNone/>
                      <wp:docPr id="585" name="Frame5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207010" cy="175260"/>
                      <wp:effectExtent l="0" t="0" r="0" b="0"/>
                      <wp:wrapNone/>
                      <wp:docPr id="586" name="Frame5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53060" cy="175260"/>
                      <wp:effectExtent l="0" t="0" r="0" b="0"/>
                      <wp:wrapNone/>
                      <wp:docPr id="587" name="Frame58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219710" cy="175260"/>
                      <wp:effectExtent l="0" t="0" r="0" b="0"/>
                      <wp:wrapNone/>
                      <wp:docPr id="588" name="Frame5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124460" cy="175260"/>
                      <wp:effectExtent l="0" t="0" r="0" b="0"/>
                      <wp:wrapNone/>
                      <wp:docPr id="589" name="Frame5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38785" cy="175260"/>
                      <wp:effectExtent l="0" t="0" r="0" b="0"/>
                      <wp:wrapNone/>
                      <wp:docPr id="590" name="Frame5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91"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353060" cy="175260"/>
                      <wp:effectExtent l="0" t="0" r="0" b="0"/>
                      <wp:wrapNone/>
                      <wp:docPr id="592" name="Frame59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19710" cy="175260"/>
                      <wp:effectExtent l="0" t="0" r="0" b="0"/>
                      <wp:wrapNone/>
                      <wp:docPr id="593" name="Frame5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124460" cy="175260"/>
                      <wp:effectExtent l="0" t="0" r="0" b="0"/>
                      <wp:wrapNone/>
                      <wp:docPr id="594" name="Frame5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438785" cy="175260"/>
                      <wp:effectExtent l="0" t="0" r="0" b="0"/>
                      <wp:wrapNone/>
                      <wp:docPr id="595" name="Frame5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96" name="Frame5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353060" cy="175260"/>
                      <wp:effectExtent l="0" t="0" r="0" b="0"/>
                      <wp:wrapNone/>
                      <wp:docPr id="597" name="Frame597"/>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19710" cy="175260"/>
                      <wp:effectExtent l="0" t="0" r="0" b="0"/>
                      <wp:wrapNone/>
                      <wp:docPr id="598" name="Frame5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40335" cy="175260"/>
                      <wp:effectExtent l="0" t="0" r="0" b="0"/>
                      <wp:wrapNone/>
                      <wp:docPr id="599" name="Frame599"/>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94665" cy="175260"/>
                      <wp:effectExtent l="0" t="0" r="0" b="0"/>
                      <wp:wrapNone/>
                      <wp:docPr id="600" name="Frame600"/>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33045" cy="175260"/>
                      <wp:effectExtent l="0" t="0" r="0" b="0"/>
                      <wp:wrapNone/>
                      <wp:docPr id="601" name="Frame60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399415" cy="175260"/>
                      <wp:effectExtent l="0" t="0" r="0" b="0"/>
                      <wp:wrapNone/>
                      <wp:docPr id="602" name="Frame602"/>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191135" cy="175260"/>
                      <wp:effectExtent l="0" t="0" r="0" b="0"/>
                      <wp:wrapNone/>
                      <wp:docPr id="603" name="Frame60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96"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 be Well Capitalized</w:t>
            </w:r>
          </w:p>
        </w:tc>
        <w:tc>
          <w:tcPr>
            <w:tcW w:w="301"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996"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Under Prompt</w:t>
            </w:r>
          </w:p>
        </w:tc>
        <w:tc>
          <w:tcPr>
            <w:tcW w:w="301"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769"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Capital</w:t>
            </w:r>
          </w:p>
        </w:tc>
        <w:tc>
          <w:tcPr>
            <w:tcW w:w="346" w:type="dxa"/>
            <w:tcBorders/>
            <w:vAlign w:val="center"/>
          </w:tcPr>
          <w:p>
            <w:pPr>
              <w:pStyle w:val="TableContents"/>
              <w:bidi w:val="0"/>
              <w:spacing w:before="0" w:after="0"/>
              <w:ind w:left="0" w:right="0" w:hanging="0"/>
              <w:jc w:val="left"/>
              <w:rPr/>
            </w:pPr>
            <w:r>
              <w:rPr/>
              <w:t>​</w:t>
            </w:r>
          </w:p>
        </w:tc>
        <w:tc>
          <w:tcPr>
            <w:tcW w:w="1769"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Capital Adequacy</w:t>
            </w:r>
          </w:p>
        </w:tc>
        <w:tc>
          <w:tcPr>
            <w:tcW w:w="346" w:type="dxa"/>
            <w:tcBorders/>
            <w:vAlign w:val="center"/>
          </w:tcPr>
          <w:p>
            <w:pPr>
              <w:pStyle w:val="TableContents"/>
              <w:bidi w:val="0"/>
              <w:spacing w:before="0" w:after="0"/>
              <w:ind w:left="0" w:right="0" w:hanging="0"/>
              <w:jc w:val="left"/>
              <w:rPr/>
            </w:pPr>
            <w:r>
              <w:rPr/>
              <w:t>​</w:t>
            </w:r>
          </w:p>
        </w:tc>
        <w:tc>
          <w:tcPr>
            <w:tcW w:w="1996"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Corrective</w:t>
            </w:r>
          </w:p>
        </w:tc>
        <w:tc>
          <w:tcPr>
            <w:tcW w:w="301" w:type="dxa"/>
            <w:tcBorders/>
            <w:vAlign w:val="center"/>
          </w:tcPr>
          <w:p>
            <w:pPr>
              <w:pStyle w:val="TableContents"/>
              <w:bidi w:val="0"/>
              <w:spacing w:before="0" w:after="0"/>
              <w:ind w:left="0" w:right="0" w:hanging="0"/>
              <w:jc w:val="center"/>
              <w:rPr/>
            </w:pPr>
            <w:r>
              <w:rPr/>
              <w:t> </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7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Actual</w:t>
            </w:r>
          </w:p>
        </w:tc>
        <w:tc>
          <w:tcPr>
            <w:tcW w:w="346" w:type="dxa"/>
            <w:tcBorders/>
            <w:vAlign w:val="center"/>
          </w:tcPr>
          <w:p>
            <w:pPr>
              <w:pStyle w:val="TableContents"/>
              <w:bidi w:val="0"/>
              <w:spacing w:before="0" w:after="0"/>
              <w:ind w:left="0" w:right="0" w:hanging="0"/>
              <w:jc w:val="left"/>
              <w:rPr/>
            </w:pPr>
            <w:r>
              <w:rPr/>
              <w:t>​</w:t>
            </w:r>
          </w:p>
        </w:tc>
        <w:tc>
          <w:tcPr>
            <w:tcW w:w="17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Adequacy Purposes</w:t>
            </w:r>
          </w:p>
        </w:tc>
        <w:tc>
          <w:tcPr>
            <w:tcW w:w="346" w:type="dxa"/>
            <w:tcBorders/>
            <w:vAlign w:val="center"/>
          </w:tcPr>
          <w:p>
            <w:pPr>
              <w:pStyle w:val="TableContents"/>
              <w:bidi w:val="0"/>
              <w:spacing w:before="0" w:after="0"/>
              <w:ind w:left="0" w:right="0" w:hanging="0"/>
              <w:jc w:val="left"/>
              <w:rPr/>
            </w:pPr>
            <w:r>
              <w:rPr/>
              <w:t>​</w:t>
            </w:r>
          </w:p>
        </w:tc>
        <w:tc>
          <w:tcPr>
            <w:tcW w:w="17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with Capital Buffer</w:t>
            </w:r>
          </w:p>
        </w:tc>
        <w:tc>
          <w:tcPr>
            <w:tcW w:w="346" w:type="dxa"/>
            <w:tcBorders/>
            <w:vAlign w:val="center"/>
          </w:tcPr>
          <w:p>
            <w:pPr>
              <w:pStyle w:val="TableContents"/>
              <w:bidi w:val="0"/>
              <w:spacing w:before="0" w:after="0"/>
              <w:ind w:left="0" w:right="0" w:hanging="0"/>
              <w:jc w:val="left"/>
              <w:rPr/>
            </w:pPr>
            <w:r>
              <w:rPr/>
              <w:t>​</w:t>
            </w:r>
          </w:p>
        </w:tc>
        <w:tc>
          <w:tcPr>
            <w:tcW w:w="199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Action Provisions</w:t>
            </w:r>
          </w:p>
        </w:tc>
        <w:tc>
          <w:tcPr>
            <w:tcW w:w="301" w:type="dxa"/>
            <w:tcBorders/>
            <w:vAlign w:val="center"/>
          </w:tcPr>
          <w:p>
            <w:pPr>
              <w:pStyle w:val="TableContents"/>
              <w:bidi w:val="0"/>
              <w:spacing w:before="0" w:after="0"/>
              <w:ind w:left="0" w:right="0" w:hanging="0"/>
              <w:jc w:val="center"/>
              <w:rPr/>
            </w:pPr>
            <w:r>
              <w:rPr/>
              <w:t> </w:t>
            </w:r>
          </w:p>
        </w:tc>
      </w:tr>
      <w:tr>
        <w:trPr/>
        <w:tc>
          <w:tcPr>
            <w:tcW w:w="12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Bank Only</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vAlign w:val="center"/>
          </w:tcPr>
          <w:p>
            <w:pPr>
              <w:pStyle w:val="TableContents"/>
              <w:bidi w:val="0"/>
              <w:spacing w:before="0" w:after="0"/>
              <w:ind w:left="0" w:right="0" w:hanging="0"/>
              <w:jc w:val="center"/>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Ratio</w:t>
            </w:r>
          </w:p>
        </w:tc>
        <w:tc>
          <w:tcPr>
            <w:tcW w:w="34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vAlign w:val="center"/>
          </w:tcPr>
          <w:p>
            <w:pPr>
              <w:pStyle w:val="TableContents"/>
              <w:bidi w:val="0"/>
              <w:spacing w:before="0" w:after="0"/>
              <w:ind w:left="0" w:right="0" w:hanging="0"/>
              <w:jc w:val="center"/>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Ratio</w:t>
            </w:r>
          </w:p>
        </w:tc>
        <w:tc>
          <w:tcPr>
            <w:tcW w:w="34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vAlign w:val="center"/>
          </w:tcPr>
          <w:p>
            <w:pPr>
              <w:pStyle w:val="TableContents"/>
              <w:bidi w:val="0"/>
              <w:spacing w:before="0" w:after="0"/>
              <w:ind w:left="0" w:right="0" w:hanging="0"/>
              <w:jc w:val="center"/>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Ratio</w:t>
            </w:r>
          </w:p>
        </w:tc>
        <w:tc>
          <w:tcPr>
            <w:tcW w:w="346" w:type="dxa"/>
            <w:tcBorders/>
            <w:vAlign w:val="center"/>
          </w:tcPr>
          <w:p>
            <w:pPr>
              <w:pStyle w:val="TableContents"/>
              <w:bidi w:val="0"/>
              <w:spacing w:before="0" w:after="0"/>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67" w:type="dxa"/>
            <w:tcBorders/>
            <w:vAlign w:val="center"/>
          </w:tcPr>
          <w:p>
            <w:pPr>
              <w:pStyle w:val="TableContents"/>
              <w:bidi w:val="0"/>
              <w:spacing w:before="0" w:after="0"/>
              <w:ind w:left="0" w:right="0" w:hanging="0"/>
              <w:jc w:val="center"/>
              <w:rPr/>
            </w:pPr>
            <w:r>
              <w:rPr/>
              <w:t>    </w:t>
            </w:r>
          </w:p>
        </w:tc>
        <w:tc>
          <w:tcPr>
            <w:tcW w:w="6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Ratio</w:t>
            </w:r>
          </w:p>
        </w:tc>
        <w:tc>
          <w:tcPr>
            <w:tcW w:w="301" w:type="dxa"/>
            <w:tcBorders/>
            <w:vAlign w:val="center"/>
          </w:tcPr>
          <w:p>
            <w:pPr>
              <w:pStyle w:val="TableContents"/>
              <w:bidi w:val="0"/>
              <w:spacing w:before="0" w:after="0"/>
              <w:ind w:left="0" w:right="0" w:hanging="0"/>
              <w:jc w:val="center"/>
              <w:rPr/>
            </w:pPr>
            <w:r>
              <w:rPr/>
              <w:t> </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pPr>
            <w:r>
              <w:rPr/>
              <w:t>  </w:t>
            </w:r>
          </w:p>
        </w:tc>
        <w:tc>
          <w:tcPr>
            <w:tcW w:w="367" w:type="dxa"/>
            <w:tcBorders/>
            <w:shd w:fill="CCEEFF" w:val="clear"/>
            <w:vAlign w:val="center"/>
          </w:tcPr>
          <w:p>
            <w:pPr>
              <w:pStyle w:val="TableContents"/>
              <w:bidi w:val="0"/>
              <w:spacing w:before="0" w:after="0"/>
              <w:ind w:left="0" w:right="0" w:hanging="0"/>
              <w:jc w:val="left"/>
              <w:rPr/>
            </w:pPr>
            <w:r>
              <w:rPr/>
              <w:t>​</w:t>
            </w:r>
          </w:p>
        </w:tc>
        <w:tc>
          <w:tcPr>
            <w:tcW w:w="629" w:type="dxa"/>
            <w:tcBorders/>
            <w:shd w:fill="CCEEFF" w:val="clear"/>
            <w:vAlign w:val="center"/>
          </w:tcPr>
          <w:p>
            <w:pPr>
              <w:pStyle w:val="TableContents"/>
              <w:bidi w:val="0"/>
              <w:spacing w:before="0" w:after="0"/>
              <w:ind w:left="0" w:right="0" w:hanging="0"/>
              <w:jc w:val="right"/>
              <w:rPr/>
            </w:pPr>
            <w:r>
              <w:rPr/>
              <w:t>  </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risk-based capital</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  </w:t>
            </w:r>
          </w:p>
        </w:tc>
        <w:tc>
          <w:tcPr>
            <w:tcW w:w="367"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 risk-weighted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322,010</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199,223</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261,480</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249,028</w:t>
            </w:r>
          </w:p>
        </w:tc>
        <w:tc>
          <w:tcPr>
            <w:tcW w:w="367" w:type="dxa"/>
            <w:tcBorders/>
            <w:shd w:fill="CCEEFF" w:val="clear"/>
            <w:vAlign w:val="center"/>
          </w:tcPr>
          <w:p>
            <w:pPr>
              <w:pStyle w:val="TableContents"/>
              <w:bidi w:val="0"/>
              <w:spacing w:before="0" w:after="0"/>
              <w:ind w:left="0" w:right="0" w:hanging="0"/>
              <w:jc w:val="left"/>
              <w:rPr/>
            </w:pPr>
            <w:r>
              <w:rPr/>
              <w:t> </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risk-based capital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 risk-weighted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290,867</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149,417</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211,674</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199,223</w:t>
            </w:r>
          </w:p>
        </w:tc>
        <w:tc>
          <w:tcPr>
            <w:tcW w:w="367" w:type="dxa"/>
            <w:tcBorders/>
            <w:shd w:fill="CCEEFF" w:val="clear"/>
            <w:vAlign w:val="center"/>
          </w:tcPr>
          <w:p>
            <w:pPr>
              <w:pStyle w:val="TableContents"/>
              <w:bidi w:val="0"/>
              <w:spacing w:before="0" w:after="0"/>
              <w:ind w:left="0" w:right="0" w:hanging="0"/>
              <w:jc w:val="left"/>
              <w:rPr/>
            </w:pPr>
            <w:r>
              <w:rPr/>
              <w:t> </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Tier 1 leverage capital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 average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290,867</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10.31</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112,816</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N/A</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141,020</w:t>
            </w:r>
          </w:p>
        </w:tc>
        <w:tc>
          <w:tcPr>
            <w:tcW w:w="367" w:type="dxa"/>
            <w:tcBorders/>
            <w:shd w:fill="CCEEFF" w:val="clear"/>
            <w:vAlign w:val="center"/>
          </w:tcPr>
          <w:p>
            <w:pPr>
              <w:pStyle w:val="TableContents"/>
              <w:bidi w:val="0"/>
              <w:spacing w:before="0" w:after="0"/>
              <w:ind w:left="0" w:right="0" w:hanging="0"/>
              <w:jc w:val="left"/>
              <w:rPr/>
            </w:pPr>
            <w:r>
              <w:rPr/>
              <w:t> </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CET 1 capital</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 </w:t>
            </w:r>
          </w:p>
        </w:tc>
        <w:tc>
          <w:tcPr>
            <w:tcW w:w="629" w:type="dxa"/>
            <w:tcBorders/>
            <w:vAlign w:val="center"/>
          </w:tcPr>
          <w:p>
            <w:pPr>
              <w:pStyle w:val="TableContents"/>
              <w:bidi w:val="0"/>
              <w:spacing w:before="0" w:after="0"/>
              <w:ind w:left="0" w:right="0" w:hanging="0"/>
              <w:jc w:val="right"/>
              <w:rPr/>
            </w:pPr>
            <w:r>
              <w:rPr/>
              <w:t>  </w:t>
            </w:r>
          </w:p>
        </w:tc>
        <w:tc>
          <w:tcPr>
            <w:tcW w:w="301" w:type="dxa"/>
            <w:tcBorders/>
            <w:vAlign w:val="center"/>
          </w:tcPr>
          <w:p>
            <w:pPr>
              <w:pStyle w:val="TableContents"/>
              <w:bidi w:val="0"/>
              <w:spacing w:before="0" w:after="0"/>
              <w:ind w:left="0" w:right="0" w:hanging="0"/>
              <w:jc w:val="left"/>
              <w:rPr/>
            </w:pPr>
            <w:r>
              <w:rPr/>
              <w:t>​</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 risk-weighted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290,867</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11.68</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112,063</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174,320</w:t>
            </w:r>
          </w:p>
        </w:tc>
        <w:tc>
          <w:tcPr>
            <w:tcW w:w="326" w:type="dxa"/>
            <w:tcBorders/>
            <w:shd w:fill="CCEEFF" w:val="clear"/>
            <w:vAlign w:val="center"/>
          </w:tcPr>
          <w:p>
            <w:pPr>
              <w:pStyle w:val="TableContents"/>
              <w:bidi w:val="0"/>
              <w:spacing w:before="0" w:after="0"/>
              <w:ind w:left="0" w:right="0" w:hanging="0"/>
              <w:jc w:val="left"/>
              <w:rPr/>
            </w:pPr>
            <w:r>
              <w:rPr/>
              <w:t> </w:t>
            </w:r>
          </w:p>
        </w:tc>
        <w:tc>
          <w:tcPr>
            <w:tcW w:w="55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161,868</w:t>
            </w:r>
          </w:p>
        </w:tc>
        <w:tc>
          <w:tcPr>
            <w:tcW w:w="367" w:type="dxa"/>
            <w:tcBorders/>
            <w:shd w:fill="CCEEFF" w:val="clear"/>
            <w:vAlign w:val="center"/>
          </w:tcPr>
          <w:p>
            <w:pPr>
              <w:pStyle w:val="TableContents"/>
              <w:bidi w:val="0"/>
              <w:spacing w:before="0" w:after="0"/>
              <w:ind w:left="0" w:right="0" w:hanging="0"/>
              <w:jc w:val="left"/>
              <w:rPr/>
            </w:pPr>
            <w:r>
              <w:rPr/>
              <w:t> </w:t>
            </w:r>
          </w:p>
        </w:tc>
        <w:tc>
          <w:tcPr>
            <w:tcW w:w="629"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6.50</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5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629" w:type="dxa"/>
            <w:tcBorders/>
            <w:vAlign w:val="center"/>
          </w:tcPr>
          <w:p>
            <w:pPr>
              <w:pStyle w:val="TableContents"/>
              <w:bidi w:val="0"/>
              <w:spacing w:before="0" w:after="0"/>
              <w:ind w:left="0" w:right="0" w:hanging="0"/>
              <w:jc w:val="right"/>
              <w:rPr/>
            </w:pPr>
            <w:r>
              <w:rPr/>
              <w:t>​</w:t>
            </w:r>
          </w:p>
        </w:tc>
        <w:tc>
          <w:tcPr>
            <w:tcW w:w="3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addition to the minimum CET 1, Tier 1, total capital, and leverage ratios, the Bank is required to maintain a capital conservation buffer consisting of additional CET 1 capital greater than 2.5% of risk-weighted assets above the required minimum levels in order to avoid limitations on paying dividends, engaging in share repurchases, and paying discretionary bonuses based on percentages of eligible retained income that could be utilized for such actions. At June 30, 2023, the Bank’s capital exceeded the conservation buffer.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is a bank holding company registered with the Federal Reserve. Bank holding companies are subject to capital adequacy requirements of the Federal Reserve under the Bank Holding Company Act of 1956, as amended, and the regulations of the Federal Reserve.  Bank holding companies with less than $3.0 billion in assets are generally not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expects the holding company’s subsidiary bank to be well capitalized under the prompt corrective action regulations. If the Company were subject to regulatory guidelines for bank holding companies with $3.0 billion or more in assets at June 30, 2023, it would have exceeded all regulatory capital requirements. For informational purposes, the regulatory capital ratios calculated for the Company at June 30, 2023 were 8.8% for Tier 1 leverage-based capital, 10.0% for Tier 1 risk-based capital, 13.3% for total risk-based capital, and 10.0% for CET 1 capital ratio.  The regulatory capital ratios calculated for the Company at December 31,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were 9.7% for Tier 1 leverage-based capital, 10.7% for Tier 1 risk-based capital, 14.0% for total risk-based capital, and 10.7% for CET 1 capital ratio.</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4167" w:name="assignedliabilitiestofundsegmentassets_1"/>
      <w:bookmarkStart w:id="4168" w:name="segmentassets_454564"/>
      <w:bookmarkEnd w:id="4167"/>
      <w:bookmarkEnd w:id="4168"/>
      <w:r>
        <w:rPr>
          <w:rFonts w:ascii="Times New Roman;Times;serif" w:hAnsi="Times New Roman;Times;serif"/>
          <w:b/>
          <w:sz w:val="20"/>
        </w:rPr>
        <w:t>NOTE 15 – BUSINESS SEGMENTS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business segments are determined based on the products and services provided, as well as the nature of the related business activities, and they reflect the manner in which financial information is currently evaluated by management. This process is dynamic and is based on management’s current view of the Company’s operations and is not necessarily comparable with similar information for other financial institutions. The Company defines its business segments by product type and customer segment which it has organized into two lines of business: commercial and consumer banking and home lending.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uses various management accounting methodologies to assign certain income statement items to the responsible operating segment, including:</w:t>
      </w:r>
    </w:p>
    <w:p>
      <w:pPr>
        <w:pStyle w:val="TextBody"/>
        <w:pBdr/>
        <w:bidi w:val="0"/>
        <w:spacing w:before="0" w:after="200"/>
        <w:ind w:left="0" w:right="0" w:hanging="360"/>
        <w:jc w:val="both"/>
        <w:rPr/>
      </w:pPr>
      <w:r>
        <w:rPr/>
        <w:t>●</w:t>
      </w:r>
      <w:r>
        <w:rPr>
          <w:rFonts w:ascii="Symbol" w:hAnsi="Symbol"/>
          <w:sz w:val="20"/>
        </w:rPr>
        <w:tab/>
      </w:r>
      <w:r>
        <w:rPr>
          <w:rFonts w:ascii="Times New Roman;Times;serif" w:hAnsi="Times New Roman;Times;serif"/>
          <w:sz w:val="20"/>
        </w:rPr>
        <w:t>a funds transfer pricing (“FTP”) system, which allocates interest income credits and funding charges between the segments, assigning to each segment a funding credit for its liabilities, such as deposits, and a charge to fund its assets;</w:t>
      </w:r>
    </w:p>
    <w:p>
      <w:pPr>
        <w:pStyle w:val="TextBody"/>
        <w:pBdr/>
        <w:bidi w:val="0"/>
        <w:spacing w:before="0" w:after="200"/>
        <w:ind w:left="0" w:right="0" w:hanging="360"/>
        <w:jc w:val="both"/>
        <w:rPr/>
      </w:pPr>
      <w:r>
        <w:rPr/>
        <w:t>●</w:t>
      </w:r>
      <w:r>
        <w:rPr>
          <w:rFonts w:ascii="Symbol" w:hAnsi="Symbol"/>
          <w:sz w:val="20"/>
        </w:rPr>
        <w:tab/>
      </w:r>
      <w:r>
        <w:rPr>
          <w:rFonts w:ascii="Times New Roman;Times;serif" w:hAnsi="Times New Roman;Times;serif"/>
          <w:sz w:val="20"/>
        </w:rPr>
        <w:t>a cost per loan serviced allocation based on the number of loans being serviced on the balance sheet and the number of loans serviced for third parties;</w:t>
      </w:r>
    </w:p>
    <w:p>
      <w:pPr>
        <w:pStyle w:val="TextBody"/>
        <w:pBdr/>
        <w:bidi w:val="0"/>
        <w:spacing w:before="0" w:after="200"/>
        <w:ind w:left="0" w:right="0" w:hanging="360"/>
        <w:jc w:val="both"/>
        <w:rPr/>
      </w:pPr>
      <w:r>
        <w:rPr/>
        <w:t>●</w:t>
      </w:r>
      <w:r>
        <w:rPr>
          <w:rFonts w:ascii="Symbol" w:hAnsi="Symbol"/>
          <w:sz w:val="20"/>
        </w:rPr>
        <w:tab/>
      </w:r>
      <w:r>
        <w:rPr>
          <w:rFonts w:ascii="Times New Roman;Times;serif" w:hAnsi="Times New Roman;Times;serif"/>
          <w:sz w:val="20"/>
        </w:rPr>
        <w:t>an allocation based upon the approximate square footage utilized by the home lending segment in Company owned locations;</w:t>
      </w:r>
    </w:p>
    <w:p>
      <w:pPr>
        <w:pStyle w:val="TextBody"/>
        <w:pBdr/>
        <w:bidi w:val="0"/>
        <w:spacing w:before="0" w:after="200"/>
        <w:ind w:left="0" w:right="0" w:hanging="360"/>
        <w:jc w:val="both"/>
        <w:rPr/>
      </w:pPr>
      <w:r>
        <w:rPr/>
        <w:t>●</w:t>
      </w:r>
      <w:r>
        <w:rPr>
          <w:rFonts w:ascii="Symbol" w:hAnsi="Symbol"/>
          <w:sz w:val="20"/>
        </w:rPr>
        <w:tab/>
      </w:r>
      <w:r>
        <w:rPr>
          <w:rFonts w:ascii="Times New Roman;Times;serif" w:hAnsi="Times New Roman;Times;serif"/>
          <w:sz w:val="20"/>
        </w:rPr>
        <w:t>an allocation of charges for services rendered to the segments by centralized functions, such as corporate overhead, which are generally based on the number of full-time employees (“FTEs”) in each segment; and</w:t>
      </w:r>
    </w:p>
    <w:p>
      <w:pPr>
        <w:pStyle w:val="TextBody"/>
        <w:pBdr/>
        <w:bidi w:val="0"/>
        <w:spacing w:before="0" w:after="200"/>
        <w:ind w:left="0" w:right="0" w:hanging="360"/>
        <w:jc w:val="both"/>
        <w:rPr/>
      </w:pPr>
      <w:r>
        <w:rPr/>
        <w:t>●</w:t>
      </w:r>
      <w:r>
        <w:rPr>
          <w:rFonts w:ascii="Symbol" w:hAnsi="Symbol"/>
          <w:sz w:val="20"/>
        </w:rPr>
        <w:tab/>
      </w:r>
      <w:r>
        <w:rPr>
          <w:rFonts w:ascii="Times New Roman;Times;serif" w:hAnsi="Times New Roman;Times;serif"/>
          <w:sz w:val="20"/>
        </w:rPr>
        <w:t>an allocation of the Company’s consolidated income taxes which are based on the effective tax rate applied to the segment’s pretax income or loss.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FTP methodology is based on management’s estimated cost of originating funds including the cost of overhead for deposit generation.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description of the Company’s business segments and the products and services that they provide is as follows: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Commercial and Consumer Banking Segment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June 30, 2023, the Company’s retail deposit branch network consisted of 27 branches in the Pacific Northwest. This segment is also responsible for the management of the investment portfolio and other assets of the Bank.</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Home Lending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home lending segment originates one-to-four-family residential mortgage loans primarily for sale in the secondary markets as well as  loans held for investment. The majority of mortgage loans are sold to or securitized by FNMA, FHLMC, GNMA, or the FHLB of Des Moines, while the Company generally retains the right to service these loans. Loans originated under the guidelines of the Federal Housing Administration or (“FHA”), US Department of Veterans Affairs or VA, and United States Department of Agriculture or USDA are generally sold servicing released to a correspondent bank or mortgage company. The Company has the option to sell loans on a servicing-released or servicing-retained basis to securitizers and correspondent lenders. A small percentage of its loans are brokered to other lenders. On occasion, the Company may sell a portion of its MSR portfolio and may sell small pools of loans initially originated to be held in the loan portfolio. The Company manages the loan funding and the interest rate risk associated with the secondary market loan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bookmarkStart w:id="4169" w:name="Tc_adXqsT8SE0CY9XXYt6lADw_13_0"/>
      <w:bookmarkStart w:id="4170" w:name="Tc_eAS5pXB6jUGSmlKRx5Vz5Q_12_8"/>
      <w:bookmarkStart w:id="4171" w:name="Tc_gCflHYb1MEmnnh4UU8LX_A_12_5"/>
      <w:bookmarkStart w:id="4172" w:name="Tc_rpEewOMnR06gNEvG3YIxew_12_2"/>
      <w:bookmarkStart w:id="4173" w:name="Tc_rshwV4Cq8E6ZlKruTW7hag_12_0"/>
      <w:bookmarkStart w:id="4174" w:name="Tc_NNiCFx6NgUavdCv-RDaCmA_11_8"/>
      <w:bookmarkStart w:id="4175" w:name="Tc_qcx-nGHLf0mR8mcH5ylaYg_11_5"/>
      <w:bookmarkStart w:id="4176" w:name="Tc_n76LhgLfnk6Zn4iVdTACAA_11_2"/>
      <w:bookmarkStart w:id="4177" w:name="Tc_G6u5dnBgXkS1cyzRF1XzGA_11_0"/>
      <w:bookmarkStart w:id="4178" w:name="Tc_-DrLgXgSfEWk1Ez4F9kVGQ_10_0"/>
      <w:bookmarkStart w:id="4179" w:name="Tc_uf1njea-PkWkKENJpFClVw_9_0"/>
      <w:bookmarkStart w:id="4180" w:name="Tc_sCPW9Op8jEeLbvY0Vh-l7A_8_0"/>
      <w:bookmarkStart w:id="4181" w:name="Tc_ikWb-t4D8Ey5uoMYgEZwzg_7_0"/>
      <w:bookmarkStart w:id="4182" w:name="Tc_i3bqbwtkFk-1txsng8vJmA_6_0"/>
      <w:bookmarkStart w:id="4183" w:name="Tc_yFPp47nLQU6YLgWZzFn0ag_5_8"/>
      <w:bookmarkStart w:id="4184" w:name="Tc_TIS2beHuvke_Wq2QKHVSag_5_5"/>
      <w:bookmarkStart w:id="4185" w:name="Tc_bQiZicthVESjA7b3oApPRA_5_2"/>
      <w:bookmarkStart w:id="4186" w:name="Tc_EOW_UKktbUuJwsdTAGH0bA_5_0"/>
      <w:bookmarkStart w:id="4187" w:name="Tc_EVoIOcNLPE-p-1wg21AKSw_4_8"/>
      <w:bookmarkStart w:id="4188" w:name="Tc_oJc7-qIvkEe9HjY9L3vhhA_4_5"/>
      <w:bookmarkStart w:id="4189" w:name="Tc_H9nKyMqkWkCHF6xX8JbA4A_4_2"/>
      <w:bookmarkStart w:id="4190" w:name="Tc_LjVxv9YAdkavgyXFFKLYVQ_4_0"/>
      <w:bookmarkStart w:id="4191" w:name="Tc_8UqwJ_-jmES0rWl0R-UG-Q_3_2"/>
      <w:bookmarkStart w:id="4192" w:name="Tc_AKg9B111rka2gAnbgez0Xw_2_2"/>
      <w:bookmarkStart w:id="4193" w:name="Tc_ryCIr_dpQkG208ranGuccA_1_2"/>
      <w:bookmarkStart w:id="4194" w:name="_214452b1_f7dc_4b08_bbbc_46f4eb1bd3bd"/>
      <w:bookmarkStart w:id="4195" w:name="Tc_rWSdlQ2ZZk6LaSz81LiAlA_11_0"/>
      <w:bookmarkStart w:id="4196" w:name="Tc_2akob3NMbEeqqh4B_IisEA_10_8"/>
      <w:bookmarkStart w:id="4197" w:name="Tc_qFOj7hnDJUOb4rykqAMMGQ_10_5"/>
      <w:bookmarkStart w:id="4198" w:name="Tc_psCEr-VrC0-3n239mp7R7w_10_2"/>
      <w:bookmarkStart w:id="4199" w:name="Tc_GsXdWa2S2kW10oP2MTI1rQ_10_0"/>
      <w:bookmarkStart w:id="4200" w:name="Tc_D-epmPz2CkqaDS93JN8z6w_9_8"/>
      <w:bookmarkStart w:id="4201" w:name="Tc_U-kOKlZr-UiMgPT8mcI4ew_9_5"/>
      <w:bookmarkStart w:id="4202" w:name="Tc_rwEgH0Thn0matNWYTjrZoA_9_2"/>
      <w:bookmarkStart w:id="4203" w:name="Tc_3mlV-kAvf0WDd3IT9y4-fg_9_0"/>
      <w:bookmarkStart w:id="4204" w:name="Tc_-o37HXizXEeq8az0M2bdCw_8_0"/>
      <w:bookmarkStart w:id="4205" w:name="Tc_vK0KXTDy8kC-demqXh_TFg_7_0"/>
      <w:bookmarkStart w:id="4206" w:name="Tc_mr_H27MZR0-ocRdLWPYWBw_6_0"/>
      <w:bookmarkStart w:id="4207" w:name="Tc_tii4zVEfmUWJy-okrDQ2Zw_5_0"/>
      <w:bookmarkStart w:id="4208" w:name="Tc_EtpLCPU3xk-YNCwXsZAj3g_4_0"/>
      <w:bookmarkStart w:id="4209" w:name="Tc_lwFApHgmF0e3onBAOz4CWg_3_8"/>
      <w:bookmarkStart w:id="4210" w:name="Tc_k-AC50N-m0KAqFRLACzi2A_3_5"/>
      <w:bookmarkStart w:id="4211" w:name="Tc_2XjM5LM_ikmauDsCXbKZ1A_3_2"/>
      <w:bookmarkStart w:id="4212" w:name="Tc_6Ehxp3BERU6zQaAecudd5Q_3_0"/>
      <w:bookmarkStart w:id="4213" w:name="Tc_wOoj3MzqTkuvNbfOL1dowA_2_8"/>
      <w:bookmarkStart w:id="4214" w:name="Tc_VaRQ0CPivEWJG2jrN0y-uQ_2_5"/>
      <w:bookmarkStart w:id="4215" w:name="Tc_9hP0R1elzUWGDy5j18qw1A_2_2"/>
      <w:bookmarkStart w:id="4216" w:name="Tc_PWLRRNegIkKGofXuDEKC3A_2_0"/>
      <w:bookmarkStart w:id="4217" w:name="Tc_9vy7SqzBFUuBCu8QEJMJuw_1_2"/>
      <w:bookmarkStart w:id="4218" w:name="_fc1ee87b_4b98_4912_866f_583bbf9a0ab8"/>
      <w:bookmarkStart w:id="4219" w:name="Tc_dUlumAZ4bkWqD8-hsg43VA_11_0"/>
      <w:bookmarkStart w:id="4220" w:name="Tc_KJYUWQdN7EC0RqapE2-xBg_10_8"/>
      <w:bookmarkStart w:id="4221" w:name="Tc_D5pCVcXV3EenkRyHcUUz7g_10_5"/>
      <w:bookmarkStart w:id="4222" w:name="Tc_7aNbB1Zy-UKudWWvNHMTJA_10_2"/>
      <w:bookmarkStart w:id="4223" w:name="Tc_rPdspDQlcUuSwdaaxN7Czw_10_0"/>
      <w:bookmarkStart w:id="4224" w:name="Tc_U0qcdy256Ei1eEo53SQHQA_9_8"/>
      <w:bookmarkStart w:id="4225" w:name="Tc_pvIUN6zpAk60Yzzfvf6MRQ_9_5"/>
      <w:bookmarkStart w:id="4226" w:name="Tc_Ra2twH_oJEWyPsGxt75j-g_9_2"/>
      <w:bookmarkStart w:id="4227" w:name="Tc_bppo0TX1CUarLsvrIYs4Zg_9_0"/>
      <w:bookmarkStart w:id="4228" w:name="Tc_DZqZ92sIikCz62S2xJ8h-A_8_0"/>
      <w:bookmarkStart w:id="4229" w:name="Tc_rYIbv_qTsk2P-3xQdJ_95g_7_0"/>
      <w:bookmarkStart w:id="4230" w:name="Tc_QznU7faVYUqi1YNt6Rpsyg_6_0"/>
      <w:bookmarkStart w:id="4231" w:name="Tc_VWsDhli2u0--kOxN8b7Cug_5_0"/>
      <w:bookmarkStart w:id="4232" w:name="Tc_gWM4gjDay06Tol77Z14Zog_4_0"/>
      <w:bookmarkStart w:id="4233" w:name="Tc_vJUq5HyqFUmB1Ns-8whOEA_3_8"/>
      <w:bookmarkStart w:id="4234" w:name="Tc_MbsM5l0XeE6IhVZ3_9OuIQ_3_5"/>
      <w:bookmarkStart w:id="4235" w:name="Tc_DO6L5jdI2Em2F-QkKsrP-w_3_2"/>
      <w:bookmarkStart w:id="4236" w:name="Tc_a6RmUwgTL0yCjng4CR8rRA_3_0"/>
      <w:bookmarkStart w:id="4237" w:name="Tc_6RpxARDZHUuJ3TGYWZkM_A_2_8"/>
      <w:bookmarkStart w:id="4238" w:name="Tc_oaS3J-RvwkKNFT4x5YuXZA_2_5"/>
      <w:bookmarkStart w:id="4239" w:name="Tc_Op2b32Jy8UO2unRtLE9FaQ_2_2"/>
      <w:bookmarkStart w:id="4240" w:name="Tc_kCtpnS7sr02B43zLuYbqXQ_2_0"/>
      <w:bookmarkStart w:id="4241" w:name="Tc__5dz1Aha4kK6G6xxUbtt4g_1_2"/>
      <w:bookmarkStart w:id="4242" w:name="_fd1dec90_3eb0_46ea_8a7b_6034265c75b4"/>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r>
        <w:rPr>
          <w:rFonts w:ascii="Times New Roman;Times;serif" w:hAnsi="Times New Roman;Times;serif"/>
          <w:sz w:val="20"/>
        </w:rPr>
        <w:t>sales and the retained one-to-four-family mortgage servicing rights within this business segment. One-to-four-family loans originated for investment and held in this segment are allocated to the home lending segment with a corresponding provision expense and FTP for cost of funds.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Segment Financial Results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tables below summarize the financial results for each segment based on the factors mentioned above within each segment for the three and six months ended June 30, 2023 and 2022:</w:t>
      </w:r>
    </w:p>
    <w:p>
      <w:pPr>
        <w:pStyle w:val="TextBody"/>
        <w:bidi w:val="0"/>
        <w:spacing w:before="0" w:after="0"/>
        <w:ind w:left="0" w:right="0" w:hanging="0"/>
        <w:jc w:val="left"/>
        <w:rPr/>
      </w:pPr>
      <w:r>
        <w:rPr/>
        <w:t>​</w:t>
      </w:r>
    </w:p>
    <w:tbl>
      <w:tblPr>
        <w:tblW w:w="10088" w:type="dxa"/>
        <w:jc w:val="left"/>
        <w:tblInd w:w="0" w:type="dxa"/>
        <w:tblLayout w:type="fixed"/>
        <w:tblCellMar>
          <w:top w:w="0" w:type="dxa"/>
          <w:left w:w="0" w:type="dxa"/>
          <w:bottom w:w="0" w:type="dxa"/>
          <w:right w:w="0" w:type="dxa"/>
        </w:tblCellMar>
      </w:tblPr>
      <w:tblGrid>
        <w:gridCol w:w="3481"/>
        <w:gridCol w:w="326"/>
        <w:gridCol w:w="565"/>
        <w:gridCol w:w="2495"/>
        <w:gridCol w:w="337"/>
        <w:gridCol w:w="280"/>
        <w:gridCol w:w="1040"/>
        <w:gridCol w:w="337"/>
        <w:gridCol w:w="218"/>
        <w:gridCol w:w="1009"/>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210435" cy="175260"/>
                      <wp:effectExtent l="0" t="0" r="0" b="0"/>
                      <wp:wrapNone/>
                      <wp:docPr id="604" name="Frame604"/>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7010" cy="175260"/>
                      <wp:effectExtent l="0" t="0" r="0" b="0"/>
                      <wp:wrapNone/>
                      <wp:docPr id="605" name="Frame6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358775" cy="175260"/>
                      <wp:effectExtent l="0" t="0" r="0" b="0"/>
                      <wp:wrapNone/>
                      <wp:docPr id="606" name="Frame606"/>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1584325" cy="175260"/>
                      <wp:effectExtent l="0" t="0" r="0" b="0"/>
                      <wp:wrapNone/>
                      <wp:docPr id="607" name="Frame607"/>
                      <a:graphic xmlns:a="http://schemas.openxmlformats.org/drawingml/2006/main">
                        <a:graphicData uri="http://schemas.microsoft.com/office/word/2010/wordprocessingShape">
                          <wps:wsp>
                            <wps:cNvSpPr txBox="1"/>
                            <wps:spPr>
                              <a:xfrm>
                                <a:off x="0" y="0"/>
                                <a:ext cx="1584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13995" cy="175260"/>
                      <wp:effectExtent l="0" t="0" r="0" b="0"/>
                      <wp:wrapNone/>
                      <wp:docPr id="608" name="Frame608"/>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77800" cy="175260"/>
                      <wp:effectExtent l="0" t="0" r="0" b="0"/>
                      <wp:wrapNone/>
                      <wp:docPr id="609" name="Frame60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60400" cy="175260"/>
                      <wp:effectExtent l="0" t="0" r="0" b="0"/>
                      <wp:wrapNone/>
                      <wp:docPr id="610" name="Frame610"/>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13995" cy="175260"/>
                      <wp:effectExtent l="0" t="0" r="0" b="0"/>
                      <wp:wrapNone/>
                      <wp:docPr id="611" name="Frame611"/>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38430" cy="175260"/>
                      <wp:effectExtent l="0" t="0" r="0" b="0"/>
                      <wp:wrapNone/>
                      <wp:docPr id="612" name="Frame61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0715" cy="175260"/>
                      <wp:effectExtent l="0" t="0" r="0" b="0"/>
                      <wp:wrapNone/>
                      <wp:docPr id="613" name="Frame613"/>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28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Three Months Ended June 30, 2023</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Condensed income statement:</w:t>
            </w:r>
          </w:p>
        </w:tc>
        <w:tc>
          <w:tcPr>
            <w:tcW w:w="326" w:type="dxa"/>
            <w:tcBorders/>
            <w:vAlign w:val="center"/>
          </w:tcPr>
          <w:p>
            <w:pPr>
              <w:pStyle w:val="TableContents"/>
              <w:bidi w:val="0"/>
              <w:spacing w:before="0" w:after="0"/>
              <w:ind w:left="0" w:right="0" w:hanging="0"/>
              <w:jc w:val="center"/>
              <w:rPr/>
            </w:pPr>
            <w:r>
              <w:rPr/>
              <w:t>    </w:t>
            </w:r>
          </w:p>
        </w:tc>
        <w:tc>
          <w:tcPr>
            <w:tcW w:w="3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Commercial and Consumer Banking</w:t>
            </w:r>
          </w:p>
        </w:tc>
        <w:tc>
          <w:tcPr>
            <w:tcW w:w="337" w:type="dxa"/>
            <w:tcBorders/>
            <w:vAlign w:val="center"/>
          </w:tcPr>
          <w:p>
            <w:pPr>
              <w:pStyle w:val="TableContents"/>
              <w:bidi w:val="0"/>
              <w:spacing w:before="0" w:after="0"/>
              <w:ind w:left="0" w:right="0" w:hanging="0"/>
              <w:jc w:val="center"/>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Home Lending</w:t>
            </w:r>
          </w:p>
        </w:tc>
        <w:tc>
          <w:tcPr>
            <w:tcW w:w="337" w:type="dxa"/>
            <w:tcBorders/>
            <w:vAlign w:val="center"/>
          </w:tcPr>
          <w:p>
            <w:pPr>
              <w:pStyle w:val="TableContents"/>
              <w:bidi w:val="0"/>
              <w:spacing w:before="0" w:after="0"/>
              <w:ind w:left="0" w:right="0" w:hanging="0"/>
              <w:jc w:val="center"/>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4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interest income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5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28,269</w:t>
            </w:r>
          </w:p>
        </w:tc>
        <w:tc>
          <w:tcPr>
            <w:tcW w:w="337"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3,283</w:t>
            </w:r>
          </w:p>
        </w:tc>
        <w:tc>
          <w:tcPr>
            <w:tcW w:w="337"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31,552</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Provision for credit losses on loans </w:t>
            </w:r>
          </w:p>
        </w:tc>
        <w:tc>
          <w:tcPr>
            <w:tcW w:w="326"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left"/>
              <w:rPr/>
            </w:pPr>
            <w:r>
              <w:rPr/>
              <w:t> </w:t>
            </w:r>
          </w:p>
        </w:tc>
        <w:tc>
          <w:tcPr>
            <w:tcW w:w="24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37"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37"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Noninterest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left"/>
              <w:rPr/>
            </w:pPr>
            <w:r>
              <w:rPr/>
              <w:t> </w:t>
            </w:r>
          </w:p>
        </w:tc>
        <w:tc>
          <w:tcPr>
            <w:tcW w:w="24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w:t>
            </w:r>
          </w:p>
        </w:tc>
        <w:tc>
          <w:tcPr>
            <w:tcW w:w="337"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4,833</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 expense</w:t>
            </w:r>
          </w:p>
        </w:tc>
        <w:tc>
          <w:tcPr>
            <w:tcW w:w="326" w:type="dxa"/>
            <w:tcBorders/>
            <w:vAlign w:val="center"/>
          </w:tcPr>
          <w:p>
            <w:pPr>
              <w:pStyle w:val="TableContents"/>
              <w:bidi w:val="0"/>
              <w:spacing w:before="0" w:after="0"/>
              <w:ind w:left="0" w:right="0" w:hanging="0"/>
              <w:jc w:val="left"/>
              <w:rPr/>
            </w:pPr>
            <w:r>
              <w:rPr/>
              <w:t>​</w:t>
            </w:r>
          </w:p>
        </w:tc>
        <w:tc>
          <w:tcPr>
            <w:tcW w:w="5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4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(18,950)</w:t>
            </w:r>
          </w:p>
        </w:tc>
        <w:tc>
          <w:tcPr>
            <w:tcW w:w="337"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(5,254)</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(24,204)</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565" w:type="dxa"/>
            <w:tcBorders/>
            <w:shd w:fill="CCEEFF" w:val="clear"/>
            <w:vAlign w:val="center"/>
          </w:tcPr>
          <w:p>
            <w:pPr>
              <w:pStyle w:val="TableContents"/>
              <w:bidi w:val="0"/>
              <w:spacing w:before="0" w:after="0"/>
              <w:ind w:left="0" w:right="0" w:hanging="0"/>
              <w:jc w:val="left"/>
              <w:rPr/>
            </w:pPr>
            <w:r>
              <w:rPr/>
              <w:t> </w:t>
            </w:r>
          </w:p>
        </w:tc>
        <w:tc>
          <w:tcPr>
            <w:tcW w:w="24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11,396</w:t>
            </w:r>
          </w:p>
        </w:tc>
        <w:tc>
          <w:tcPr>
            <w:tcW w:w="337"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11,465</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56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4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c>
          <w:tcPr>
            <w:tcW w:w="337"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37"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(2,349)</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26" w:type="dxa"/>
            <w:tcBorders/>
            <w:shd w:fill="CCEEFF" w:val="clear"/>
            <w:vAlign w:val="center"/>
          </w:tcPr>
          <w:p>
            <w:pPr>
              <w:pStyle w:val="TableContents"/>
              <w:bidi w:val="0"/>
              <w:spacing w:before="0" w:after="0"/>
              <w:ind w:left="0" w:right="0" w:hanging="0"/>
              <w:jc w:val="left"/>
              <w:rPr/>
            </w:pPr>
            <w:r>
              <w:rPr/>
              <w:t> </w:t>
            </w:r>
          </w:p>
        </w:tc>
        <w:tc>
          <w:tcPr>
            <w:tcW w:w="5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9,061</w:t>
            </w:r>
          </w:p>
        </w:tc>
        <w:tc>
          <w:tcPr>
            <w:tcW w:w="337"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37" w:type="dxa"/>
            <w:tcBorders/>
            <w:shd w:fill="CCEEFF" w:val="clear"/>
            <w:vAlign w:val="center"/>
          </w:tcPr>
          <w:p>
            <w:pPr>
              <w:pStyle w:val="TableContents"/>
              <w:bidi w:val="0"/>
              <w:spacing w:before="0" w:after="0"/>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9,116</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average assets for period ended</w:t>
            </w:r>
          </w:p>
        </w:tc>
        <w:tc>
          <w:tcPr>
            <w:tcW w:w="326" w:type="dxa"/>
            <w:tcBorders/>
            <w:vAlign w:val="center"/>
          </w:tcPr>
          <w:p>
            <w:pPr>
              <w:pStyle w:val="TableContents"/>
              <w:bidi w:val="0"/>
              <w:spacing w:before="0" w:after="0"/>
              <w:ind w:left="0" w:right="0" w:hanging="0"/>
              <w:jc w:val="left"/>
              <w:rPr/>
            </w:pPr>
            <w:r>
              <w:rPr/>
              <w:t> </w:t>
            </w:r>
          </w:p>
        </w:tc>
        <w:tc>
          <w:tcPr>
            <w:tcW w:w="5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2,313,228</w:t>
            </w:r>
          </w:p>
        </w:tc>
        <w:tc>
          <w:tcPr>
            <w:tcW w:w="337"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528,662</w:t>
            </w:r>
          </w:p>
        </w:tc>
        <w:tc>
          <w:tcPr>
            <w:tcW w:w="337"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2,841,890</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Full-time employees ("FTEs")</w:t>
            </w:r>
          </w:p>
        </w:tc>
        <w:tc>
          <w:tcPr>
            <w:tcW w:w="326" w:type="dxa"/>
            <w:tcBorders/>
            <w:shd w:fill="CCEEFF" w:val="clear"/>
            <w:vAlign w:val="center"/>
          </w:tcPr>
          <w:p>
            <w:pPr>
              <w:pStyle w:val="TableContents"/>
              <w:bidi w:val="0"/>
              <w:spacing w:before="0" w:after="0"/>
              <w:ind w:left="0" w:right="0" w:hanging="0"/>
              <w:jc w:val="left"/>
              <w:rPr/>
            </w:pPr>
            <w:r>
              <w:rPr/>
              <w:t>​</w:t>
            </w:r>
          </w:p>
        </w:tc>
        <w:tc>
          <w:tcPr>
            <w:tcW w:w="5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4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37"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37"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581</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59"/>
        <w:gridCol w:w="326"/>
        <w:gridCol w:w="524"/>
        <w:gridCol w:w="2317"/>
        <w:gridCol w:w="335"/>
        <w:gridCol w:w="272"/>
        <w:gridCol w:w="1010"/>
        <w:gridCol w:w="335"/>
        <w:gridCol w:w="217"/>
        <w:gridCol w:w="1010"/>
      </w:tblGrid>
      <w:tr>
        <w:trPr/>
        <w:tc>
          <w:tcPr>
            <w:tcW w:w="3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450465" cy="175260"/>
                      <wp:effectExtent l="0" t="0" r="0" b="0"/>
                      <wp:wrapNone/>
                      <wp:docPr id="614" name="Frame614"/>
                      <a:graphic xmlns:a="http://schemas.openxmlformats.org/drawingml/2006/main">
                        <a:graphicData uri="http://schemas.microsoft.com/office/word/2010/wordprocessingShape">
                          <wps:wsp>
                            <wps:cNvSpPr txBox="1"/>
                            <wps:spPr>
                              <a:xfrm>
                                <a:off x="0" y="0"/>
                                <a:ext cx="2450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207010" cy="175260"/>
                      <wp:effectExtent l="0" t="0" r="0" b="0"/>
                      <wp:wrapNone/>
                      <wp:docPr id="615" name="Frame6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332740" cy="175260"/>
                      <wp:effectExtent l="0" t="0" r="0" b="0"/>
                      <wp:wrapNone/>
                      <wp:docPr id="616" name="Frame616"/>
                      <a:graphic xmlns:a="http://schemas.openxmlformats.org/drawingml/2006/main">
                        <a:graphicData uri="http://schemas.microsoft.com/office/word/2010/wordprocessingShape">
                          <wps:wsp>
                            <wps:cNvSpPr txBox="1"/>
                            <wps:spPr>
                              <a:xfrm>
                                <a:off x="0" y="0"/>
                                <a:ext cx="332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471295" cy="175260"/>
                      <wp:effectExtent l="0" t="0" r="0" b="0"/>
                      <wp:wrapNone/>
                      <wp:docPr id="617" name="Frame617"/>
                      <a:graphic xmlns:a="http://schemas.openxmlformats.org/drawingml/2006/main">
                        <a:graphicData uri="http://schemas.microsoft.com/office/word/2010/wordprocessingShape">
                          <wps:wsp>
                            <wps:cNvSpPr txBox="1"/>
                            <wps:spPr>
                              <a:xfrm>
                                <a:off x="0" y="0"/>
                                <a:ext cx="147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12725" cy="175260"/>
                      <wp:effectExtent l="0" t="0" r="0" b="0"/>
                      <wp:wrapNone/>
                      <wp:docPr id="618" name="Frame61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72720" cy="175260"/>
                      <wp:effectExtent l="0" t="0" r="0" b="0"/>
                      <wp:wrapNone/>
                      <wp:docPr id="619" name="Frame619"/>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1350" cy="175260"/>
                      <wp:effectExtent l="0" t="0" r="0" b="0"/>
                      <wp:wrapNone/>
                      <wp:docPr id="620" name="Frame620"/>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12725" cy="175260"/>
                      <wp:effectExtent l="0" t="0" r="0" b="0"/>
                      <wp:wrapNone/>
                      <wp:docPr id="621" name="Frame62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37795" cy="175260"/>
                      <wp:effectExtent l="0" t="0" r="0" b="0"/>
                      <wp:wrapNone/>
                      <wp:docPr id="622" name="Frame622"/>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1350" cy="175260"/>
                      <wp:effectExtent l="0" t="0" r="0" b="0"/>
                      <wp:wrapNone/>
                      <wp:docPr id="623" name="Frame623"/>
                      <a:graphic xmlns:a="http://schemas.openxmlformats.org/drawingml/2006/main">
                        <a:graphicData uri="http://schemas.microsoft.com/office/word/2010/wordprocessingShape">
                          <wps:wsp>
                            <wps:cNvSpPr txBox="1"/>
                            <wps:spPr>
                              <a:xfrm>
                                <a:off x="0" y="0"/>
                                <a:ext cx="641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602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Three Months Ended June 30, 2022</w:t>
            </w:r>
          </w:p>
        </w:tc>
      </w:tr>
      <w:tr>
        <w:trPr/>
        <w:tc>
          <w:tcPr>
            <w:tcW w:w="3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Condensed income statement:</w:t>
            </w:r>
          </w:p>
        </w:tc>
        <w:tc>
          <w:tcPr>
            <w:tcW w:w="326" w:type="dxa"/>
            <w:tcBorders/>
            <w:vAlign w:val="center"/>
          </w:tcPr>
          <w:p>
            <w:pPr>
              <w:pStyle w:val="TableContents"/>
              <w:bidi w:val="0"/>
              <w:spacing w:before="0" w:after="0"/>
              <w:ind w:left="0" w:right="0" w:hanging="0"/>
              <w:jc w:val="center"/>
              <w:rPr/>
            </w:pPr>
            <w:r>
              <w:rPr/>
              <w:t>    </w:t>
            </w:r>
          </w:p>
        </w:tc>
        <w:tc>
          <w:tcPr>
            <w:tcW w:w="2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Commercial and Consumer Banking</w:t>
            </w:r>
          </w:p>
        </w:tc>
        <w:tc>
          <w:tcPr>
            <w:tcW w:w="335" w:type="dxa"/>
            <w:tcBorders/>
            <w:vAlign w:val="center"/>
          </w:tcPr>
          <w:p>
            <w:pPr>
              <w:pStyle w:val="TableContents"/>
              <w:bidi w:val="0"/>
              <w:spacing w:before="0" w:after="0"/>
              <w:ind w:left="0" w:right="0" w:hanging="0"/>
              <w:jc w:val="center"/>
              <w:rPr/>
            </w:pPr>
            <w:r>
              <w:rPr/>
              <w:t>    </w:t>
            </w:r>
          </w:p>
        </w:tc>
        <w:tc>
          <w:tcPr>
            <w:tcW w:w="12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Home Lending</w:t>
            </w:r>
          </w:p>
        </w:tc>
        <w:tc>
          <w:tcPr>
            <w:tcW w:w="335" w:type="dxa"/>
            <w:tcBorders/>
            <w:vAlign w:val="center"/>
          </w:tcPr>
          <w:p>
            <w:pPr>
              <w:pStyle w:val="TableContents"/>
              <w:bidi w:val="0"/>
              <w:spacing w:before="0" w:after="0"/>
              <w:ind w:left="0" w:right="0" w:hanging="0"/>
              <w:jc w:val="center"/>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85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interest income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5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22,084</w:t>
            </w:r>
          </w:p>
        </w:tc>
        <w:tc>
          <w:tcPr>
            <w:tcW w:w="335"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w:t>
            </w:r>
          </w:p>
        </w:tc>
        <w:tc>
          <w:tcPr>
            <w:tcW w:w="335" w:type="dxa"/>
            <w:tcBorders/>
            <w:shd w:fill="CCEEFF" w:val="clear"/>
            <w:vAlign w:val="center"/>
          </w:tcPr>
          <w:p>
            <w:pPr>
              <w:pStyle w:val="TableContents"/>
              <w:bidi w:val="0"/>
              <w:spacing w:before="0" w:after="0"/>
              <w:ind w:left="0" w:right="0" w:hanging="0"/>
              <w:jc w:val="left"/>
              <w:rPr/>
            </w:pPr>
            <w:r>
              <w:rPr/>
              <w:t> </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24,729</w:t>
            </w:r>
          </w:p>
        </w:tc>
      </w:tr>
      <w:tr>
        <w:trPr/>
        <w:tc>
          <w:tcPr>
            <w:tcW w:w="3859"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Provision for credit losses on loans </w:t>
            </w:r>
          </w:p>
        </w:tc>
        <w:tc>
          <w:tcPr>
            <w:tcW w:w="326" w:type="dxa"/>
            <w:tcBorders/>
            <w:vAlign w:val="center"/>
          </w:tcPr>
          <w:p>
            <w:pPr>
              <w:pStyle w:val="TableContents"/>
              <w:bidi w:val="0"/>
              <w:spacing w:before="0" w:after="0"/>
              <w:ind w:left="0" w:right="0" w:hanging="0"/>
              <w:jc w:val="left"/>
              <w:rPr/>
            </w:pPr>
            <w:r>
              <w:rPr/>
              <w:t>​</w:t>
            </w:r>
          </w:p>
        </w:tc>
        <w:tc>
          <w:tcPr>
            <w:tcW w:w="524" w:type="dxa"/>
            <w:tcBorders/>
            <w:vAlign w:val="center"/>
          </w:tcPr>
          <w:p>
            <w:pPr>
              <w:pStyle w:val="TableContents"/>
              <w:bidi w:val="0"/>
              <w:spacing w:before="0" w:after="0"/>
              <w:ind w:left="0" w:right="0" w:hanging="0"/>
              <w:jc w:val="left"/>
              <w:rPr/>
            </w:pPr>
            <w:r>
              <w:rPr/>
              <w:t> </w:t>
            </w:r>
          </w:p>
        </w:tc>
        <w:tc>
          <w:tcPr>
            <w:tcW w:w="23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c>
          <w:tcPr>
            <w:tcW w:w="335"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c>
          <w:tcPr>
            <w:tcW w:w="335"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 </w:t>
            </w:r>
          </w:p>
        </w:tc>
        <w:tc>
          <w:tcPr>
            <w:tcW w:w="10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r>
      <w:tr>
        <w:trPr/>
        <w:tc>
          <w:tcPr>
            <w:tcW w:w="3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Noninterest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left"/>
              <w:rPr/>
            </w:pPr>
            <w:r>
              <w:rPr/>
              <w:t> </w:t>
            </w:r>
          </w:p>
        </w:tc>
        <w:tc>
          <w:tcPr>
            <w:tcW w:w="2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35"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4,355</w:t>
            </w:r>
          </w:p>
        </w:tc>
      </w:tr>
      <w:tr>
        <w:trPr/>
        <w:tc>
          <w:tcPr>
            <w:tcW w:w="3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 expense</w:t>
            </w:r>
          </w:p>
        </w:tc>
        <w:tc>
          <w:tcPr>
            <w:tcW w:w="326" w:type="dxa"/>
            <w:tcBorders/>
            <w:vAlign w:val="center"/>
          </w:tcPr>
          <w:p>
            <w:pPr>
              <w:pStyle w:val="TableContents"/>
              <w:bidi w:val="0"/>
              <w:spacing w:before="0" w:after="0"/>
              <w:ind w:left="0" w:right="0" w:hanging="0"/>
              <w:jc w:val="left"/>
              <w:rPr/>
            </w:pPr>
            <w:r>
              <w:rPr/>
              <w:t>​</w:t>
            </w:r>
          </w:p>
        </w:tc>
        <w:tc>
          <w:tcPr>
            <w:tcW w:w="5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3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(14,231)</w:t>
            </w:r>
          </w:p>
        </w:tc>
        <w:tc>
          <w:tcPr>
            <w:tcW w:w="335"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(18,929)</w:t>
            </w:r>
          </w:p>
        </w:tc>
      </w:tr>
      <w:tr>
        <w:trPr/>
        <w:tc>
          <w:tcPr>
            <w:tcW w:w="3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benefit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524" w:type="dxa"/>
            <w:tcBorders/>
            <w:shd w:fill="CCEEFF" w:val="clear"/>
            <w:vAlign w:val="center"/>
          </w:tcPr>
          <w:p>
            <w:pPr>
              <w:pStyle w:val="TableContents"/>
              <w:bidi w:val="0"/>
              <w:spacing w:before="0" w:after="0"/>
              <w:ind w:left="0" w:right="0" w:hanging="0"/>
              <w:jc w:val="left"/>
              <w:rPr/>
            </w:pPr>
            <w:r>
              <w:rPr/>
              <w:t> </w:t>
            </w:r>
          </w:p>
        </w:tc>
        <w:tc>
          <w:tcPr>
            <w:tcW w:w="23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9,259</w:t>
            </w:r>
          </w:p>
        </w:tc>
        <w:tc>
          <w:tcPr>
            <w:tcW w:w="335"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8,284</w:t>
            </w:r>
          </w:p>
        </w:tc>
      </w:tr>
      <w:tr>
        <w:trPr/>
        <w:tc>
          <w:tcPr>
            <w:tcW w:w="3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0"/>
              <w:ind w:left="0" w:right="0" w:hanging="0"/>
              <w:jc w:val="left"/>
              <w:rPr/>
            </w:pPr>
            <w:r>
              <w:rPr/>
              <w:t>​</w:t>
            </w:r>
          </w:p>
        </w:tc>
        <w:tc>
          <w:tcPr>
            <w:tcW w:w="5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23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(1,804)</w:t>
            </w:r>
          </w:p>
        </w:tc>
        <w:tc>
          <w:tcPr>
            <w:tcW w:w="335"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35"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w:t>
            </w:r>
          </w:p>
        </w:tc>
      </w:tr>
      <w:tr>
        <w:trPr/>
        <w:tc>
          <w:tcPr>
            <w:tcW w:w="3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 </w:t>
            </w:r>
          </w:p>
        </w:tc>
        <w:tc>
          <w:tcPr>
            <w:tcW w:w="5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7,455</w:t>
            </w:r>
          </w:p>
        </w:tc>
        <w:tc>
          <w:tcPr>
            <w:tcW w:w="335"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c>
          <w:tcPr>
            <w:tcW w:w="335" w:type="dxa"/>
            <w:tcBorders/>
            <w:shd w:fill="CCEEFF" w:val="clear"/>
            <w:vAlign w:val="center"/>
          </w:tcPr>
          <w:p>
            <w:pPr>
              <w:pStyle w:val="TableContents"/>
              <w:bidi w:val="0"/>
              <w:spacing w:before="0" w:after="0"/>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6,699</w:t>
            </w:r>
          </w:p>
        </w:tc>
      </w:tr>
      <w:tr>
        <w:trPr/>
        <w:tc>
          <w:tcPr>
            <w:tcW w:w="385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average assets for period ended</w:t>
            </w:r>
          </w:p>
        </w:tc>
        <w:tc>
          <w:tcPr>
            <w:tcW w:w="326" w:type="dxa"/>
            <w:tcBorders/>
            <w:vAlign w:val="center"/>
          </w:tcPr>
          <w:p>
            <w:pPr>
              <w:pStyle w:val="TableContents"/>
              <w:bidi w:val="0"/>
              <w:spacing w:before="0" w:after="0"/>
              <w:ind w:left="0" w:right="0" w:hanging="0"/>
              <w:jc w:val="left"/>
              <w:rPr/>
            </w:pPr>
            <w:r>
              <w:rPr/>
              <w:t> </w:t>
            </w:r>
          </w:p>
        </w:tc>
        <w:tc>
          <w:tcPr>
            <w:tcW w:w="5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1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1,957,630</w:t>
            </w:r>
          </w:p>
        </w:tc>
        <w:tc>
          <w:tcPr>
            <w:tcW w:w="335"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398,690</w:t>
            </w:r>
          </w:p>
        </w:tc>
        <w:tc>
          <w:tcPr>
            <w:tcW w:w="335"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2,356,320</w:t>
            </w:r>
          </w:p>
        </w:tc>
      </w:tr>
      <w:tr>
        <w:trPr/>
        <w:tc>
          <w:tcPr>
            <w:tcW w:w="38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FTEs</w:t>
            </w:r>
          </w:p>
        </w:tc>
        <w:tc>
          <w:tcPr>
            <w:tcW w:w="326" w:type="dxa"/>
            <w:tcBorders/>
            <w:shd w:fill="CCEEFF" w:val="clear"/>
            <w:vAlign w:val="center"/>
          </w:tcPr>
          <w:p>
            <w:pPr>
              <w:pStyle w:val="TableContents"/>
              <w:bidi w:val="0"/>
              <w:spacing w:before="0" w:after="0"/>
              <w:ind w:left="0" w:right="0" w:hanging="0"/>
              <w:jc w:val="left"/>
              <w:rPr/>
            </w:pPr>
            <w:r>
              <w:rPr/>
              <w:t>​</w:t>
            </w:r>
          </w:p>
        </w:tc>
        <w:tc>
          <w:tcPr>
            <w:tcW w:w="5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3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35"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35"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241" w:type="dxa"/>
        <w:jc w:val="left"/>
        <w:tblInd w:w="0" w:type="dxa"/>
        <w:tblLayout w:type="fixed"/>
        <w:tblCellMar>
          <w:top w:w="0" w:type="dxa"/>
          <w:left w:w="0" w:type="dxa"/>
          <w:bottom w:w="0" w:type="dxa"/>
          <w:right w:w="0" w:type="dxa"/>
        </w:tblCellMar>
      </w:tblPr>
      <w:tblGrid>
        <w:gridCol w:w="3481"/>
        <w:gridCol w:w="326"/>
        <w:gridCol w:w="235"/>
        <w:gridCol w:w="1040"/>
        <w:gridCol w:w="326"/>
        <w:gridCol w:w="276"/>
        <w:gridCol w:w="1044"/>
        <w:gridCol w:w="326"/>
        <w:gridCol w:w="211"/>
        <w:gridCol w:w="97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210435" cy="175260"/>
                      <wp:effectExtent l="0" t="0" r="0" b="0"/>
                      <wp:wrapNone/>
                      <wp:docPr id="624" name="Frame624"/>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07010" cy="175260"/>
                      <wp:effectExtent l="0" t="0" r="0" b="0"/>
                      <wp:wrapNone/>
                      <wp:docPr id="625" name="Frame6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149225" cy="175260"/>
                      <wp:effectExtent l="0" t="0" r="0" b="0"/>
                      <wp:wrapNone/>
                      <wp:docPr id="626" name="Frame62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60400" cy="175260"/>
                      <wp:effectExtent l="0" t="0" r="0" b="0"/>
                      <wp:wrapNone/>
                      <wp:docPr id="627" name="Frame627"/>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28" name="Frame6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175260" cy="175260"/>
                      <wp:effectExtent l="0" t="0" r="0" b="0"/>
                      <wp:wrapNone/>
                      <wp:docPr id="629" name="Frame629"/>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62940" cy="175260"/>
                      <wp:effectExtent l="0" t="0" r="0" b="0"/>
                      <wp:wrapNone/>
                      <wp:docPr id="630" name="Frame630"/>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07010" cy="175260"/>
                      <wp:effectExtent l="0" t="0" r="0" b="0"/>
                      <wp:wrapNone/>
                      <wp:docPr id="631" name="Frame6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33985" cy="175260"/>
                      <wp:effectExtent l="0" t="0" r="0" b="0"/>
                      <wp:wrapNone/>
                      <wp:docPr id="632" name="Frame6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19760" cy="175260"/>
                      <wp:effectExtent l="0" t="0" r="0" b="0"/>
                      <wp:wrapNone/>
                      <wp:docPr id="633" name="Frame63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3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Six Months Ended June 30, 2023</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Consumer</w:t>
            </w:r>
          </w:p>
        </w:tc>
        <w:tc>
          <w:tcPr>
            <w:tcW w:w="326"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Condensed income statement:</w:t>
            </w:r>
          </w:p>
        </w:tc>
        <w:tc>
          <w:tcPr>
            <w:tcW w:w="326" w:type="dxa"/>
            <w:tcBorders/>
            <w:vAlign w:val="center"/>
          </w:tcPr>
          <w:p>
            <w:pPr>
              <w:pStyle w:val="TableContents"/>
              <w:bidi w:val="0"/>
              <w:spacing w:before="0" w:after="0"/>
              <w:ind w:left="0" w:right="0" w:hanging="0"/>
              <w:jc w:val="center"/>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Banking</w:t>
            </w:r>
          </w:p>
        </w:tc>
        <w:tc>
          <w:tcPr>
            <w:tcW w:w="326" w:type="dxa"/>
            <w:tcBorders/>
            <w:vAlign w:val="center"/>
          </w:tcPr>
          <w:p>
            <w:pPr>
              <w:pStyle w:val="TableContents"/>
              <w:bidi w:val="0"/>
              <w:spacing w:before="0" w:after="0"/>
              <w:ind w:left="0" w:right="0" w:hanging="0"/>
              <w:jc w:val="center"/>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Home Lending</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4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interest income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55,769</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62,214</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Provision for credit losses on loans </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(2,118)</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w:t>
            </w:r>
          </w:p>
        </w:tc>
      </w:tr>
      <w:tr>
        <w:trPr/>
        <w:tc>
          <w:tcPr>
            <w:tcW w:w="34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Noninterest income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5,086</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10,052</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 expense</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(37,560)</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(47,728)</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21,177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21,714</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(4,278)</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(4,386)</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16,899</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17,328</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average assets for period ended</w:t>
            </w:r>
          </w:p>
        </w:tc>
        <w:tc>
          <w:tcPr>
            <w:tcW w:w="32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2,281,815</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510,419</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2,792,234</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FTEs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4243" w:name="Tc_0JfHulZfHUyAAM960UHEwQ_13_0"/>
      <w:bookmarkStart w:id="4244" w:name="Tc_is0lIcHRK0W-SOJUgvAXFA_12_8"/>
      <w:bookmarkStart w:id="4245" w:name="Tc_p4mbq6AyKUSvDN9NcusHhA_12_5"/>
      <w:bookmarkStart w:id="4246" w:name="Tc_e-8h03iS8USiTHfyDiHF6Q_12_2"/>
      <w:bookmarkStart w:id="4247" w:name="Tc__-dWqqMdvEWJ7aaSmTZV4w_12_0"/>
      <w:bookmarkStart w:id="4248" w:name="Tc_Sh8_rZs3iUCDj5aPmpxKdQ_11_8"/>
      <w:bookmarkStart w:id="4249" w:name="Tc_KblteGPGHkK91-pcl8oACQ_11_5"/>
      <w:bookmarkStart w:id="4250" w:name="Tc_ybHMVT41C0eMmcaFnj-BNA_11_2"/>
      <w:bookmarkStart w:id="4251" w:name="Tc_3RHA7USKG0S1nv7igksZ8Q_11_0"/>
      <w:bookmarkStart w:id="4252" w:name="Tc_fm18S6-uDEqQEjtdSnVESg_10_0"/>
      <w:bookmarkStart w:id="4253" w:name="Tc_nM3oNZAWykKUr_eyOAQG2g_9_0"/>
      <w:bookmarkStart w:id="4254" w:name="Tc_oeD5zjaJQkaVeB9xUFYnWg_8_0"/>
      <w:bookmarkStart w:id="4255" w:name="Tc_-Z5omJrnI0im895R5Ftk7g_7_0"/>
      <w:bookmarkStart w:id="4256" w:name="Tc_FMcYevNcvUOV-gnu9dwI0w_6_0"/>
      <w:bookmarkStart w:id="4257" w:name="Tc_IOPlMzoxiUyWbqEEL44u_Q_5_8"/>
      <w:bookmarkStart w:id="4258" w:name="Tc_Lqne9ynx-kq0hpQmUCGCtw_5_5"/>
      <w:bookmarkStart w:id="4259" w:name="Tc_16rs_vv_U0-5LPWOfbwsAw_5_2"/>
      <w:bookmarkStart w:id="4260" w:name="Tc_azTcADxVOUe7_k-_5qjqHA_5_0"/>
      <w:bookmarkStart w:id="4261" w:name="Tc_8TP7dcTQskK2RsKzfu1sPA_4_8"/>
      <w:bookmarkStart w:id="4262" w:name="Tc_knh2sb7ZH0WEUA7CZd8Oxg_4_5"/>
      <w:bookmarkStart w:id="4263" w:name="Tc_AO3f4NQHz0ew9JnKsCVrtA_4_2"/>
      <w:bookmarkStart w:id="4264" w:name="Tc_dzKmTTjW_0-lZz8q3cyY6w_4_0"/>
      <w:bookmarkStart w:id="4265" w:name="Tc_JcIqUTmFPU2SlzhI-zbyZQ_3_2"/>
      <w:bookmarkStart w:id="4266" w:name="Tc_ffKpo7XXjUKnt3PrtQbWug_2_2"/>
      <w:bookmarkStart w:id="4267" w:name="Tc_CXcJ-LRnmkGZSK46zikZwA_1_2"/>
      <w:bookmarkStart w:id="4268" w:name="_533b09bb_6253_449e_9f42_12aafe48c471"/>
      <w:bookmarkStart w:id="4269" w:name="Tc_0JfHulZfHUyAAM960UHEwQ_13_0"/>
      <w:bookmarkStart w:id="4270" w:name="Tc_is0lIcHRK0W-SOJUgvAXFA_12_8"/>
      <w:bookmarkStart w:id="4271" w:name="Tc_p4mbq6AyKUSvDN9NcusHhA_12_5"/>
      <w:bookmarkStart w:id="4272" w:name="Tc_e-8h03iS8USiTHfyDiHF6Q_12_2"/>
      <w:bookmarkStart w:id="4273" w:name="Tc__-dWqqMdvEWJ7aaSmTZV4w_12_0"/>
      <w:bookmarkStart w:id="4274" w:name="Tc_Sh8_rZs3iUCDj5aPmpxKdQ_11_8"/>
      <w:bookmarkStart w:id="4275" w:name="Tc_KblteGPGHkK91-pcl8oACQ_11_5"/>
      <w:bookmarkStart w:id="4276" w:name="Tc_ybHMVT41C0eMmcaFnj-BNA_11_2"/>
      <w:bookmarkStart w:id="4277" w:name="Tc_3RHA7USKG0S1nv7igksZ8Q_11_0"/>
      <w:bookmarkStart w:id="4278" w:name="Tc_fm18S6-uDEqQEjtdSnVESg_10_0"/>
      <w:bookmarkStart w:id="4279" w:name="Tc_nM3oNZAWykKUr_eyOAQG2g_9_0"/>
      <w:bookmarkStart w:id="4280" w:name="Tc_oeD5zjaJQkaVeB9xUFYnWg_8_0"/>
      <w:bookmarkStart w:id="4281" w:name="Tc_-Z5omJrnI0im895R5Ftk7g_7_0"/>
      <w:bookmarkStart w:id="4282" w:name="Tc_FMcYevNcvUOV-gnu9dwI0w_6_0"/>
      <w:bookmarkStart w:id="4283" w:name="Tc_IOPlMzoxiUyWbqEEL44u_Q_5_8"/>
      <w:bookmarkStart w:id="4284" w:name="Tc_Lqne9ynx-kq0hpQmUCGCtw_5_5"/>
      <w:bookmarkStart w:id="4285" w:name="Tc_16rs_vv_U0-5LPWOfbwsAw_5_2"/>
      <w:bookmarkStart w:id="4286" w:name="Tc_azTcADxVOUe7_k-_5qjqHA_5_0"/>
      <w:bookmarkStart w:id="4287" w:name="Tc_8TP7dcTQskK2RsKzfu1sPA_4_8"/>
      <w:bookmarkStart w:id="4288" w:name="Tc_knh2sb7ZH0WEUA7CZd8Oxg_4_5"/>
      <w:bookmarkStart w:id="4289" w:name="Tc_AO3f4NQHz0ew9JnKsCVrtA_4_2"/>
      <w:bookmarkStart w:id="4290" w:name="Tc_dzKmTTjW_0-lZz8q3cyY6w_4_0"/>
      <w:bookmarkStart w:id="4291" w:name="Tc_JcIqUTmFPU2SlzhI-zbyZQ_3_2"/>
      <w:bookmarkStart w:id="4292" w:name="Tc_ffKpo7XXjUKnt3PrtQbWug_2_2"/>
      <w:bookmarkStart w:id="4293" w:name="Tc_CXcJ-LRnmkGZSK46zikZwA_1_2"/>
      <w:bookmarkStart w:id="4294" w:name="_533b09bb_6253_449e_9f42_12aafe48c471"/>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p>
    <w:tbl>
      <w:tblPr>
        <w:tblW w:w="8241" w:type="dxa"/>
        <w:jc w:val="left"/>
        <w:tblInd w:w="0" w:type="dxa"/>
        <w:tblLayout w:type="fixed"/>
        <w:tblCellMar>
          <w:top w:w="0" w:type="dxa"/>
          <w:left w:w="0" w:type="dxa"/>
          <w:bottom w:w="0" w:type="dxa"/>
          <w:right w:w="0" w:type="dxa"/>
        </w:tblCellMar>
      </w:tblPr>
      <w:tblGrid>
        <w:gridCol w:w="3481"/>
        <w:gridCol w:w="326"/>
        <w:gridCol w:w="235"/>
        <w:gridCol w:w="1040"/>
        <w:gridCol w:w="326"/>
        <w:gridCol w:w="280"/>
        <w:gridCol w:w="1040"/>
        <w:gridCol w:w="326"/>
        <w:gridCol w:w="211"/>
        <w:gridCol w:w="97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210435" cy="175260"/>
                      <wp:effectExtent l="0" t="0" r="0" b="0"/>
                      <wp:wrapNone/>
                      <wp:docPr id="634" name="Frame634"/>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35" name="Frame6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149225" cy="175260"/>
                      <wp:effectExtent l="0" t="0" r="0" b="0"/>
                      <wp:wrapNone/>
                      <wp:docPr id="636" name="Frame63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60400" cy="175260"/>
                      <wp:effectExtent l="0" t="0" r="0" b="0"/>
                      <wp:wrapNone/>
                      <wp:docPr id="637" name="Frame637"/>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207010" cy="175260"/>
                      <wp:effectExtent l="0" t="0" r="0" b="0"/>
                      <wp:wrapNone/>
                      <wp:docPr id="638" name="Frame6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177800" cy="175260"/>
                      <wp:effectExtent l="0" t="0" r="0" b="0"/>
                      <wp:wrapNone/>
                      <wp:docPr id="639" name="Frame63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60400" cy="175260"/>
                      <wp:effectExtent l="0" t="0" r="0" b="0"/>
                      <wp:wrapNone/>
                      <wp:docPr id="640" name="Frame640"/>
                      <a:graphic xmlns:a="http://schemas.openxmlformats.org/drawingml/2006/main">
                        <a:graphicData uri="http://schemas.microsoft.com/office/word/2010/wordprocessingShape">
                          <wps:wsp>
                            <wps:cNvSpPr txBox="1"/>
                            <wps:spPr>
                              <a:xfrm>
                                <a:off x="0" y="0"/>
                                <a:ext cx="660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07010" cy="175260"/>
                      <wp:effectExtent l="0" t="0" r="0" b="0"/>
                      <wp:wrapNone/>
                      <wp:docPr id="641" name="Frame6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133985" cy="175260"/>
                      <wp:effectExtent l="0" t="0" r="0" b="0"/>
                      <wp:wrapNone/>
                      <wp:docPr id="642" name="Frame6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19760" cy="175260"/>
                      <wp:effectExtent l="0" t="0" r="0" b="0"/>
                      <wp:wrapNone/>
                      <wp:docPr id="643" name="Frame64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34"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At or For the Six Months Ended June 30, 2022</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Commercial</w:t>
            </w:r>
          </w:p>
        </w:tc>
        <w:tc>
          <w:tcPr>
            <w:tcW w:w="326"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pPr>
            <w:r>
              <w:rPr/>
              <w:t>​</w: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7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 Consumer</w:t>
            </w:r>
          </w:p>
        </w:tc>
        <w:tc>
          <w:tcPr>
            <w:tcW w:w="326" w:type="dxa"/>
            <w:tcBorders/>
            <w:vAlign w:val="center"/>
          </w:tcPr>
          <w:p>
            <w:pPr>
              <w:pStyle w:val="TableContents"/>
              <w:bidi w:val="0"/>
              <w:spacing w:before="0" w:after="0"/>
              <w:ind w:left="0" w:right="0" w:hanging="0"/>
              <w:jc w:val="center"/>
              <w:rPr/>
            </w:pPr>
            <w:r>
              <w:rPr/>
              <w:t>​</w:t>
            </w:r>
          </w:p>
        </w:tc>
        <w:tc>
          <w:tcPr>
            <w:tcW w:w="1320"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87" w:type="dxa"/>
            <w:gridSpan w:val="2"/>
            <w:tcBorders/>
            <w:vAlign w:val="center"/>
          </w:tcPr>
          <w:p>
            <w:pPr>
              <w:pStyle w:val="TableContents"/>
              <w:bidi w:val="0"/>
              <w:spacing w:before="0" w:after="0"/>
              <w:ind w:left="0" w:right="0" w:hanging="0"/>
              <w:jc w:val="center"/>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Condensed income statement:</w:t>
            </w:r>
          </w:p>
        </w:tc>
        <w:tc>
          <w:tcPr>
            <w:tcW w:w="326" w:type="dxa"/>
            <w:tcBorders/>
            <w:vAlign w:val="center"/>
          </w:tcPr>
          <w:p>
            <w:pPr>
              <w:pStyle w:val="TableContents"/>
              <w:bidi w:val="0"/>
              <w:spacing w:before="0" w:after="0"/>
              <w:ind w:left="0" w:right="0" w:hanging="0"/>
              <w:jc w:val="center"/>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Banking</w:t>
            </w:r>
          </w:p>
        </w:tc>
        <w:tc>
          <w:tcPr>
            <w:tcW w:w="326" w:type="dxa"/>
            <w:tcBorders/>
            <w:vAlign w:val="center"/>
          </w:tcPr>
          <w:p>
            <w:pPr>
              <w:pStyle w:val="TableContents"/>
              <w:bidi w:val="0"/>
              <w:spacing w:before="0" w:after="0"/>
              <w:ind w:left="0" w:right="0" w:hanging="0"/>
              <w:jc w:val="center"/>
              <w:rPr/>
            </w:pPr>
            <w:r>
              <w:rPr/>
              <w:t>    </w:t>
            </w:r>
          </w:p>
        </w:tc>
        <w:tc>
          <w:tcPr>
            <w:tcW w:w="13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Home Lending</w:t>
            </w:r>
          </w:p>
        </w:tc>
        <w:tc>
          <w:tcPr>
            <w:tcW w:w="32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34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interest income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42,362</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47,451</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Provision for credit losses on loans </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(1,916)</w:t>
            </w:r>
          </w:p>
        </w:tc>
        <w:tc>
          <w:tcPr>
            <w:tcW w:w="326" w:type="dxa"/>
            <w:tcBorders/>
            <w:vAlign w:val="center"/>
          </w:tcPr>
          <w:p>
            <w:pPr>
              <w:pStyle w:val="TableContents"/>
              <w:bidi w:val="0"/>
              <w:spacing w:before="0" w:after="0"/>
              <w:ind w:left="0" w:right="0" w:hanging="0"/>
              <w:jc w:val="left"/>
              <w:rPr/>
            </w:pPr>
            <w:r>
              <w:rPr/>
              <w:t>​</w:t>
            </w:r>
          </w:p>
        </w:tc>
        <w:tc>
          <w:tcPr>
            <w:tcW w:w="280" w:type="dxa"/>
            <w:tcBorders/>
            <w:vAlign w:val="center"/>
          </w:tcPr>
          <w:p>
            <w:pPr>
              <w:pStyle w:val="TableContents"/>
              <w:bidi w:val="0"/>
              <w:spacing w:before="0" w:after="0"/>
              <w:ind w:left="0" w:right="0" w:hanging="0"/>
              <w:jc w:val="left"/>
              <w:rPr/>
            </w:pPr>
            <w:r>
              <w:rPr/>
              <w:t> </w:t>
            </w:r>
          </w:p>
        </w:tc>
        <w:tc>
          <w:tcPr>
            <w:tcW w:w="104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Noninterest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10,231</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 expense</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(28,407)</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(37,996)</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16,669</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shd w:fill="CCEEFF" w:val="clear"/>
            <w:vAlign w:val="center"/>
          </w:tcPr>
          <w:p>
            <w:pPr>
              <w:pStyle w:val="TableContents"/>
              <w:bidi w:val="0"/>
              <w:spacing w:before="0" w:after="0"/>
              <w:ind w:left="0" w:right="0" w:hanging="0"/>
              <w:jc w:val="left"/>
              <w:rPr/>
            </w:pPr>
            <w:r>
              <w:rPr/>
              <w:t> </w:t>
            </w:r>
          </w:p>
        </w:tc>
        <w:tc>
          <w:tcPr>
            <w:tcW w:w="10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16,772</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(3,203)</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13,487</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13,569</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average assets for period ended</w:t>
            </w:r>
          </w:p>
        </w:tc>
        <w:tc>
          <w:tcPr>
            <w:tcW w:w="32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1,921,426</w:t>
            </w:r>
          </w:p>
        </w:tc>
        <w:tc>
          <w:tcPr>
            <w:tcW w:w="326" w:type="dxa"/>
            <w:tcBorders/>
            <w:vAlign w:val="center"/>
          </w:tcPr>
          <w:p>
            <w:pPr>
              <w:pStyle w:val="TableContents"/>
              <w:bidi w:val="0"/>
              <w:spacing w:before="0" w:after="0"/>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392,107</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2,313,533</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FTEs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26" w:type="dxa"/>
            <w:tcBorders/>
            <w:shd w:fill="CCEEFF" w:val="clear"/>
            <w:vAlign w:val="center"/>
          </w:tcPr>
          <w:p>
            <w:pPr>
              <w:pStyle w:val="TableContents"/>
              <w:bidi w:val="0"/>
              <w:spacing w:before="0" w:after="0"/>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537</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interest income is the difference between interest earned on assets and the cost of liabilities to fund those assets. Interest earned includes actual interest earned on segment assets and, if the segment has excess liabilities, interest credits for providing funding to the other segment. The cost of liabilities includes interest expense on segment liabilities and, if the segment does not have enough liabilities to fund its assets, a funding charge based on the cost of assigned liabilities to fund segment assets.</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bookmarkStart w:id="4295" w:name="Tc_JhKJQzP7I0auGLKwws4Wig_9_8"/>
      <w:bookmarkStart w:id="4296" w:name="Tc_VjAmi0MOWEe3vh9Pzx7VPw_9_5"/>
      <w:bookmarkStart w:id="4297" w:name="Tc_K-o-jnCnDEeeDIj_CqzrNQ_9_2"/>
      <w:bookmarkStart w:id="4298" w:name="Tc_Qa1_z3OupEytE3s04LCtOQ_9_0"/>
      <w:bookmarkStart w:id="4299" w:name="Tc_ytnbn7aCmUeqniYPEqrD6g_8_3"/>
      <w:bookmarkStart w:id="4300" w:name="Tc_IGcyRYusrk-fM9GFXKfjtg_8_0"/>
      <w:bookmarkStart w:id="4301" w:name="Tc_UXf-6GyMMUurVXKKwzT6Rg_7_6"/>
      <w:bookmarkStart w:id="4302" w:name="Tc_ZwHSmwTelUSHMuTwDoG6Qw_7_0"/>
      <w:bookmarkStart w:id="4303" w:name="Tc_MhNxxqP9Akq1lWDLgIh9Wg_6_0"/>
      <w:bookmarkStart w:id="4304" w:name="Tc_dTl5oGKy00OuvGNoMp-I9g_5_3"/>
      <w:bookmarkStart w:id="4305" w:name="Tc_oBD-DyymYUeBU_uMZQUdEA_5_0"/>
      <w:bookmarkStart w:id="4306" w:name="Tc_hoFb8FfZ2UedKuh4QwJ87w_4_8"/>
      <w:bookmarkStart w:id="4307" w:name="Tc_H5R8pL339ECAwh1RksJaKA_4_5"/>
      <w:bookmarkStart w:id="4308" w:name="Tc__1ykzFkl5Ua1-f3Skc1G2Q_4_2"/>
      <w:bookmarkStart w:id="4309" w:name="Tc_U0sMw7zlN0mogtbPTRdS7g_4_0"/>
      <w:bookmarkStart w:id="4310" w:name="Tc_vFGfA5dAaUucggzLAGpWiA_3_8"/>
      <w:bookmarkStart w:id="4311" w:name="Tc_NFmI92oJSkWpzPoabAbK-w_3_5"/>
      <w:bookmarkStart w:id="4312" w:name="Tc_RPt7PdNqR0q_zVivUMiGMA_3_2"/>
      <w:bookmarkStart w:id="4313" w:name="Tc_69TAfTSdPEeh5wJBWrLlCw_2_5"/>
      <w:bookmarkStart w:id="4314" w:name="Tc_ZM9mH9zhFUmhvvYaPv1p7Q_1_2"/>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r>
        <w:rPr>
          <w:rFonts w:ascii="Times New Roman;Times;serif" w:hAnsi="Times New Roman;Times;serif"/>
          <w:b/>
          <w:sz w:val="20"/>
        </w:rPr>
        <w:t>NOTE 16 – GOODWILL AND OTHER INTANGIBLE ASSETS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Goodwill and certain other intangibles generally arise from business combinations accounted for under the acquisition method of accounting.  Goodwill totaled $3.6 million at June 30, 2023, and $2.3 million at December 31, 2022, and represents the excess of the total acquisition price paid over the fair value of the assets acquired, net of the fair values of liabilities assumed as a result of the Branch Purchase on February 24, 2023, and the purchase of four retail bank branches from Bank of America on January 22, 2016.  Goodwill is not amortized but is evaluated for impairment on an annual basis at December 31 of each year or whenever events or changes in circumstances indicate the carrying value may not be recoverable. The Company performed an impairment analysis at December 31, 2022, and determined that no impairment of goodwill existed.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Core deposit intangible (“CDI”) is evaluated for impairment whenever events or changes in circumstances indicate that its carrying amount may not be recoverable, with any changes in estimated useful life accounted for prospectively over the revised remaining life.  As of June 30, 2023, management believes that there have been no events or changes in the circumstances that would indicate a potential impairment of CDI.</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summarizes the changes in the Company’s other intangible assets comprised solely of CDI for the year ended December 31, 2022, and the six months ended June 30, 2023.</w:t>
      </w:r>
    </w:p>
    <w:p>
      <w:pPr>
        <w:pStyle w:val="TextBody"/>
        <w:bidi w:val="0"/>
        <w:spacing w:before="0" w:after="0"/>
        <w:ind w:left="0" w:right="0" w:hanging="0"/>
        <w:jc w:val="left"/>
        <w:rPr/>
      </w:pPr>
      <w:r>
        <w:rPr/>
        <w:t>​</w:t>
      </w:r>
    </w:p>
    <w:tbl>
      <w:tblPr>
        <w:tblW w:w="7762" w:type="dxa"/>
        <w:jc w:val="left"/>
        <w:tblInd w:w="0" w:type="dxa"/>
        <w:tblLayout w:type="fixed"/>
        <w:tblCellMar>
          <w:top w:w="0" w:type="dxa"/>
          <w:left w:w="0" w:type="dxa"/>
          <w:bottom w:w="0" w:type="dxa"/>
          <w:right w:w="0" w:type="dxa"/>
        </w:tblCellMar>
      </w:tblPr>
      <w:tblGrid>
        <w:gridCol w:w="3676"/>
        <w:gridCol w:w="326"/>
        <w:gridCol w:w="221"/>
        <w:gridCol w:w="709"/>
        <w:gridCol w:w="326"/>
        <w:gridCol w:w="297"/>
        <w:gridCol w:w="889"/>
        <w:gridCol w:w="326"/>
        <w:gridCol w:w="211"/>
        <w:gridCol w:w="781"/>
      </w:tblGrid>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6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Other Intangible Assets</w:t>
            </w:r>
          </w:p>
        </w:tc>
      </w:tr>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Accumulated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Gross CDI</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Amortization</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Net CDI</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4,060</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0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pPr>
            <w:r>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7,490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8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3,369</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 as a result of the Branch Purchase</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17,438</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17,438</w:t>
            </w:r>
          </w:p>
        </w:tc>
      </w:tr>
      <w:tr>
        <w:trPr/>
        <w:tc>
          <w:tcPr>
            <w:tcW w:w="36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w:t>
            </w:r>
          </w:p>
        </w:tc>
      </w:tr>
      <w:tr>
        <w:trPr/>
        <w:tc>
          <w:tcPr>
            <w:tcW w:w="36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24,928</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19,325</w:t>
            </w:r>
          </w:p>
        </w:tc>
      </w:tr>
    </w:tbl>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CDI represents the fair value of the intangible core deposit base acquired in business combinations. The CDI will be amortized on an accelerated basis over 10 years for the CDI related to the Branch Purchase, on a straight-line basis over 10 years for the CDI related to the Anchor Bank acquisition in November 2018 (“Anchor Acquisition”) and on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4315" w:name="Tc_h3n1eiAJ40KIiatoGMWbMA_7_2"/>
      <w:bookmarkStart w:id="4316" w:name="Tc_rGs-7e9gAUu_DeBB6RZDHA_7_0"/>
      <w:bookmarkStart w:id="4317" w:name="Tc_5ljeIusmmUmnx5koQzoZHw_6_0"/>
      <w:bookmarkStart w:id="4318" w:name="Tc_ZpL52dSSY0azmG3rM01RWw_5_0"/>
      <w:bookmarkStart w:id="4319" w:name="Tc_nRvoT9rA7UKbeWNVF43z9g_4_0"/>
      <w:bookmarkStart w:id="4320" w:name="Tc_Dq8c3uyJkU6U5DkEDbXqnQ_3_0"/>
      <w:bookmarkStart w:id="4321" w:name="Tc_1oMQ3gjaF0a9SF4Z8rdg4A_2_0"/>
      <w:bookmarkStart w:id="4322" w:name="Tc_VpeiHu5uOU6T5Wi6-JTPsg_1_2"/>
      <w:bookmarkStart w:id="4323" w:name="Tc_YffTvR1EmUC0gqCm8JD7Zw_1_0"/>
      <w:bookmarkEnd w:id="4315"/>
      <w:bookmarkEnd w:id="4316"/>
      <w:bookmarkEnd w:id="4317"/>
      <w:bookmarkEnd w:id="4318"/>
      <w:bookmarkEnd w:id="4319"/>
      <w:bookmarkEnd w:id="4320"/>
      <w:bookmarkEnd w:id="4321"/>
      <w:bookmarkEnd w:id="4322"/>
      <w:bookmarkEnd w:id="4323"/>
      <w:r>
        <w:rPr>
          <w:rFonts w:ascii="Times New Roman;Times;serif" w:hAnsi="Times New Roman;Times;serif"/>
          <w:sz w:val="20"/>
        </w:rPr>
        <w:t xml:space="preserve">accelerated basis over approximately nine years for the CDI related to the four retail bank purchase from Bank of America on January 22, 2016. Total amortization expense was $1.0 million and $1.5 million for the three and six months ended June 30, 2023, and $172,000 and $345,000 for the same periods in 2022.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Amortization expense for CDI is expected to be as follows at June 30, 2023:</w:t>
      </w:r>
    </w:p>
    <w:p>
      <w:pPr>
        <w:pStyle w:val="TextBody"/>
        <w:bidi w:val="0"/>
        <w:spacing w:before="0" w:after="0"/>
        <w:ind w:left="0" w:right="0" w:hanging="0"/>
        <w:jc w:val="left"/>
        <w:rPr/>
      </w:pPr>
      <w:r>
        <w:rPr/>
        <w:t>​</w:t>
      </w:r>
    </w:p>
    <w:tbl>
      <w:tblPr>
        <w:tblW w:w="2999" w:type="dxa"/>
        <w:jc w:val="left"/>
        <w:tblInd w:w="0" w:type="dxa"/>
        <w:tblLayout w:type="fixed"/>
        <w:tblCellMar>
          <w:top w:w="0" w:type="dxa"/>
          <w:left w:w="0" w:type="dxa"/>
          <w:bottom w:w="0" w:type="dxa"/>
          <w:right w:w="0" w:type="dxa"/>
        </w:tblCellMar>
      </w:tblPr>
      <w:tblGrid>
        <w:gridCol w:w="1681"/>
        <w:gridCol w:w="326"/>
        <w:gridCol w:w="211"/>
        <w:gridCol w:w="78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067435" cy="175260"/>
                      <wp:effectExtent l="0" t="0" r="0" b="0"/>
                      <wp:wrapNone/>
                      <wp:docPr id="644" name="Frame644"/>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207010" cy="175260"/>
                      <wp:effectExtent l="0" t="0" r="0" b="0"/>
                      <wp:wrapNone/>
                      <wp:docPr id="645" name="Frame6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133985" cy="175260"/>
                      <wp:effectExtent l="0" t="0" r="0" b="0"/>
                      <wp:wrapNone/>
                      <wp:docPr id="646" name="Frame6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495935" cy="175260"/>
                      <wp:effectExtent l="0" t="0" r="0" b="0"/>
                      <wp:wrapNone/>
                      <wp:docPr id="647" name="Frame6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bidi w:val="0"/>
              <w:spacing w:before="0" w:after="0"/>
              <w:ind w:left="0" w:right="0" w:hanging="0"/>
              <w:jc w:val="center"/>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3,633</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2,846</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5,173</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19,325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4324" w:name="Tc_yBdm1r3aRk-1BpiwHpRhrw_8_11"/>
      <w:bookmarkStart w:id="4325" w:name="Tc_9m2Br_N5XU-KthWZ7v_53A_8_8"/>
      <w:bookmarkStart w:id="4326" w:name="Tc_vv85d2Us10CPJZTA98X_gQ_8_5"/>
      <w:bookmarkStart w:id="4327" w:name="Tc_tbXhNBxNDUKI91sLdAkY1A_8_2"/>
      <w:bookmarkStart w:id="4328" w:name="Tc_q3zZ1Ibfk0GEH_GJE0GtLg_8_0"/>
      <w:bookmarkStart w:id="4329" w:name="Tc_YTpKis3VLkyy7SLxEMOCvA_7_0"/>
      <w:bookmarkStart w:id="4330" w:name="Tc_xOq_-DMYskyCYDpLHngKgQ_6_0"/>
      <w:bookmarkStart w:id="4331" w:name="Tc_K2UU9UHY5k-8T7Yz95Uvkg_5_0"/>
      <w:bookmarkStart w:id="4332" w:name="Tc_iBt0MzaAc0e8gnm8Bwd5JQ_4_11"/>
      <w:bookmarkStart w:id="4333" w:name="Tc_c5BcLZ9KtEOJ4BynpzxidA_4_8"/>
      <w:bookmarkStart w:id="4334" w:name="Tc_LK4KnqF9jkeGvCWgSOv7Jg_4_5"/>
      <w:bookmarkStart w:id="4335" w:name="Tc_7xOd1_Ti3UGxx2VLtB90jQ_4_2"/>
      <w:bookmarkStart w:id="4336" w:name="Tc_-zYpYrOaBUyamEQ8WlZZEw_4_0"/>
      <w:bookmarkStart w:id="4337" w:name="Tc_6ZaJX-6rSUm_unIGyPiUmA_3_0"/>
      <w:bookmarkStart w:id="4338" w:name="Tc_WXwseF5JlU-vS_SG_lzNVA_2_11"/>
      <w:bookmarkStart w:id="4339" w:name="Tc_2qAg0_DbzEez2yWK8DQCEQ_2_8"/>
      <w:bookmarkStart w:id="4340" w:name="Tc_L_UyEQtdAkuKMSgOGve-Gw_2_5"/>
      <w:bookmarkStart w:id="4341" w:name="Tc_BSCSRWpdKUCtSwuAgWZPwA_2_2"/>
      <w:bookmarkStart w:id="4342" w:name="Tc_HZS3BW2w5k-Xg2sAVPYUOw_2_0"/>
      <w:bookmarkStart w:id="4343" w:name="Tc_Epe9ibObaUu4IY-4XC5yYA_1_8"/>
      <w:bookmarkStart w:id="4344" w:name="Tc_HfYcKieDQUWXafJ5ziy9uw_1_2"/>
      <w:bookmarkStart w:id="4345" w:name="NOTE17RevenuefromContracts"/>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r>
        <w:rPr>
          <w:rFonts w:ascii="Times New Roman;Times;serif" w:hAnsi="Times New Roman;Times;serif"/>
          <w:b/>
          <w:sz w:val="20"/>
        </w:rPr>
        <w:t>NOTE 17 – REVENUE FROM CONTRACTS WITH CUSTOMERS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 accordance with Topic 606, revenues are recognized when control of promised goods or services is transferred to customers in an amount that reflects the consideration the Company expects to be entitled to in exchange for those goods or services. To determine revenue recognition for arrangements that an entity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that are promised within each contract and identifies those that contain performance obligations and assesses whether each promised good or service is distinct. The Company then recognizes as revenue the amount of the transaction price that is allocated to the respective performance obligation when (or as) the performance obligation is satisfied. </w:t>
      </w:r>
    </w:p>
    <w:p>
      <w:pPr>
        <w:pStyle w:val="TextBody"/>
        <w:bidi w:val="0"/>
        <w:spacing w:before="240" w:after="200"/>
        <w:ind w:left="0" w:right="0" w:hanging="0"/>
        <w:jc w:val="both"/>
        <w:rPr>
          <w:rFonts w:ascii="Times New Roman;Times;serif" w:hAnsi="Times New Roman;Times;serif"/>
          <w:sz w:val="20"/>
        </w:rPr>
      </w:pPr>
      <w:r>
        <w:rPr>
          <w:rFonts w:ascii="Times New Roman;Times;serif" w:hAnsi="Times New Roman;Times;serif"/>
          <w:sz w:val="20"/>
        </w:rPr>
        <w:t>All the Company’s revenue from contracts with customers in-scope of ASC 606 is recognized in noninterest income and included in our commercial and consumer banking segment.  The following table presents noninterest income, segregated by revenue streams in-scope and out-of-scope and/or immaterial to Topic 606, for the dates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900"/>
        <w:gridCol w:w="326"/>
        <w:gridCol w:w="334"/>
        <w:gridCol w:w="905"/>
        <w:gridCol w:w="516"/>
        <w:gridCol w:w="334"/>
        <w:gridCol w:w="905"/>
        <w:gridCol w:w="326"/>
        <w:gridCol w:w="281"/>
        <w:gridCol w:w="902"/>
        <w:gridCol w:w="145"/>
        <w:gridCol w:w="281"/>
        <w:gridCol w:w="1050"/>
      </w:tblGrid>
      <w:tr>
        <w:trPr/>
        <w:tc>
          <w:tcPr>
            <w:tcW w:w="39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476500" cy="175260"/>
                      <wp:effectExtent l="0" t="0" r="0" b="0"/>
                      <wp:wrapNone/>
                      <wp:docPr id="648" name="Frame648"/>
                      <a:graphic xmlns:a="http://schemas.openxmlformats.org/drawingml/2006/main">
                        <a:graphicData uri="http://schemas.microsoft.com/office/word/2010/wordprocessingShape">
                          <wps:wsp>
                            <wps:cNvSpPr txBox="1"/>
                            <wps:spPr>
                              <a:xfrm>
                                <a:off x="0" y="0"/>
                                <a:ext cx="2476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7010" cy="175260"/>
                      <wp:effectExtent l="0" t="0" r="0" b="0"/>
                      <wp:wrapNone/>
                      <wp:docPr id="649" name="Frame6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12090" cy="175260"/>
                      <wp:effectExtent l="0" t="0" r="0" b="0"/>
                      <wp:wrapNone/>
                      <wp:docPr id="650" name="Frame650"/>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574675" cy="175260"/>
                      <wp:effectExtent l="0" t="0" r="0" b="0"/>
                      <wp:wrapNone/>
                      <wp:docPr id="651" name="Frame651"/>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327660" cy="175260"/>
                      <wp:effectExtent l="0" t="0" r="0" b="0"/>
                      <wp:wrapNone/>
                      <wp:docPr id="652" name="Frame652"/>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12090" cy="175260"/>
                      <wp:effectExtent l="0" t="0" r="0" b="0"/>
                      <wp:wrapNone/>
                      <wp:docPr id="653" name="Frame653"/>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574675" cy="175260"/>
                      <wp:effectExtent l="0" t="0" r="0" b="0"/>
                      <wp:wrapNone/>
                      <wp:docPr id="654" name="Frame654"/>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07010" cy="175260"/>
                      <wp:effectExtent l="0" t="0" r="0" b="0"/>
                      <wp:wrapNone/>
                      <wp:docPr id="655" name="Frame6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78435" cy="175260"/>
                      <wp:effectExtent l="0" t="0" r="0" b="0"/>
                      <wp:wrapNone/>
                      <wp:docPr id="656" name="Frame656"/>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572770" cy="175260"/>
                      <wp:effectExtent l="0" t="0" r="0" b="0"/>
                      <wp:wrapNone/>
                      <wp:docPr id="657" name="Frame657"/>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92075" cy="175260"/>
                      <wp:effectExtent l="0" t="0" r="0" b="0"/>
                      <wp:wrapNone/>
                      <wp:docPr id="658" name="Frame658"/>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178435" cy="175260"/>
                      <wp:effectExtent l="0" t="0" r="0" b="0"/>
                      <wp:wrapNone/>
                      <wp:docPr id="659" name="Frame659"/>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66750" cy="175260"/>
                      <wp:effectExtent l="0" t="0" r="0" b="0"/>
                      <wp:wrapNone/>
                      <wp:docPr id="660" name="Frame660"/>
                      <a:graphic xmlns:a="http://schemas.openxmlformats.org/drawingml/2006/main">
                        <a:graphicData uri="http://schemas.microsoft.com/office/word/2010/wordprocessingShape">
                          <wps:wsp>
                            <wps:cNvSpPr txBox="1"/>
                            <wps:spPr>
                              <a:xfrm>
                                <a:off x="0" y="0"/>
                                <a:ext cx="666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9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At or For the Three Months Ended June 30, </w:t>
            </w:r>
          </w:p>
        </w:tc>
        <w:tc>
          <w:tcPr>
            <w:tcW w:w="326" w:type="dxa"/>
            <w:tcBorders/>
            <w:vAlign w:val="center"/>
          </w:tcPr>
          <w:p>
            <w:pPr>
              <w:pStyle w:val="TableContents"/>
              <w:bidi w:val="0"/>
              <w:spacing w:before="0" w:after="1"/>
              <w:ind w:left="0" w:right="0" w:hanging="0"/>
              <w:jc w:val="left"/>
              <w:rPr/>
            </w:pPr>
            <w:r>
              <w:rPr/>
              <w:t>​</w:t>
            </w:r>
          </w:p>
        </w:tc>
        <w:tc>
          <w:tcPr>
            <w:tcW w:w="265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For the Six Months Ended June 30, </w:t>
            </w:r>
          </w:p>
        </w:tc>
      </w:tr>
      <w:tr>
        <w:trPr/>
        <w:tc>
          <w:tcPr>
            <w:tcW w:w="39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 income</w:t>
            </w:r>
          </w:p>
        </w:tc>
        <w:tc>
          <w:tcPr>
            <w:tcW w:w="326" w:type="dxa"/>
            <w:tcBorders/>
            <w:vAlign w:val="center"/>
          </w:tcPr>
          <w:p>
            <w:pPr>
              <w:pStyle w:val="TableContents"/>
              <w:bidi w:val="0"/>
              <w:spacing w:before="0" w:after="1"/>
              <w:ind w:left="0" w:right="0" w:hanging="0"/>
              <w:jc w:val="left"/>
              <w:rPr/>
            </w:pPr>
            <w:r>
              <w:rPr/>
              <w:t>    </w:t>
            </w:r>
          </w:p>
        </w:tc>
        <w:tc>
          <w:tcPr>
            <w:tcW w:w="12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516" w:type="dxa"/>
            <w:tcBorders/>
            <w:vAlign w:val="center"/>
          </w:tcPr>
          <w:p>
            <w:pPr>
              <w:pStyle w:val="TableContents"/>
              <w:bidi w:val="0"/>
              <w:spacing w:before="0" w:after="1"/>
              <w:ind w:left="0" w:right="0" w:hanging="0"/>
              <w:jc w:val="left"/>
              <w:rPr/>
            </w:pPr>
            <w:r>
              <w:rPr/>
              <w:t>    </w:t>
            </w:r>
          </w:p>
        </w:tc>
        <w:tc>
          <w:tcPr>
            <w:tcW w:w="12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145" w:type="dxa"/>
            <w:tcBorders/>
            <w:vAlign w:val="center"/>
          </w:tcPr>
          <w:p>
            <w:pPr>
              <w:pStyle w:val="TableContents"/>
              <w:bidi w:val="0"/>
              <w:spacing w:before="0" w:after="1"/>
              <w:ind w:left="0" w:right="0" w:hanging="0"/>
              <w:jc w:val="center"/>
              <w:rPr/>
            </w:pPr>
            <w:r>
              <w:rPr/>
              <w:t>​</w:t>
            </w:r>
          </w:p>
        </w:tc>
        <w:tc>
          <w:tcPr>
            <w:tcW w:w="13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9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In-scope of Topic 606:</w:t>
            </w:r>
          </w:p>
        </w:tc>
        <w:tc>
          <w:tcPr>
            <w:tcW w:w="32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left"/>
              <w:rPr/>
            </w:pPr>
            <w:r>
              <w:rPr/>
              <w:t>​</w:t>
            </w:r>
          </w:p>
        </w:tc>
        <w:tc>
          <w:tcPr>
            <w:tcW w:w="516" w:type="dxa"/>
            <w:tcBorders/>
            <w:shd w:fill="CCEEFF" w:val="clear"/>
            <w:vAlign w:val="center"/>
          </w:tcPr>
          <w:p>
            <w:pPr>
              <w:pStyle w:val="TableContents"/>
              <w:bidi w:val="0"/>
              <w:spacing w:before="0" w:after="1"/>
              <w:ind w:left="0" w:right="0" w:hanging="0"/>
              <w:jc w:val="lef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90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2" w:type="dxa"/>
            <w:tcBorders/>
            <w:shd w:fill="CCEEFF" w:val="clear"/>
            <w:vAlign w:val="center"/>
          </w:tcPr>
          <w:p>
            <w:pPr>
              <w:pStyle w:val="TableContents"/>
              <w:bidi w:val="0"/>
              <w:spacing w:before="0" w:after="1"/>
              <w:ind w:left="0" w:right="0" w:hanging="0"/>
              <w:jc w:val="left"/>
              <w:rPr/>
            </w:pPr>
            <w:r>
              <w:rPr/>
              <w:t>​</w:t>
            </w:r>
          </w:p>
        </w:tc>
        <w:tc>
          <w:tcPr>
            <w:tcW w:w="145"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1050" w:type="dxa"/>
            <w:tcBorders/>
            <w:shd w:fill="CCEEFF" w:val="clear"/>
            <w:vAlign w:val="center"/>
          </w:tcPr>
          <w:p>
            <w:pPr>
              <w:pStyle w:val="TableContents"/>
              <w:bidi w:val="0"/>
              <w:spacing w:before="0" w:after="1"/>
              <w:ind w:left="0" w:right="0" w:hanging="0"/>
              <w:jc w:val="left"/>
              <w:rPr/>
            </w:pPr>
            <w:r>
              <w:rPr/>
              <w:t>​</w:t>
            </w:r>
          </w:p>
        </w:tc>
      </w:tr>
      <w:tr>
        <w:trPr/>
        <w:tc>
          <w:tcPr>
            <w:tcW w:w="39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Debit card interchange fees</w:t>
            </w:r>
          </w:p>
        </w:tc>
        <w:tc>
          <w:tcPr>
            <w:tcW w:w="32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882</w:t>
            </w:r>
          </w:p>
        </w:tc>
        <w:tc>
          <w:tcPr>
            <w:tcW w:w="51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584</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w:t>
            </w:r>
          </w:p>
        </w:tc>
        <w:tc>
          <w:tcPr>
            <w:tcW w:w="145"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1,127</w:t>
            </w:r>
          </w:p>
        </w:tc>
      </w:tr>
      <w:tr>
        <w:trPr/>
        <w:tc>
          <w:tcPr>
            <w:tcW w:w="39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Deposit service and account maintenance fees</w:t>
            </w:r>
          </w:p>
        </w:tc>
        <w:tc>
          <w:tcPr>
            <w:tcW w:w="326"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c>
          <w:tcPr>
            <w:tcW w:w="516"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145" w:type="dxa"/>
            <w:tcBorders/>
            <w:shd w:fill="CCEEFF" w:val="clear"/>
            <w:vAlign w:val="center"/>
          </w:tcPr>
          <w:p>
            <w:pPr>
              <w:pStyle w:val="TableContents"/>
              <w:bidi w:val="0"/>
              <w:spacing w:before="0" w:after="1"/>
              <w:ind w:left="0" w:right="0" w:hanging="0"/>
              <w:jc w:val="righ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39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 income (in-scope of Topic 606)</w:t>
            </w:r>
          </w:p>
        </w:tc>
        <w:tc>
          <w:tcPr>
            <w:tcW w:w="32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c>
          <w:tcPr>
            <w:tcW w:w="516" w:type="dxa"/>
            <w:tcBorders/>
            <w:vAlign w:val="center"/>
          </w:tcPr>
          <w:p>
            <w:pPr>
              <w:pStyle w:val="TableContents"/>
              <w:bidi w:val="0"/>
              <w:spacing w:before="0" w:after="1"/>
              <w:ind w:left="0" w:right="0" w:hanging="0"/>
              <w:jc w:val="left"/>
              <w:rPr/>
            </w:pPr>
            <w:r>
              <w:rPr/>
              <w:t>​</w:t>
            </w:r>
          </w:p>
        </w:tc>
        <w:tc>
          <w:tcPr>
            <w:tcW w:w="334" w:type="dxa"/>
            <w:tcBorders/>
            <w:vAlign w:val="center"/>
          </w:tcPr>
          <w:p>
            <w:pPr>
              <w:pStyle w:val="TableContents"/>
              <w:bidi w:val="0"/>
              <w:spacing w:before="0" w:after="1"/>
              <w:ind w:left="0" w:right="0" w:hanging="0"/>
              <w:jc w:val="left"/>
              <w:rPr/>
            </w:pPr>
            <w:r>
              <w:rPr/>
              <w:t>​</w:t>
            </w:r>
          </w:p>
        </w:tc>
        <w:tc>
          <w:tcPr>
            <w:tcW w:w="9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w:t>
            </w:r>
          </w:p>
        </w:tc>
        <w:tc>
          <w:tcPr>
            <w:tcW w:w="9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2,184</w:t>
            </w:r>
          </w:p>
        </w:tc>
        <w:tc>
          <w:tcPr>
            <w:tcW w:w="145" w:type="dxa"/>
            <w:tcBorders/>
            <w:vAlign w:val="center"/>
          </w:tcPr>
          <w:p>
            <w:pPr>
              <w:pStyle w:val="TableContents"/>
              <w:bidi w:val="0"/>
              <w:spacing w:before="0" w:after="1"/>
              <w:ind w:left="0" w:right="0" w:hanging="0"/>
              <w:jc w:val="right"/>
              <w:rPr/>
            </w:pPr>
            <w:r>
              <w:rPr/>
              <w:t>​</w:t>
            </w:r>
          </w:p>
        </w:tc>
        <w:tc>
          <w:tcPr>
            <w:tcW w:w="281" w:type="dxa"/>
            <w:tcBorders/>
            <w:vAlign w:val="center"/>
          </w:tcPr>
          <w:p>
            <w:pPr>
              <w:pStyle w:val="TableContents"/>
              <w:bidi w:val="0"/>
              <w:spacing w:before="0" w:after="1"/>
              <w:ind w:left="0" w:right="0" w:hanging="0"/>
              <w:jc w:val="left"/>
              <w:rPr/>
            </w:pPr>
            <w:r>
              <w:rPr/>
              <w:t>​</w:t>
            </w:r>
          </w:p>
        </w:tc>
        <w:tc>
          <w:tcPr>
            <w:tcW w:w="105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1,568</w:t>
            </w:r>
          </w:p>
        </w:tc>
      </w:tr>
      <w:tr>
        <w:trPr/>
        <w:tc>
          <w:tcPr>
            <w:tcW w:w="39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 income (out-of-scope and/or immaterial to Topic 606)</w:t>
            </w:r>
          </w:p>
        </w:tc>
        <w:tc>
          <w:tcPr>
            <w:tcW w:w="326"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3,563</w:t>
            </w:r>
          </w:p>
        </w:tc>
        <w:tc>
          <w:tcPr>
            <w:tcW w:w="516" w:type="dxa"/>
            <w:tcBorders/>
            <w:shd w:fill="CCEEFF" w:val="clear"/>
            <w:vAlign w:val="center"/>
          </w:tcPr>
          <w:p>
            <w:pPr>
              <w:pStyle w:val="TableContents"/>
              <w:bidi w:val="0"/>
              <w:spacing w:before="0" w:after="1"/>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3,546</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7,868</w:t>
            </w:r>
          </w:p>
        </w:tc>
        <w:tc>
          <w:tcPr>
            <w:tcW w:w="145" w:type="dxa"/>
            <w:tcBorders/>
            <w:shd w:fill="CCEEFF" w:val="clear"/>
            <w:vAlign w:val="center"/>
          </w:tcPr>
          <w:p>
            <w:pPr>
              <w:pStyle w:val="TableContents"/>
              <w:bidi w:val="0"/>
              <w:spacing w:before="0" w:after="1"/>
              <w:ind w:left="0" w:right="0" w:hanging="0"/>
              <w:jc w:val="righ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8,663</w:t>
            </w:r>
          </w:p>
        </w:tc>
      </w:tr>
      <w:tr>
        <w:trPr/>
        <w:tc>
          <w:tcPr>
            <w:tcW w:w="39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noninterest income</w:t>
            </w:r>
          </w:p>
        </w:tc>
        <w:tc>
          <w:tcPr>
            <w:tcW w:w="326" w:type="dxa"/>
            <w:tcBorders/>
            <w:vAlign w:val="center"/>
          </w:tcPr>
          <w:p>
            <w:pPr>
              <w:pStyle w:val="TableContents"/>
              <w:bidi w:val="0"/>
              <w:spacing w:before="0" w:after="1"/>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4,833</w:t>
            </w:r>
          </w:p>
        </w:tc>
        <w:tc>
          <w:tcPr>
            <w:tcW w:w="516" w:type="dxa"/>
            <w:tcBorders/>
            <w:vAlign w:val="center"/>
          </w:tcPr>
          <w:p>
            <w:pPr>
              <w:pStyle w:val="TableContents"/>
              <w:bidi w:val="0"/>
              <w:spacing w:before="0" w:after="1"/>
              <w:ind w:left="0" w:right="0" w:hanging="0"/>
              <w:jc w:val="left"/>
              <w:rPr/>
            </w:pPr>
            <w:r>
              <w:rPr/>
              <w:t>​</w:t>
            </w:r>
          </w:p>
        </w:tc>
        <w:tc>
          <w:tcPr>
            <w:tcW w:w="3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4,355</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10,052</w:t>
            </w:r>
          </w:p>
        </w:tc>
        <w:tc>
          <w:tcPr>
            <w:tcW w:w="145" w:type="dxa"/>
            <w:tcBorders/>
            <w:vAlign w:val="center"/>
          </w:tcPr>
          <w:p>
            <w:pPr>
              <w:pStyle w:val="TableContents"/>
              <w:bidi w:val="0"/>
              <w:spacing w:before="0" w:after="1"/>
              <w:ind w:left="0" w:right="0" w:hanging="0"/>
              <w:jc w:val="righ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10,231</w:t>
            </w:r>
          </w:p>
        </w:tc>
      </w:tr>
    </w:tbl>
    <w:p>
      <w:pPr>
        <w:pStyle w:val="TextBody"/>
        <w:bidi w:val="0"/>
        <w:spacing w:before="0" w:after="200"/>
        <w:ind w:left="0" w:right="0" w:hanging="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Deposit Service and Account Maintenance Fees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Bank earns fees from its deposit customers for account maintenance, transaction-based services, and overdraft charges.  Account maintenance fees consist primarily of account fees and analyzed account fees charged on deposit accounts on a monthly basis.  The performance obligation is satisfied and the fees are recognized on a monthly basis as the service period is completed. Transaction-based fees on deposit accounts are charged to deposit customers for specific services provided to the customer, such as wire fees, as well as charges against the account, such as fees for non-sufficient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funds and overdrafts. The performance obligation is completed as the transaction occurs and the fees are recognized at the time each specific service is provided to the customer.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Debit Interchange Income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Debit and ATM interchange income represent fees earned when a debit card issued by the Bank is used.  The Bank earns interchange fees from debit cardholder transactions through the Visa payment network.  Interchange fees from cardholder transactions represent a percentage of the underlying transaction value and are recognized daily, concurrently with the transaction processing services provided to the cardholder. The performance obligation is satisfied and the fees are earned when the cost of the transaction is charged to the cardholders’ debit card.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4346" w:name="Item2ManagementsDiscussion_793392"/>
      <w:bookmarkStart w:id="4347" w:name="_2280d30d_051b_4a20_aa83_d12580416a1c"/>
      <w:bookmarkEnd w:id="4346"/>
      <w:bookmarkEnd w:id="4347"/>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report contains forward-looking statements, which can be identified by the use of words such as “believes,” “expects,” “anticipates,” “estimates,” or similar expressions. Forward-looking statements include, but are not limited to:</w:t>
      </w:r>
    </w:p>
    <w:tbl>
      <w:tblPr>
        <w:tblW w:w="4727" w:type="dxa"/>
        <w:jc w:val="left"/>
        <w:tblInd w:w="0" w:type="dxa"/>
        <w:tblLayout w:type="fixed"/>
        <w:tblCellMar>
          <w:top w:w="0" w:type="dxa"/>
          <w:left w:w="0" w:type="dxa"/>
          <w:bottom w:w="0" w:type="dxa"/>
          <w:right w:w="0" w:type="dxa"/>
        </w:tblCellMar>
      </w:tblPr>
      <w:tblGrid>
        <w:gridCol w:w="271"/>
        <w:gridCol w:w="4456"/>
      </w:tblGrid>
      <w:tr>
        <w:trPr/>
        <w:tc>
          <w:tcPr>
            <w:tcW w:w="271" w:type="dxa"/>
            <w:tcBorders/>
            <w:vAlign w:val="center"/>
          </w:tcPr>
          <w:p>
            <w:pPr>
              <w:pStyle w:val="TableContents"/>
              <w:bidi w:val="0"/>
              <w:spacing w:before="0" w:after="283"/>
              <w:jc w:val="left"/>
              <w:rPr/>
            </w:pPr>
            <w:r>
              <w:rPr/>
              <w:t>●</w:t>
            </w:r>
          </w:p>
        </w:tc>
        <w:tc>
          <w:tcPr>
            <w:tcW w:w="4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of our goals, intentions, and expectations;</w:t>
            </w:r>
          </w:p>
        </w:tc>
      </w:tr>
    </w:tbl>
    <w:tbl>
      <w:tblPr>
        <w:tblW w:w="7232" w:type="dxa"/>
        <w:jc w:val="left"/>
        <w:tblInd w:w="0" w:type="dxa"/>
        <w:tblLayout w:type="fixed"/>
        <w:tblCellMar>
          <w:top w:w="0" w:type="dxa"/>
          <w:left w:w="0" w:type="dxa"/>
          <w:bottom w:w="0" w:type="dxa"/>
          <w:right w:w="0" w:type="dxa"/>
        </w:tblCellMar>
      </w:tblPr>
      <w:tblGrid>
        <w:gridCol w:w="271"/>
        <w:gridCol w:w="6961"/>
      </w:tblGrid>
      <w:tr>
        <w:trPr/>
        <w:tc>
          <w:tcPr>
            <w:tcW w:w="271" w:type="dxa"/>
            <w:tcBorders/>
            <w:vAlign w:val="center"/>
          </w:tcPr>
          <w:p>
            <w:pPr>
              <w:pStyle w:val="TableContents"/>
              <w:bidi w:val="0"/>
              <w:spacing w:before="0" w:after="283"/>
              <w:jc w:val="left"/>
              <w:rPr/>
            </w:pPr>
            <w:r>
              <w:rPr/>
              <w:t>●</w:t>
            </w:r>
          </w:p>
        </w:tc>
        <w:tc>
          <w:tcPr>
            <w:tcW w:w="69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our business plans, prospects, growth, and operating strategies;</w:t>
            </w:r>
          </w:p>
        </w:tc>
      </w:tr>
    </w:tbl>
    <w:tbl>
      <w:tblPr>
        <w:tblW w:w="6497" w:type="dxa"/>
        <w:jc w:val="left"/>
        <w:tblInd w:w="0" w:type="dxa"/>
        <w:tblLayout w:type="fixed"/>
        <w:tblCellMar>
          <w:top w:w="0" w:type="dxa"/>
          <w:left w:w="0" w:type="dxa"/>
          <w:bottom w:w="0" w:type="dxa"/>
          <w:right w:w="0" w:type="dxa"/>
        </w:tblCellMar>
      </w:tblPr>
      <w:tblGrid>
        <w:gridCol w:w="271"/>
        <w:gridCol w:w="6226"/>
      </w:tblGrid>
      <w:tr>
        <w:trPr/>
        <w:tc>
          <w:tcPr>
            <w:tcW w:w="271" w:type="dxa"/>
            <w:tcBorders/>
            <w:vAlign w:val="center"/>
          </w:tcPr>
          <w:p>
            <w:pPr>
              <w:pStyle w:val="TableContents"/>
              <w:bidi w:val="0"/>
              <w:spacing w:before="0" w:after="283"/>
              <w:jc w:val="left"/>
              <w:rPr/>
            </w:pPr>
            <w:r>
              <w:rPr/>
              <w:t>●</w:t>
            </w:r>
          </w:p>
        </w:tc>
        <w:tc>
          <w:tcPr>
            <w:tcW w:w="6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regarding the quality of our loan and investment portfolios; and</w:t>
            </w:r>
          </w:p>
        </w:tc>
      </w:tr>
    </w:tbl>
    <w:tbl>
      <w:tblPr>
        <w:tblW w:w="4517" w:type="dxa"/>
        <w:jc w:val="left"/>
        <w:tblInd w:w="0" w:type="dxa"/>
        <w:tblLayout w:type="fixed"/>
        <w:tblCellMar>
          <w:top w:w="0" w:type="dxa"/>
          <w:left w:w="0" w:type="dxa"/>
          <w:bottom w:w="0" w:type="dxa"/>
          <w:right w:w="0" w:type="dxa"/>
        </w:tblCellMar>
      </w:tblPr>
      <w:tblGrid>
        <w:gridCol w:w="271"/>
        <w:gridCol w:w="4246"/>
      </w:tblGrid>
      <w:tr>
        <w:trPr/>
        <w:tc>
          <w:tcPr>
            <w:tcW w:w="271" w:type="dxa"/>
            <w:tcBorders/>
            <w:vAlign w:val="center"/>
          </w:tcPr>
          <w:p>
            <w:pPr>
              <w:pStyle w:val="TableContents"/>
              <w:bidi w:val="0"/>
              <w:spacing w:before="0" w:after="283"/>
              <w:jc w:val="left"/>
              <w:rPr/>
            </w:pPr>
            <w:r>
              <w:rPr/>
              <w:t>●</w:t>
            </w:r>
          </w:p>
        </w:tc>
        <w:tc>
          <w:tcPr>
            <w:tcW w:w="4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risks and future costs and benefits.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These forward-looking statements are subject to significant risks and uncertainties. Actual results may differ materially from those contemplated by the forward-looking statements due to, among others, the following factors:</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revenues, cost savings, synergies and other benefits from our  recently completed Branch Purchase, might not be realized within the expected time frames or at all and costs or difficulties relating to integration matters, including but not limited to customer and employee retention, might be greater than expected;</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potential adverse impacts to economic conditions in the Company’s local market areas, other markets where the Company has lending relationships, or other aspects of the Company’s business operations or financial markets, including, without limitation, as a result of employment levels; labor shortages, the effects of inflation, a potential recession or slowed economic growth caused by increasing political instability from acts of war, including Russia’s invasion of Ukraine, as well as supply chain disruptions; </w:t>
            </w:r>
          </w:p>
        </w:tc>
      </w:tr>
    </w:tbl>
    <w:tbl>
      <w:tblPr>
        <w:tblW w:w="9617" w:type="dxa"/>
        <w:jc w:val="left"/>
        <w:tblInd w:w="0" w:type="dxa"/>
        <w:tblLayout w:type="fixed"/>
        <w:tblCellMar>
          <w:top w:w="0" w:type="dxa"/>
          <w:left w:w="0" w:type="dxa"/>
          <w:bottom w:w="0" w:type="dxa"/>
          <w:right w:w="0" w:type="dxa"/>
        </w:tblCellMar>
      </w:tblPr>
      <w:tblGrid>
        <w:gridCol w:w="271"/>
        <w:gridCol w:w="9346"/>
      </w:tblGrid>
      <w:tr>
        <w:trPr/>
        <w:tc>
          <w:tcPr>
            <w:tcW w:w="271" w:type="dxa"/>
            <w:tcBorders/>
            <w:vAlign w:val="center"/>
          </w:tcPr>
          <w:p>
            <w:pPr>
              <w:pStyle w:val="TableContents"/>
              <w:bidi w:val="0"/>
              <w:spacing w:before="0" w:after="283"/>
              <w:jc w:val="left"/>
              <w:rPr/>
            </w:pPr>
            <w:r>
              <w:rPr/>
              <w:t>●</w:t>
            </w:r>
          </w:p>
        </w:tc>
        <w:tc>
          <w:tcPr>
            <w:tcW w:w="93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higher inflation and the impact of current and future monetary policies of the Federal Reserve in response thereto;</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risks of lending activities, including changes in the level and trend of loan delinquencies, write offs, changes in our ACL for loans, and provision for credit losses on loans that may be impacted by deterioration in the housing and commercial real estate markets;</w:t>
            </w:r>
          </w:p>
        </w:tc>
      </w:tr>
    </w:tbl>
    <w:tbl>
      <w:tblPr>
        <w:tblW w:w="9302" w:type="dxa"/>
        <w:jc w:val="left"/>
        <w:tblInd w:w="0" w:type="dxa"/>
        <w:tblLayout w:type="fixed"/>
        <w:tblCellMar>
          <w:top w:w="0" w:type="dxa"/>
          <w:left w:w="0" w:type="dxa"/>
          <w:bottom w:w="0" w:type="dxa"/>
          <w:right w:w="0" w:type="dxa"/>
        </w:tblCellMar>
      </w:tblPr>
      <w:tblGrid>
        <w:gridCol w:w="271"/>
        <w:gridCol w:w="9031"/>
      </w:tblGrid>
      <w:tr>
        <w:trPr/>
        <w:tc>
          <w:tcPr>
            <w:tcW w:w="271" w:type="dxa"/>
            <w:tcBorders/>
            <w:vAlign w:val="center"/>
          </w:tcPr>
          <w:p>
            <w:pPr>
              <w:pStyle w:val="TableContents"/>
              <w:bidi w:val="0"/>
              <w:spacing w:before="0" w:after="283"/>
              <w:jc w:val="left"/>
              <w:rPr/>
            </w:pPr>
            <w:r>
              <w:rPr/>
              <w:t>●</w:t>
            </w:r>
          </w:p>
        </w:tc>
        <w:tc>
          <w:tcPr>
            <w:tcW w:w="90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secondary market conditions and our ability to originate loans for sale and sell loans in the secondary market;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demand for loans, the number of unsold homes, land and other properties, and fluctuations in real estate values in our market area;</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staffing fluctuations in response to product demand or the implementation of corporate strategies that affect our workforce and potential associated charges;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estimates in determining fair value of certain of our assets, which estimates may prove to be incorrect and result in significant declines in valuation;</w:t>
            </w:r>
          </w:p>
        </w:tc>
      </w:tr>
    </w:tbl>
    <w:tbl>
      <w:tblPr>
        <w:tblW w:w="10187" w:type="dxa"/>
        <w:jc w:val="left"/>
        <w:tblInd w:w="0" w:type="dxa"/>
        <w:tblLayout w:type="fixed"/>
        <w:tblCellMar>
          <w:top w:w="0" w:type="dxa"/>
          <w:left w:w="0" w:type="dxa"/>
          <w:bottom w:w="0" w:type="dxa"/>
          <w:right w:w="0" w:type="dxa"/>
        </w:tblCellMar>
      </w:tblPr>
      <w:tblGrid>
        <w:gridCol w:w="271"/>
        <w:gridCol w:w="9916"/>
      </w:tblGrid>
      <w:tr>
        <w:trPr/>
        <w:tc>
          <w:tcPr>
            <w:tcW w:w="271" w:type="dxa"/>
            <w:tcBorders/>
            <w:vAlign w:val="center"/>
          </w:tcPr>
          <w:p>
            <w:pPr>
              <w:pStyle w:val="TableContents"/>
              <w:bidi w:val="0"/>
              <w:spacing w:before="0" w:after="283"/>
              <w:jc w:val="left"/>
              <w:rPr/>
            </w:pPr>
            <w:r>
              <w:rPr/>
              <w:t>●</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interest rate environment that reduce our interest margins or reduce the fair value of financial instruments;</w:t>
            </w:r>
          </w:p>
        </w:tc>
      </w:tr>
    </w:tbl>
    <w:tbl>
      <w:tblPr>
        <w:tblW w:w="8942" w:type="dxa"/>
        <w:jc w:val="left"/>
        <w:tblInd w:w="0" w:type="dxa"/>
        <w:tblLayout w:type="fixed"/>
        <w:tblCellMar>
          <w:top w:w="0" w:type="dxa"/>
          <w:left w:w="0" w:type="dxa"/>
          <w:bottom w:w="0" w:type="dxa"/>
          <w:right w:w="0" w:type="dxa"/>
        </w:tblCellMar>
      </w:tblPr>
      <w:tblGrid>
        <w:gridCol w:w="271"/>
        <w:gridCol w:w="8671"/>
      </w:tblGrid>
      <w:tr>
        <w:trPr/>
        <w:tc>
          <w:tcPr>
            <w:tcW w:w="271" w:type="dxa"/>
            <w:tcBorders/>
            <w:vAlign w:val="center"/>
          </w:tcPr>
          <w:p>
            <w:pPr>
              <w:pStyle w:val="TableContents"/>
              <w:bidi w:val="0"/>
              <w:spacing w:before="0" w:after="283"/>
              <w:jc w:val="left"/>
              <w:rPr/>
            </w:pPr>
            <w:r>
              <w:rPr/>
              <w:t>●</w:t>
            </w:r>
          </w:p>
        </w:tc>
        <w:tc>
          <w:tcPr>
            <w:tcW w:w="86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away from the London Interbank Offered Rate (“LIBOR”) toward new interest rate benchmarks;</w:t>
            </w:r>
          </w:p>
        </w:tc>
      </w:tr>
    </w:tbl>
    <w:tbl>
      <w:tblPr>
        <w:tblW w:w="6017" w:type="dxa"/>
        <w:jc w:val="left"/>
        <w:tblInd w:w="0" w:type="dxa"/>
        <w:tblLayout w:type="fixed"/>
        <w:tblCellMar>
          <w:top w:w="0" w:type="dxa"/>
          <w:left w:w="0" w:type="dxa"/>
          <w:bottom w:w="0" w:type="dxa"/>
          <w:right w:w="0" w:type="dxa"/>
        </w:tblCellMar>
      </w:tblPr>
      <w:tblGrid>
        <w:gridCol w:w="271"/>
        <w:gridCol w:w="5746"/>
      </w:tblGrid>
      <w:tr>
        <w:trPr/>
        <w:tc>
          <w:tcPr>
            <w:tcW w:w="271" w:type="dxa"/>
            <w:tcBorders/>
            <w:vAlign w:val="center"/>
          </w:tcPr>
          <w:p>
            <w:pPr>
              <w:pStyle w:val="TableContents"/>
              <w:bidi w:val="0"/>
              <w:spacing w:before="0" w:after="283"/>
              <w:jc w:val="left"/>
              <w:rPr/>
            </w:pPr>
            <w:r>
              <w:rPr/>
              <w:t>●</w:t>
            </w:r>
          </w:p>
        </w:tc>
        <w:tc>
          <w:tcPr>
            <w:tcW w:w="57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competitive pressures among financial services companies;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plans to grow our residential construction lending, our home lending operations, our warehouse lending, and the geographic expansion of our indirect home improvement lending;</w:t>
            </w:r>
          </w:p>
        </w:tc>
      </w:tr>
    </w:tbl>
    <w:tbl>
      <w:tblPr>
        <w:tblW w:w="3677" w:type="dxa"/>
        <w:jc w:val="left"/>
        <w:tblInd w:w="0" w:type="dxa"/>
        <w:tblLayout w:type="fixed"/>
        <w:tblCellMar>
          <w:top w:w="0" w:type="dxa"/>
          <w:left w:w="0" w:type="dxa"/>
          <w:bottom w:w="0" w:type="dxa"/>
          <w:right w:w="0" w:type="dxa"/>
        </w:tblCellMar>
      </w:tblPr>
      <w:tblGrid>
        <w:gridCol w:w="271"/>
        <w:gridCol w:w="3406"/>
      </w:tblGrid>
      <w:tr>
        <w:trPr/>
        <w:tc>
          <w:tcPr>
            <w:tcW w:w="271" w:type="dxa"/>
            <w:tcBorders/>
            <w:vAlign w:val="center"/>
          </w:tcPr>
          <w:p>
            <w:pPr>
              <w:pStyle w:val="TableContents"/>
              <w:bidi w:val="0"/>
              <w:spacing w:before="0" w:after="283"/>
              <w:jc w:val="left"/>
              <w:rPr/>
            </w:pPr>
            <w:r>
              <w:rPr/>
              <w:t>●</w:t>
            </w:r>
          </w:p>
        </w:tc>
        <w:tc>
          <w:tcPr>
            <w:tcW w:w="3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deposits;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tc>
      </w:tr>
    </w:tbl>
    <w:tbl>
      <w:tblPr>
        <w:tblW w:w="4577" w:type="dxa"/>
        <w:jc w:val="left"/>
        <w:tblInd w:w="0" w:type="dxa"/>
        <w:tblLayout w:type="fixed"/>
        <w:tblCellMar>
          <w:top w:w="0" w:type="dxa"/>
          <w:left w:w="0" w:type="dxa"/>
          <w:bottom w:w="0" w:type="dxa"/>
          <w:right w:w="0" w:type="dxa"/>
        </w:tblCellMar>
      </w:tblPr>
      <w:tblGrid>
        <w:gridCol w:w="271"/>
        <w:gridCol w:w="4306"/>
      </w:tblGrid>
      <w:tr>
        <w:trPr/>
        <w:tc>
          <w:tcPr>
            <w:tcW w:w="271" w:type="dxa"/>
            <w:tcBorders/>
            <w:vAlign w:val="center"/>
          </w:tcPr>
          <w:p>
            <w:pPr>
              <w:pStyle w:val="TableContents"/>
              <w:bidi w:val="0"/>
              <w:spacing w:before="0" w:after="283"/>
              <w:jc w:val="left"/>
              <w:rPr/>
            </w:pPr>
            <w:r>
              <w:rPr/>
              <w:t>●</w:t>
            </w:r>
          </w:p>
        </w:tc>
        <w:tc>
          <w:tcPr>
            <w:tcW w:w="43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control operating costs and expenses;</w:t>
            </w:r>
          </w:p>
        </w:tc>
      </w:tr>
    </w:tbl>
    <w:tbl>
      <w:tblPr>
        <w:tblW w:w="5747" w:type="dxa"/>
        <w:jc w:val="left"/>
        <w:tblInd w:w="0" w:type="dxa"/>
        <w:tblLayout w:type="fixed"/>
        <w:tblCellMar>
          <w:top w:w="0" w:type="dxa"/>
          <w:left w:w="0" w:type="dxa"/>
          <w:bottom w:w="0" w:type="dxa"/>
          <w:right w:w="0" w:type="dxa"/>
        </w:tblCellMar>
      </w:tblPr>
      <w:tblGrid>
        <w:gridCol w:w="271"/>
        <w:gridCol w:w="5476"/>
      </w:tblGrid>
      <w:tr>
        <w:trPr/>
        <w:tc>
          <w:tcPr>
            <w:tcW w:w="271" w:type="dxa"/>
            <w:tcBorders/>
            <w:vAlign w:val="center"/>
          </w:tcPr>
          <w:p>
            <w:pPr>
              <w:pStyle w:val="TableContents"/>
              <w:bidi w:val="0"/>
              <w:spacing w:before="0" w:after="283"/>
              <w:jc w:val="left"/>
              <w:rPr/>
            </w:pPr>
            <w:r>
              <w:rPr/>
              <w:t>●</w:t>
            </w:r>
          </w:p>
        </w:tc>
        <w:tc>
          <w:tcPr>
            <w:tcW w:w="54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key members of our senior management team;</w:t>
            </w:r>
          </w:p>
        </w:tc>
      </w:tr>
    </w:tbl>
    <w:tbl>
      <w:tblPr>
        <w:tblW w:w="5492" w:type="dxa"/>
        <w:jc w:val="left"/>
        <w:tblInd w:w="0" w:type="dxa"/>
        <w:tblLayout w:type="fixed"/>
        <w:tblCellMar>
          <w:top w:w="0" w:type="dxa"/>
          <w:left w:w="0" w:type="dxa"/>
          <w:bottom w:w="0" w:type="dxa"/>
          <w:right w:w="0" w:type="dxa"/>
        </w:tblCellMar>
      </w:tblPr>
      <w:tblGrid>
        <w:gridCol w:w="271"/>
        <w:gridCol w:w="5221"/>
      </w:tblGrid>
      <w:tr>
        <w:trPr/>
        <w:tc>
          <w:tcPr>
            <w:tcW w:w="271" w:type="dxa"/>
            <w:tcBorders/>
            <w:vAlign w:val="center"/>
          </w:tcPr>
          <w:p>
            <w:pPr>
              <w:pStyle w:val="TableContents"/>
              <w:bidi w:val="0"/>
              <w:spacing w:before="0" w:after="283"/>
              <w:jc w:val="left"/>
              <w:rPr/>
            </w:pPr>
            <w:r>
              <w:rPr/>
              <w:t>●</w:t>
            </w:r>
          </w:p>
        </w:tc>
        <w:tc>
          <w:tcPr>
            <w:tcW w:w="5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spending, borrowing, and savings habits;</w:t>
            </w:r>
          </w:p>
        </w:tc>
      </w:tr>
    </w:tbl>
    <w:tbl>
      <w:tblPr>
        <w:tblW w:w="4187" w:type="dxa"/>
        <w:jc w:val="left"/>
        <w:tblInd w:w="0" w:type="dxa"/>
        <w:tblLayout w:type="fixed"/>
        <w:tblCellMar>
          <w:top w:w="0" w:type="dxa"/>
          <w:left w:w="0" w:type="dxa"/>
          <w:bottom w:w="0" w:type="dxa"/>
          <w:right w:w="0" w:type="dxa"/>
        </w:tblCellMar>
      </w:tblPr>
      <w:tblGrid>
        <w:gridCol w:w="271"/>
        <w:gridCol w:w="3916"/>
      </w:tblGrid>
      <w:tr>
        <w:trPr/>
        <w:tc>
          <w:tcPr>
            <w:tcW w:w="271" w:type="dxa"/>
            <w:tcBorders/>
            <w:vAlign w:val="center"/>
          </w:tcPr>
          <w:p>
            <w:pPr>
              <w:pStyle w:val="TableContents"/>
              <w:bidi w:val="0"/>
              <w:spacing w:before="0" w:after="283"/>
              <w:jc w:val="left"/>
              <w:rPr/>
            </w:pPr>
            <w:r>
              <w:rPr/>
              <w:t>●</w:t>
            </w:r>
          </w:p>
        </w:tc>
        <w:tc>
          <w:tcPr>
            <w:tcW w:w="3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manage our growth;</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bank failures or adverse developments at other banks and related negative press about the banking industry in general on investor and depositor sentiment;</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legislative or regulatory changes that adversely affect our business including changes in banking, securities and tax law, and in regulatory policies and principles, or the interpretation of regulatory capital or other rules, and other governmental initiatives affecting the financial services industry;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4547" w:type="dxa"/>
        <w:jc w:val="left"/>
        <w:tblInd w:w="0" w:type="dxa"/>
        <w:tblLayout w:type="fixed"/>
        <w:tblCellMar>
          <w:top w:w="0" w:type="dxa"/>
          <w:left w:w="0" w:type="dxa"/>
          <w:bottom w:w="0" w:type="dxa"/>
          <w:right w:w="0" w:type="dxa"/>
        </w:tblCellMar>
      </w:tblPr>
      <w:tblGrid>
        <w:gridCol w:w="271"/>
        <w:gridCol w:w="4276"/>
      </w:tblGrid>
      <w:tr>
        <w:trPr/>
        <w:tc>
          <w:tcPr>
            <w:tcW w:w="271" w:type="dxa"/>
            <w:tcBorders/>
            <w:vAlign w:val="center"/>
          </w:tcPr>
          <w:p>
            <w:pPr>
              <w:pStyle w:val="TableContents"/>
              <w:bidi w:val="0"/>
              <w:spacing w:before="0" w:after="283"/>
              <w:jc w:val="left"/>
              <w:rPr/>
            </w:pPr>
            <w:r>
              <w:rPr/>
              <w:t>●</w:t>
            </w:r>
          </w:p>
        </w:tc>
        <w:tc>
          <w:tcPr>
            <w:tcW w:w="4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pay dividends on our common stock;</w:t>
            </w:r>
          </w:p>
        </w:tc>
      </w:tr>
    </w:tbl>
    <w:tbl>
      <w:tblPr>
        <w:tblW w:w="10037" w:type="dxa"/>
        <w:jc w:val="left"/>
        <w:tblInd w:w="0" w:type="dxa"/>
        <w:tblLayout w:type="fixed"/>
        <w:tblCellMar>
          <w:top w:w="0" w:type="dxa"/>
          <w:left w:w="0" w:type="dxa"/>
          <w:bottom w:w="0" w:type="dxa"/>
          <w:right w:w="0" w:type="dxa"/>
        </w:tblCellMar>
      </w:tblPr>
      <w:tblGrid>
        <w:gridCol w:w="271"/>
        <w:gridCol w:w="9766"/>
      </w:tblGrid>
      <w:tr>
        <w:trPr/>
        <w:tc>
          <w:tcPr>
            <w:tcW w:w="271" w:type="dxa"/>
            <w:tcBorders/>
            <w:vAlign w:val="center"/>
          </w:tcPr>
          <w:p>
            <w:pPr>
              <w:pStyle w:val="TableContents"/>
              <w:bidi w:val="0"/>
              <w:spacing w:before="0" w:after="283"/>
              <w:jc w:val="left"/>
              <w:rPr/>
            </w:pPr>
            <w:r>
              <w:rPr/>
              <w:t>●</w:t>
            </w:r>
          </w:p>
        </w:tc>
        <w:tc>
          <w:tcPr>
            <w:tcW w:w="97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and composition of our securities portfolio and the impact of any adverse changes in the securities markets;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policies and practices, as may be adopted by the bank regulatory agencies, the Public Company Accounting Oversight Board or the Financial Accounting Standards Board (“FASB”);</w:t>
            </w:r>
          </w:p>
        </w:tc>
      </w:tr>
    </w:tbl>
    <w:tbl>
      <w:tblPr>
        <w:tblW w:w="5912" w:type="dxa"/>
        <w:jc w:val="left"/>
        <w:tblInd w:w="0" w:type="dxa"/>
        <w:tblLayout w:type="fixed"/>
        <w:tblCellMar>
          <w:top w:w="0" w:type="dxa"/>
          <w:left w:w="0" w:type="dxa"/>
          <w:bottom w:w="0" w:type="dxa"/>
          <w:right w:w="0" w:type="dxa"/>
        </w:tblCellMar>
      </w:tblPr>
      <w:tblGrid>
        <w:gridCol w:w="271"/>
        <w:gridCol w:w="5641"/>
      </w:tblGrid>
      <w:tr>
        <w:trPr/>
        <w:tc>
          <w:tcPr>
            <w:tcW w:w="271" w:type="dxa"/>
            <w:tcBorders/>
            <w:vAlign w:val="center"/>
          </w:tcPr>
          <w:p>
            <w:pPr>
              <w:pStyle w:val="TableContents"/>
              <w:bidi w:val="0"/>
              <w:spacing w:before="0" w:after="283"/>
              <w:jc w:val="left"/>
              <w:rPr/>
            </w:pPr>
            <w:r>
              <w:rPr/>
              <w:t>●</w:t>
            </w:r>
          </w:p>
        </w:tc>
        <w:tc>
          <w:tcPr>
            <w:tcW w:w="56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effects of litigation, including settlements and judgments;</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security breaches, or other adverse events, failures, or interruptions in, or attacks on, our information technology systems or on the third-party vendors who perform several of our critical processing functions;</w:t>
            </w:r>
          </w:p>
        </w:tc>
      </w:tr>
    </w:tbl>
    <w:tbl>
      <w:tblPr>
        <w:tblW w:w="6107" w:type="dxa"/>
        <w:jc w:val="left"/>
        <w:tblInd w:w="0" w:type="dxa"/>
        <w:tblLayout w:type="fixed"/>
        <w:tblCellMar>
          <w:top w:w="0" w:type="dxa"/>
          <w:left w:w="0" w:type="dxa"/>
          <w:bottom w:w="0" w:type="dxa"/>
          <w:right w:w="0" w:type="dxa"/>
        </w:tblCellMar>
      </w:tblPr>
      <w:tblGrid>
        <w:gridCol w:w="271"/>
        <w:gridCol w:w="5836"/>
      </w:tblGrid>
      <w:tr>
        <w:trPr/>
        <w:tc>
          <w:tcPr>
            <w:tcW w:w="271" w:type="dxa"/>
            <w:tcBorders/>
            <w:vAlign w:val="center"/>
          </w:tcPr>
          <w:p>
            <w:pPr>
              <w:pStyle w:val="TableContents"/>
              <w:bidi w:val="0"/>
              <w:spacing w:before="0" w:after="283"/>
              <w:jc w:val="left"/>
              <w:rPr/>
            </w:pPr>
            <w:r>
              <w:rPr/>
              <w:t>●</w:t>
            </w:r>
          </w:p>
        </w:tc>
        <w:tc>
          <w:tcPr>
            <w:tcW w:w="58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inability of key third-party vendors to perform their obligations to us;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economic impact of climate change, severe weather events, natural disasters, pandemics, epidemics and other public health crises, acts of war or terrorism, and other external events on our business;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economic, competitive, governmental, regulatory, and technical factors affecting our operations, pricing, products and services, and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described elsewhere in this Form 10-Q and our other reports filed with or furnished to SEC, including our Annual Report on Form 10-K for the year ended December 31, 2022.</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Any of the forward-looking statements made in this Form 10-Q and in other public statements may turn out to be wrong because of inaccurate assumptions we might make, because of the factors illustrated above or because of other factors that we cannot foresee. Forward-looking statements are based upon management’s beliefs and assumptions at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pStyle w:val="TextBody"/>
        <w:bidi w:val="0"/>
        <w:spacing w:before="12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FS Bancorp and its subsidiary bank, 1st Security Bank have been serving the Puget Sound area since 1936. Originally chartered as a credit union, known as Washington’s Credit Union, the credit union served various select employment groups. On April 1, 2004, the credit union converted to a Washington state-chartered mutual savings bank. On July 9, 2012, the Bank converted from mutual to stock ownership and became the wholly owned subsidiary of FS Bancorp.</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relationship-driven, delivering banking and financial services to local families, local and regional businesses and industry niches in suburban communities in the greater Puget Sound area, the Kennewick-Pasco-Richland metropolitan area of Washington, also known as the Tri-Cities, Goldendale, Vancouver, and White Salmon, Washington and Manzanita, Newport, Ontario, Tillamook and Waldport, Oregon. On February 24, 2023, the Company completed its previously announced Branch Purchase of seven retail bank branches from Columbia State Bank and acquired approximately $425.5 million in deposits and $66.1 million in loans.  The seven acquired branches are located in the communities of  Goldendale, and White Salmon, Washington, and Manzanita, Newport, Ontario, Tillamook, and Waldport, Oregon.  The Branch Purchase expanded our Puget Sound-focused retail footprint into southeast Washington and the state of Oregon as well as providing an opportunity to extend our unique brand of community banking into those communities.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also maintains its long-standing indirect consumer lending platform which operates primarily throughout the Western United States, and has been expanding our partnership with companies present in other areas of the country as well. The Company emphasizes long-term relationships with families and businesses within the communities served, working with them to meet their financial needs. The Company is also actively involved in community activities and events within these market areas, which further strengthens our relationships within those markets.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focuses on diversifying revenues, expanding lending channels, and growing the banking franchise. Management remains focused on building diversified revenue streams based upon credit, interest rate, and concentration risks. Our business plan remains as follows:</w:t>
      </w:r>
    </w:p>
    <w:tbl>
      <w:tblPr>
        <w:tblW w:w="4052" w:type="dxa"/>
        <w:jc w:val="left"/>
        <w:tblInd w:w="0" w:type="dxa"/>
        <w:tblLayout w:type="fixed"/>
        <w:tblCellMar>
          <w:top w:w="0" w:type="dxa"/>
          <w:left w:w="0" w:type="dxa"/>
          <w:bottom w:w="0" w:type="dxa"/>
          <w:right w:w="0" w:type="dxa"/>
        </w:tblCellMar>
      </w:tblPr>
      <w:tblGrid>
        <w:gridCol w:w="271"/>
        <w:gridCol w:w="3781"/>
      </w:tblGrid>
      <w:tr>
        <w:trPr/>
        <w:tc>
          <w:tcPr>
            <w:tcW w:w="271" w:type="dxa"/>
            <w:tcBorders/>
            <w:vAlign w:val="center"/>
          </w:tcPr>
          <w:p>
            <w:pPr>
              <w:pStyle w:val="TableContents"/>
              <w:bidi w:val="0"/>
              <w:spacing w:before="0" w:after="283"/>
              <w:jc w:val="left"/>
              <w:rPr/>
            </w:pPr>
            <w:r>
              <w:rPr/>
              <w:t>●</w:t>
            </w:r>
          </w:p>
        </w:tc>
        <w:tc>
          <w:tcPr>
            <w:tcW w:w="37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and diversifying our loan portfolio;</w:t>
            </w:r>
          </w:p>
        </w:tc>
      </w:tr>
    </w:tbl>
    <w:tbl>
      <w:tblPr>
        <w:tblW w:w="3122" w:type="dxa"/>
        <w:jc w:val="left"/>
        <w:tblInd w:w="0" w:type="dxa"/>
        <w:tblLayout w:type="fixed"/>
        <w:tblCellMar>
          <w:top w:w="0" w:type="dxa"/>
          <w:left w:w="0" w:type="dxa"/>
          <w:bottom w:w="0" w:type="dxa"/>
          <w:right w:w="0" w:type="dxa"/>
        </w:tblCellMar>
      </w:tblPr>
      <w:tblGrid>
        <w:gridCol w:w="271"/>
        <w:gridCol w:w="2851"/>
      </w:tblGrid>
      <w:tr>
        <w:trPr/>
        <w:tc>
          <w:tcPr>
            <w:tcW w:w="271" w:type="dxa"/>
            <w:tcBorders/>
            <w:vAlign w:val="center"/>
          </w:tcPr>
          <w:p>
            <w:pPr>
              <w:pStyle w:val="TableContents"/>
              <w:bidi w:val="0"/>
              <w:spacing w:before="0" w:after="283"/>
              <w:jc w:val="left"/>
              <w:rPr/>
            </w:pPr>
            <w:r>
              <w:rPr/>
              <w:t>●</w:t>
            </w:r>
          </w:p>
        </w:tc>
        <w:tc>
          <w:tcPr>
            <w:tcW w:w="28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strong asset quality;</w:t>
            </w:r>
          </w:p>
        </w:tc>
      </w:tr>
    </w:tbl>
    <w:tbl>
      <w:tblPr>
        <w:tblW w:w="7307" w:type="dxa"/>
        <w:jc w:val="left"/>
        <w:tblInd w:w="0" w:type="dxa"/>
        <w:tblLayout w:type="fixed"/>
        <w:tblCellMar>
          <w:top w:w="0" w:type="dxa"/>
          <w:left w:w="0" w:type="dxa"/>
          <w:bottom w:w="0" w:type="dxa"/>
          <w:right w:w="0" w:type="dxa"/>
        </w:tblCellMar>
      </w:tblPr>
      <w:tblGrid>
        <w:gridCol w:w="271"/>
        <w:gridCol w:w="7036"/>
      </w:tblGrid>
      <w:tr>
        <w:trPr/>
        <w:tc>
          <w:tcPr>
            <w:tcW w:w="271" w:type="dxa"/>
            <w:tcBorders/>
            <w:vAlign w:val="center"/>
          </w:tcPr>
          <w:p>
            <w:pPr>
              <w:pStyle w:val="TableContents"/>
              <w:bidi w:val="0"/>
              <w:spacing w:before="0" w:after="283"/>
              <w:jc w:val="left"/>
              <w:rPr/>
            </w:pPr>
            <w:r>
              <w:rPr/>
              <w:t>●</w:t>
            </w:r>
          </w:p>
        </w:tc>
        <w:tc>
          <w:tcPr>
            <w:tcW w:w="7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Emphasizing lower cost core deposits to reduce the costs of funding our loan growth;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Capturing our customers’ full relationship by offering a wide range of products and services by leveraging our well-established involvement in our communities and by selectively emphasizing products and services designed to meet our customers’ banking needs; and</w:t>
            </w:r>
          </w:p>
        </w:tc>
      </w:tr>
    </w:tbl>
    <w:tbl>
      <w:tblPr>
        <w:tblW w:w="3317" w:type="dxa"/>
        <w:jc w:val="left"/>
        <w:tblInd w:w="0" w:type="dxa"/>
        <w:tblLayout w:type="fixed"/>
        <w:tblCellMar>
          <w:top w:w="0" w:type="dxa"/>
          <w:left w:w="0" w:type="dxa"/>
          <w:bottom w:w="0" w:type="dxa"/>
          <w:right w:w="0" w:type="dxa"/>
        </w:tblCellMar>
      </w:tblPr>
      <w:tblGrid>
        <w:gridCol w:w="271"/>
        <w:gridCol w:w="3046"/>
      </w:tblGrid>
      <w:tr>
        <w:trPr/>
        <w:tc>
          <w:tcPr>
            <w:tcW w:w="271" w:type="dxa"/>
            <w:tcBorders/>
            <w:vAlign w:val="center"/>
          </w:tcPr>
          <w:p>
            <w:pPr>
              <w:pStyle w:val="TableContents"/>
              <w:bidi w:val="0"/>
              <w:spacing w:before="0" w:after="283"/>
              <w:jc w:val="left"/>
              <w:rPr/>
            </w:pPr>
            <w:r>
              <w:rPr/>
              <w:t>●</w:t>
            </w:r>
          </w:p>
        </w:tc>
        <w:tc>
          <w:tcPr>
            <w:tcW w:w="30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the Company’s markets.</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a diversified lender with a focus on the origination of one-to-four-family loans, commercial real estate mortgage loans, second mortgage or home equity loan products, consumer loans including indirect home improvement (“fixture secured”) loans which also include solar-related home improvement loans, marine lending, and commercial business loans. As part of our expanding lending products, the Company additionally offers residential mortgage and commercial construction warehouse lending consistent with our business plan to further diversify revenues.  Historically, consumer loans, in particular, fixture secured loans had represented the largest portion of the Company’s loan portfolio and had traditionally been the mainstay of the Company’s lending strategy.  At June 30, 2023, consumer loans represented 26.7% of the Company’s total gross loan portfolio, compared to 24.6% at June 30, 2022.  In recent years, the Company has placed more of an emphasis on real estate lending products, such as one-to-four-family loans, commercial real estate loans, including speculative residential construction loans, and commercial business loans, while growing the current size of the consumer loan portfolio.</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Fixture secured loans to finance window, gutter, siding replacement, solar panels, spas, and other improvement renovations are a large and regionally expanding segment of the consumer loan portfolio. These fixture secured consumer loans are dependent on the Bank’s contractor/dealer network of 101 active dealers located throughout Washington, Oregon, California, Idaho, Colorado, Nevada, Arizona, Minnesota, Texas, Utah, Massachusetts, Montana, and most recently New Hampshire with five contractor/dealers responsible for 67.1% of the funded loans dollar volume for the three months ended June 30, 2023. The Company funded $57.9 million or approximately 2,500 loans during the quarter ended June 30, 2023. The following table details fixture secured loan originations by state for the periods indicated:</w:t>
      </w:r>
    </w:p>
    <w:tbl>
      <w:tblPr>
        <w:tblW w:w="7351" w:type="dxa"/>
        <w:jc w:val="left"/>
        <w:tblInd w:w="0" w:type="dxa"/>
        <w:tblLayout w:type="fixed"/>
        <w:tblCellMar>
          <w:top w:w="0" w:type="dxa"/>
          <w:left w:w="0" w:type="dxa"/>
          <w:bottom w:w="0" w:type="dxa"/>
          <w:right w:w="0" w:type="dxa"/>
        </w:tblCellMar>
      </w:tblPr>
      <w:tblGrid>
        <w:gridCol w:w="2281"/>
        <w:gridCol w:w="109"/>
        <w:gridCol w:w="249"/>
        <w:gridCol w:w="995"/>
        <w:gridCol w:w="186"/>
        <w:gridCol w:w="804"/>
        <w:gridCol w:w="271"/>
        <w:gridCol w:w="386"/>
        <w:gridCol w:w="211"/>
        <w:gridCol w:w="781"/>
        <w:gridCol w:w="146"/>
        <w:gridCol w:w="631"/>
        <w:gridCol w:w="30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448435" cy="175260"/>
                      <wp:effectExtent l="0" t="0" r="0" b="0"/>
                      <wp:wrapNone/>
                      <wp:docPr id="661" name="Frame661"/>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9215" cy="175260"/>
                      <wp:effectExtent l="0" t="0" r="0" b="0"/>
                      <wp:wrapNone/>
                      <wp:docPr id="662" name="Frame6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158115" cy="175260"/>
                      <wp:effectExtent l="0" t="0" r="0" b="0"/>
                      <wp:wrapNone/>
                      <wp:docPr id="663" name="Frame663"/>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31825" cy="175260"/>
                      <wp:effectExtent l="0" t="0" r="0" b="0"/>
                      <wp:wrapNone/>
                      <wp:docPr id="664" name="Frame664"/>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118110" cy="175260"/>
                      <wp:effectExtent l="0" t="0" r="0" b="0"/>
                      <wp:wrapNone/>
                      <wp:docPr id="665" name="Frame665"/>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510540" cy="175260"/>
                      <wp:effectExtent l="0" t="0" r="0" b="0"/>
                      <wp:wrapNone/>
                      <wp:docPr id="666" name="Frame666"/>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172085" cy="175260"/>
                      <wp:effectExtent l="0" t="0" r="0" b="0"/>
                      <wp:wrapNone/>
                      <wp:docPr id="667" name="Frame66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45110" cy="175260"/>
                      <wp:effectExtent l="0" t="0" r="0" b="0"/>
                      <wp:wrapNone/>
                      <wp:docPr id="668" name="Frame668"/>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33985" cy="175260"/>
                      <wp:effectExtent l="0" t="0" r="0" b="0"/>
                      <wp:wrapNone/>
                      <wp:docPr id="669" name="Frame6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495935" cy="175260"/>
                      <wp:effectExtent l="0" t="0" r="0" b="0"/>
                      <wp:wrapNone/>
                      <wp:docPr id="670" name="Frame6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92710" cy="175260"/>
                      <wp:effectExtent l="0" t="0" r="0" b="0"/>
                      <wp:wrapNone/>
                      <wp:docPr id="671" name="Frame6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400685" cy="175260"/>
                      <wp:effectExtent l="0" t="0" r="0" b="0"/>
                      <wp:wrapNone/>
                      <wp:docPr id="672" name="Frame67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191135" cy="175260"/>
                      <wp:effectExtent l="0" t="0" r="0" b="0"/>
                      <wp:wrapNone/>
                      <wp:docPr id="673" name="Frame673"/>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(Dollars in thousands)</w:t>
            </w:r>
          </w:p>
        </w:tc>
        <w:tc>
          <w:tcPr>
            <w:tcW w:w="109" w:type="dxa"/>
            <w:tcBorders/>
            <w:vAlign w:val="center"/>
          </w:tcPr>
          <w:p>
            <w:pPr>
              <w:pStyle w:val="TableContents"/>
              <w:bidi w:val="0"/>
              <w:spacing w:before="0" w:after="0"/>
              <w:ind w:left="0" w:right="0" w:hanging="0"/>
              <w:jc w:val="left"/>
              <w:rPr/>
            </w:pPr>
            <w:r>
              <w:rPr/>
              <w:t>​</w:t>
            </w:r>
          </w:p>
        </w:tc>
        <w:tc>
          <w:tcPr>
            <w:tcW w:w="2234"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Six Months Ended</w:t>
            </w:r>
          </w:p>
        </w:tc>
        <w:tc>
          <w:tcPr>
            <w:tcW w:w="2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769" w:type="dxa"/>
            <w:gridSpan w:val="4"/>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Year Ended</w:t>
            </w:r>
          </w:p>
        </w:tc>
        <w:tc>
          <w:tcPr>
            <w:tcW w:w="301" w:type="dxa"/>
            <w:tcBorders/>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3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271" w:type="dxa"/>
            <w:tcBorders/>
            <w:vAlign w:val="center"/>
          </w:tcPr>
          <w:p>
            <w:pPr>
              <w:pStyle w:val="TableContents"/>
              <w:bidi w:val="0"/>
              <w:spacing w:before="0" w:after="0"/>
              <w:ind w:left="0" w:right="0" w:hanging="0"/>
              <w:jc w:val="center"/>
              <w:rPr/>
            </w:pPr>
            <w:r>
              <w:rPr/>
              <w:t>​</w:t>
            </w:r>
          </w:p>
        </w:tc>
        <w:tc>
          <w:tcPr>
            <w:tcW w:w="386" w:type="dxa"/>
            <w:tcBorders/>
            <w:vAlign w:val="center"/>
          </w:tcPr>
          <w:p>
            <w:pPr>
              <w:pStyle w:val="TableContents"/>
              <w:bidi w:val="0"/>
              <w:spacing w:before="0" w:after="0"/>
              <w:ind w:left="0" w:right="0" w:hanging="0"/>
              <w:jc w:val="center"/>
              <w:rPr/>
            </w:pPr>
            <w:r>
              <w:rPr/>
              <w:t>     </w:t>
            </w:r>
          </w:p>
        </w:tc>
        <w:tc>
          <w:tcPr>
            <w:tcW w:w="17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c>
          <w:tcPr>
            <w:tcW w:w="301" w:type="dxa"/>
            <w:tcBorders/>
            <w:vAlign w:val="center"/>
          </w:tcPr>
          <w:p>
            <w:pPr>
              <w:pStyle w:val="TableContents"/>
              <w:bidi w:val="0"/>
              <w:spacing w:before="0" w:after="0"/>
              <w:ind w:left="0" w:right="0" w:hanging="0"/>
              <w:jc w:val="left"/>
              <w:rPr/>
            </w:pPr>
            <w:r>
              <w:rPr/>
              <w:t>​</w:t>
            </w:r>
          </w:p>
        </w:tc>
      </w:tr>
      <w:tr>
        <w:trPr/>
        <w:tc>
          <w:tcPr>
            <w:tcW w:w="22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vAlign w:val="center"/>
          </w:tcPr>
          <w:p>
            <w:pPr>
              <w:pStyle w:val="TableContents"/>
              <w:bidi w:val="0"/>
              <w:spacing w:before="0" w:after="0"/>
              <w:ind w:left="0" w:right="0" w:hanging="0"/>
              <w:jc w:val="left"/>
              <w:rPr/>
            </w:pPr>
            <w:r>
              <w:rPr/>
              <w:t>​</w:t>
            </w:r>
          </w:p>
        </w:tc>
        <w:tc>
          <w:tcPr>
            <w:tcW w:w="12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Amount</w:t>
            </w:r>
          </w:p>
        </w:tc>
        <w:tc>
          <w:tcPr>
            <w:tcW w:w="186" w:type="dxa"/>
            <w:tcBorders/>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Percent</w:t>
            </w:r>
          </w:p>
        </w:tc>
        <w:tc>
          <w:tcPr>
            <w:tcW w:w="2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Amount</w:t>
            </w:r>
          </w:p>
        </w:tc>
        <w:tc>
          <w:tcPr>
            <w:tcW w:w="146"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Percent</w:t>
            </w:r>
          </w:p>
        </w:tc>
        <w:tc>
          <w:tcPr>
            <w:tcW w:w="30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Washington</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41,933</w:t>
            </w:r>
          </w:p>
        </w:tc>
        <w:tc>
          <w:tcPr>
            <w:tcW w:w="18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102,981</w:t>
            </w:r>
          </w:p>
        </w:tc>
        <w:tc>
          <w:tcPr>
            <w:tcW w:w="1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Oregon</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28,353</w:t>
            </w:r>
          </w:p>
        </w:tc>
        <w:tc>
          <w:tcPr>
            <w:tcW w:w="186" w:type="dxa"/>
            <w:tcBorders/>
            <w:vAlign w:val="center"/>
          </w:tcPr>
          <w:p>
            <w:pPr>
              <w:pStyle w:val="TableContents"/>
              <w:bidi w:val="0"/>
              <w:spacing w:before="0" w:after="0"/>
              <w:ind w:left="0" w:right="0" w:hanging="0"/>
              <w:jc w:val="left"/>
              <w:rPr/>
            </w:pPr>
            <w:r>
              <w:rPr/>
              <w:t> </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2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73,110</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0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California</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22,191</w:t>
            </w:r>
          </w:p>
        </w:tc>
        <w:tc>
          <w:tcPr>
            <w:tcW w:w="18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271" w:type="dxa"/>
            <w:tcBorders/>
            <w:shd w:fill="CCEEFF" w:val="clear"/>
            <w:vAlign w:val="center"/>
          </w:tcPr>
          <w:p>
            <w:pPr>
              <w:pStyle w:val="TableContents"/>
              <w:bidi w:val="0"/>
              <w:spacing w:before="0" w:after="0"/>
              <w:ind w:left="0" w:right="0" w:hanging="0"/>
              <w:jc w:val="left"/>
              <w:rPr/>
            </w:pPr>
            <w:r>
              <w:rPr/>
              <w:t> </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59,175</w:t>
            </w:r>
          </w:p>
        </w:tc>
        <w:tc>
          <w:tcPr>
            <w:tcW w:w="1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Idaho</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9,434</w:t>
            </w:r>
          </w:p>
        </w:tc>
        <w:tc>
          <w:tcPr>
            <w:tcW w:w="18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271" w:type="dxa"/>
            <w:tcBorders/>
            <w:vAlign w:val="center"/>
          </w:tcPr>
          <w:p>
            <w:pPr>
              <w:pStyle w:val="TableContents"/>
              <w:bidi w:val="0"/>
              <w:spacing w:before="0" w:after="0"/>
              <w:ind w:left="0" w:right="0" w:hanging="0"/>
              <w:jc w:val="left"/>
              <w:rPr/>
            </w:pPr>
            <w:r>
              <w:rPr/>
              <w:t> </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22,744</w:t>
            </w:r>
          </w:p>
        </w:tc>
        <w:tc>
          <w:tcPr>
            <w:tcW w:w="1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0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Colorado</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18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271" w:type="dxa"/>
            <w:tcBorders/>
            <w:shd w:fill="CCEEFF" w:val="clear"/>
            <w:vAlign w:val="center"/>
          </w:tcPr>
          <w:p>
            <w:pPr>
              <w:pStyle w:val="TableContents"/>
              <w:bidi w:val="0"/>
              <w:spacing w:before="0" w:after="0"/>
              <w:ind w:left="0" w:right="0" w:hanging="0"/>
              <w:jc w:val="left"/>
              <w:rPr/>
            </w:pPr>
            <w:r>
              <w:rPr/>
              <w:t> </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14,584</w:t>
            </w:r>
          </w:p>
        </w:tc>
        <w:tc>
          <w:tcPr>
            <w:tcW w:w="1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Arizona</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4,078</w:t>
            </w:r>
          </w:p>
        </w:tc>
        <w:tc>
          <w:tcPr>
            <w:tcW w:w="18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5,029</w:t>
            </w:r>
          </w:p>
        </w:tc>
        <w:tc>
          <w:tcPr>
            <w:tcW w:w="1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0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Nevada</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w:t>
            </w:r>
          </w:p>
        </w:tc>
        <w:tc>
          <w:tcPr>
            <w:tcW w:w="18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4,869</w:t>
            </w:r>
          </w:p>
        </w:tc>
        <w:tc>
          <w:tcPr>
            <w:tcW w:w="1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Minnesota</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7,474</w:t>
            </w:r>
          </w:p>
        </w:tc>
        <w:tc>
          <w:tcPr>
            <w:tcW w:w="18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2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28,503</w:t>
            </w:r>
          </w:p>
        </w:tc>
        <w:tc>
          <w:tcPr>
            <w:tcW w:w="1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0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Texas</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c>
          <w:tcPr>
            <w:tcW w:w="18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27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1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Utah</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2,699</w:t>
            </w:r>
          </w:p>
        </w:tc>
        <w:tc>
          <w:tcPr>
            <w:tcW w:w="18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w:t>
            </w:r>
          </w:p>
        </w:tc>
        <w:tc>
          <w:tcPr>
            <w:tcW w:w="1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0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Massachusetts</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18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7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14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Montana</w:t>
            </w:r>
          </w:p>
        </w:tc>
        <w:tc>
          <w:tcPr>
            <w:tcW w:w="109"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1,292</w:t>
            </w:r>
          </w:p>
        </w:tc>
        <w:tc>
          <w:tcPr>
            <w:tcW w:w="186"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1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0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Hampshire</w:t>
            </w:r>
          </w:p>
        </w:tc>
        <w:tc>
          <w:tcPr>
            <w:tcW w:w="109"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186" w:type="dxa"/>
            <w:tcBorders/>
            <w:shd w:fill="CCEEFF" w:val="cle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01"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fixture secured loans</w:t>
            </w:r>
          </w:p>
        </w:tc>
        <w:tc>
          <w:tcPr>
            <w:tcW w:w="109"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125,646</w:t>
            </w:r>
          </w:p>
        </w:tc>
        <w:tc>
          <w:tcPr>
            <w:tcW w:w="186" w:type="dxa"/>
            <w:tcBorders/>
            <w:vAlign w:val="center"/>
          </w:tcPr>
          <w:p>
            <w:pPr>
              <w:pStyle w:val="TableContents"/>
              <w:bidi w:val="0"/>
              <w:spacing w:before="0" w:after="0"/>
              <w:ind w:left="0" w:right="0" w:hanging="0"/>
              <w:jc w:val="left"/>
              <w:rPr/>
            </w:pPr>
            <w:r>
              <w:rPr/>
              <w:t>​</w:t>
            </w:r>
          </w:p>
        </w:tc>
        <w:tc>
          <w:tcPr>
            <w:tcW w:w="80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8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314,955</w:t>
            </w:r>
          </w:p>
        </w:tc>
        <w:tc>
          <w:tcPr>
            <w:tcW w:w="146" w:type="dxa"/>
            <w:tcBorders/>
            <w:vAlign w:val="center"/>
          </w:tcPr>
          <w:p>
            <w:pPr>
              <w:pStyle w:val="TableContents"/>
              <w:bidi w:val="0"/>
              <w:spacing w:before="0" w:after="0"/>
              <w:ind w:left="0" w:right="0" w:hanging="0"/>
              <w:jc w:val="left"/>
              <w:rPr/>
            </w:pPr>
            <w:r>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bl>
    <w:p>
      <w:pPr>
        <w:pStyle w:val="TextBody"/>
        <w:bidi w:val="0"/>
        <w:spacing w:before="0" w:after="0"/>
        <w:ind w:left="0" w:right="0" w:hanging="0"/>
        <w:jc w:val="left"/>
        <w:rPr/>
      </w:pPr>
      <w:r>
        <w:rPr/>
        <w:t>​</w:t>
      </w:r>
    </w:p>
    <w:p>
      <w:pPr>
        <w:pStyle w:val="TextBody"/>
        <w:bidi w:val="0"/>
        <w:spacing w:before="240" w:after="200"/>
        <w:ind w:left="0" w:right="0" w:hanging="0"/>
        <w:jc w:val="both"/>
        <w:rPr>
          <w:rFonts w:ascii="Times New Roman;Times;serif" w:hAnsi="Times New Roman;Times;serif"/>
          <w:sz w:val="20"/>
        </w:rPr>
      </w:pPr>
      <w:r>
        <w:rPr>
          <w:rFonts w:ascii="Times New Roman;Times;serif" w:hAnsi="Times New Roman;Times;serif"/>
          <w:sz w:val="20"/>
        </w:rPr>
        <w:t>The Company originates one-to-four-family residential mortgage loans through referrals from real estate agents, financial planners, builders, and from existing customers. Retail banking customers are also an important source of the Company’s loan originations. The Company originated $159.5 million of one-to-four-family loans which includes loans held for sale, loans held for investment, and fixed seconds in addition to loans brokered to other institutions of $4.7 million through the home lending segment during the three months ended June 30, 2023, of which $127.0 million were sold to investors. Of the loans sold to investors, $73.3 million were sold to the FNMA, FHLMC, FHLB, and/or GNMA with servicing rights retained for the purpose of further developing these customer relationships. At June 30, 2023, one-to-four-family residential mortgage loans held for investment, which excludes loans held for sale of $16.7 million, totaled $521.7 million, or 22.0%, of the total gross loan portfolio.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June 30, 2023, one-to-four-family loan originations and refinancing activity decreased as a result of increased market interest rates, compared to the same period in the prior year when home refinancing was stronger due to the low market interest rates resulting from the response to COVID-19.  Residential construction and development lending, while not as common as other loan origination options like one-to-four-family loans, will continue to be an important element in our total loan portfolio, and we will continue to take a disciplined approach by concentrating our efforts on loans to builders and developers in our market areas known to us. These short-term loans typically mature in six to 18 months. In addition, the funding is usually not fully disbursed at origination, thereby reducing our net loans receivable in the short term.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is significantly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interest rates paid on these deposits and borrowings.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Company’s earnings are also significantly affected by fee income from mortgage banking activities, the provision for (recovery of) credit losses, service charges and fees, gains from sales of assets, operating expenses and income taxes.  Most notable of these factors, the Company recorded a provision for credit losses $716,000 for the three months ended June 30, 2023, compared to $1.9 million for the same period one year ago.  The decreased provision in the current period was primarily due to a recovery of $347,000 for the ACL – unfunded loan commitments, compared to a provision of $520,000 for the same period one year ago.</w:t>
      </w:r>
    </w:p>
    <w:p>
      <w:pPr>
        <w:pStyle w:val="TextBody"/>
        <w:bidi w:val="0"/>
        <w:spacing w:before="0" w:after="20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prepare our consolidated financial statements in accordance with GAAP. In doing so, we have to make estimates and assumptions. Our critical accounting estimates are those estimates that involve a significant level of uncertainty at the time the estimate was made, and changes in the estimate that are reasonably likely to occur from period to period, or use of different estimates that we reasonably could have used in the current period, would have a material impact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 Management believes that its critical accounting policies include the following:</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Allowance for Credit Losses on Held-to-Maturity</w:t>
      </w:r>
      <w:r>
        <w:rPr>
          <w:rFonts w:ascii="Times New Roman;Times;serif" w:hAnsi="Times New Roman;Times;serif"/>
          <w:sz w:val="20"/>
        </w:rPr>
        <w:t xml:space="preserve"> </w:t>
      </w:r>
      <w:r>
        <w:rPr>
          <w:rFonts w:ascii="Times New Roman;Times;serif" w:hAnsi="Times New Roman;Times;serif"/>
          <w:b/>
          <w:i/>
          <w:sz w:val="20"/>
        </w:rPr>
        <w:t>Securities.</w:t>
      </w:r>
      <w:r>
        <w:rPr>
          <w:rFonts w:ascii="Times New Roman;Times;serif" w:hAnsi="Times New Roman;Times;serif"/>
          <w:sz w:val="20"/>
        </w:rPr>
        <w:t xml:space="preserve"> Management measures expected credit losses on held-to-maturity securities by individual security. Accrued interest receivable on held-to-maturity debt securities is excluded from the estimate of credit losses. The estimate of expected credit losses considers credit ratings and historical credit loss information that is adjusted for current conditions and reasonable and supportable forecasts.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held-to-maturity portfolio consists entirely of corporate securities. Securities are generally rated BBB- or higher. Securities are analyzed individually to establish a 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Allowance for Credit Losses on Available-for-Sale Securities.</w:t>
      </w:r>
      <w:r>
        <w:rPr>
          <w:rFonts w:ascii="Times New Roman;Times;serif" w:hAnsi="Times New Roman;Times;serif"/>
          <w:sz w:val="20"/>
        </w:rPr>
        <w:t xml:space="preserve"> For available-for-sale securities in an unrealized loss position, management first assesses whether it intends to sell, or is more likely than not to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expected to be collected from the security are compared to the amortized cost basis of the security. If the present value of cash flows expected to be collected is less than the amortized cost basis, a credit loss exists and an ACL is recorded, limited by the amount that the fair value is less than the amortized cost basis.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Changes in the ACL are recorded as a provision for (or reversal of) credit loss expense. Losses are charged against the allowance when management believes the uncollectibility of an available-for-sale security is confirmed or when either of the criteria regarding intent or requirement to sell is met. Accrued interest receivable on available-for-sale debt securities is not included in the estimate of credit losses.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Allowance for Credit Losses on Loans. </w:t>
      </w:r>
      <w:r>
        <w:rPr>
          <w:rFonts w:ascii="Times New Roman;Times;serif" w:hAnsi="Times New Roman;Times;serif"/>
          <w:sz w:val="20"/>
        </w:rPr>
        <w:t xml:space="preserve">The ACL for loans is a valuation account that is deducted from the loans’ amortized cost basis to present the net amount expected to be collected on the loans. Loans are charged off against the allowance when management believes the uncollectibility of a loan balance is confirmed and recoveries are credited to the allowance when received. In the case of recoveries, amounts may not exceed the aggregate of amounts previously charged off.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Management utilizes relevant available information, from internal and external sources, relating to past events, current conditions, historical loss experience, and reasonable and supportable forecasts. The lookback period in the analysis includes historical data from 2009 to present. Adjustments to historical loss information are made when management determines historical data is not likely reflective of the current portfolio such as limited data sets or lack of default or loss history. Management may selectively apply external market data to subjectively adjust the Company’s own loss history including index or peer data. Accrued interest receivable is excluded from the estimate of credit losses for loans.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Collective Assessment.</w:t>
      </w:r>
      <w:r>
        <w:rPr>
          <w:rFonts w:ascii="Times New Roman;Times;serif" w:hAnsi="Times New Roman;Times;serif"/>
          <w:sz w:val="20"/>
        </w:rPr>
        <w:t xml:space="preserve"> The ACL for loans is measured on a collective cohort basis when similar risk characteristics exist. Generally, collectively assessed loans are grouped by call report code and then risk-grade grouping. Risk grade is grouped within each call report code by pass, watch, special mention, substandard, and doubtful. Other loan types are separated into their own cohorts due to specific risk characteristics for that pool of loans.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has elected a non-discounted cash flow methodology with probability of default (“PD”) and loss given default (“LGD”) for all call report code cohorts (“cohorts”), with the exception of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PD calculation looks at the historical loan portfolio at particular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LGD calculation looks at actual losses (net charge-offs) experienced over the entire lookback period for each cohort of loans. The aggregate loss amount is divided by the exposure at default to determine an LGD rate. All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very limited charge-off history, management uses index LGDs comprised of rates derived from the LGD experience of other community banks in place of the Company’s historical LGDs.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utilizes reasonable and supportable forecasts of future economic conditions when estimating the ACL for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very limited default history, management uses index PDs comprised of rates derived from the PD experience of other community banks in place of the Company’s historical PDs.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that all significant factors that affect the collectability of the loan portfolio must be considered to determine the estimated credit losses as of the evaluation date. Furthermore, the methodology, in and of itself and even 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Individual Assessment.</w:t>
      </w:r>
      <w:r>
        <w:rPr>
          <w:rFonts w:ascii="Times New Roman;Times;serif" w:hAnsi="Times New Roman;Times;serif"/>
          <w:sz w:val="20"/>
        </w:rPr>
        <w:t xml:space="preserve"> Loans classified as nonaccrual, are reviewed quarterly for potential individual assessment. Any loan classified as a nonaccrual that is not determined to need individual assessment is evaluated collectively within its respective cohort.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Where the primary and/or expected source of repayment of a specific loan is believed to be the future liquidation of available collateral, impairment will generally be measured based upon expected future collateral proceeds, net of disposition expenses including sales commissions as well as other costs potentially necessary to sell the asset(s) (i.e., past due taxes, liens, etc.). Estimates of future collateral proceeds will be based upon available appraisals, reference to recent valuations of comparable properties, use of consultants or other professionals with relevant market and/or property-specific knowledge, and any other sources of information believed appropriate by management under the specific circumstances. When appraisals are ordered to support the impairment analysis of an impaired loan, the appraisal is reviewed by the Company’s internal appraisal reviewer.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Where the primary and/or expected source of repayment of a specific loan is believed to be the receipt of principal and interest payments from the borrower and/or the refinancing of the loan by another creditor, impairment will generally be measured based upon the present value of expected proceeds discounted at the contractual interest rate. Expected refinancing proceeds may be estimated from review of term sheets actually received by the borrower from other creditors and/or from the Company’s knowledge of terms generally available from other banks.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Determining the Contractual Term.</w:t>
      </w:r>
      <w:r>
        <w:rPr>
          <w:rFonts w:ascii="Times New Roman;Times;serif" w:hAnsi="Times New Roman;Times;serif"/>
          <w:sz w:val="20"/>
        </w:rPr>
        <w:t xml:space="preserve"> Expected credit losses are estimated over the contractual term of the loans, adjusted for expected prepayments when appropriate. The contractual term excludes expected extensions, renewals and modifications. Prepayment assumptions will be determined by analysis of historical behavior by loan cohort.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Allowance for Credit Losses on Unfunded Commitments.</w:t>
      </w:r>
      <w:r>
        <w:rPr>
          <w:rFonts w:ascii="Times New Roman;Times;serif" w:hAnsi="Times New Roman;Times;serif"/>
          <w:sz w:val="20"/>
        </w:rPr>
        <w:t xml:space="preserve"> The Company estimates expected credit losses over the contractual period in which the Company is exposed to credit risk via a contractual obligation to extend credit unless that obligation is unconditionally cancellable by the Company. The ACL for unfunded commitments is adjusted through a provision for credit loss expense. The estimate includes consideration of the likelihood that funding will occur and an estimate of expected credit losses on commitments expected to be funded over its estimated life. The estimate utilizes the same factors and assumptions as the ACL for loans and is applied at the same collective cohort level.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Mortgage Servicing Rights. </w:t>
      </w:r>
      <w:r>
        <w:rPr>
          <w:rFonts w:ascii="Times New Roman;Times;serif" w:hAnsi="Times New Roman;Times;serif"/>
          <w:sz w:val="20"/>
        </w:rPr>
        <w:t xml:space="preserve">Servicing assets are recognized as separate assets when rights are acquired through the purchase or through the sale of financial assets. Generally, purchased servicing rights are capitalized at the cost to acquire the rights. For sales of mortgage loans, the value of MSR is capitalized during the month of sale. Fair value is based on market prices for comparable mortgage contracts, when available, or alternatively, is based on a valuation model that calculates the present value of estimated future net servicing income. The valuation model incorporates assumptions that market participants would use in estimating future net servicing income, such as the cost to service, the discount rate, the custodial earnings rate, an inflation rate, ancillary income, prepayment speeds, and default rates and losses.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Servicing assets are evaluated quarterly for impairment based upon the fair value of the rights as compared to amortized cost. Impairment is determined by stratifying rights into tranches based on predominant characteristics, such as interest rate, loan type, and investor type. Impairment is recognized through a valuation allowance for an individual tranche, to the extent that fair value is less than the capitalized amount for the tranches. If the Company later determines that all or a portion of the impairment no longer exists for a particular tranche, a reduction of the allowance may be recorded as a recovery and an increase to income. Capitalized servicing rights are stated separately on the Consolidated Balance Sheets and are amortized into noninterest income in proportion to, and over the period of, the estimated future net servicing income of the underlying financial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Derivatives and Hedging Activity. </w:t>
      </w:r>
      <w:r>
        <w:rPr>
          <w:rFonts w:ascii="Times New Roman;Times;serif" w:hAnsi="Times New Roman;Times;serif"/>
          <w:sz w:val="20"/>
        </w:rPr>
        <w:t>ASC 815, “</w:t>
      </w:r>
      <w:r>
        <w:rPr>
          <w:rFonts w:ascii="Times New Roman;Times;serif" w:hAnsi="Times New Roman;Times;serif"/>
          <w:i/>
          <w:sz w:val="20"/>
        </w:rPr>
        <w:t>Derivatives and Hedging,</w:t>
      </w:r>
      <w:r>
        <w:rPr>
          <w:rFonts w:ascii="Times New Roman;Times;serif" w:hAnsi="Times New Roman;Times;serif"/>
          <w:sz w:val="20"/>
        </w:rPr>
        <w:t xml:space="preserve">” requires that derivatives of the Company be recorded in the consolidated financial statements at fair value. Management considers its accounting policy for derivatives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to be a critical accounting policy because these instruments have certain interest rate risk characteristics that change in value based upon changes in the capital markets. Fair values for derivative assets and liabilities are measured on a recurring basis. The Company’s primary use of derivative instruments is related to the mortgage banking activities in the form of commitments to extend credit, commitments to sell loans, TBA mortgage-backed securities trades and option contracts to mitigate the risk of the commitments to extend credit. Estimates of the percentage of commitments to extend credit on loans to be held for sale that may not fund are based upon historical data and current market trends. The fair value adjustments of the derivatives are recorded on the Consolidated Statements of Income with offsets to other assets or other liabilities on the Consolidated Balance Sheets.</w:t>
      </w:r>
    </w:p>
    <w:p>
      <w:pPr>
        <w:pStyle w:val="TextBody"/>
        <w:bidi w:val="0"/>
        <w:spacing w:before="0" w:after="240"/>
        <w:ind w:left="0" w:right="0" w:hanging="0"/>
        <w:jc w:val="both"/>
        <w:rPr>
          <w:rFonts w:ascii="Times New Roman;Times;serif" w:hAnsi="Times New Roman;Times;serif"/>
          <w:color w:val="212529"/>
          <w:sz w:val="20"/>
        </w:rPr>
      </w:pPr>
      <w:r>
        <w:rPr>
          <w:rFonts w:ascii="Times New Roman;Times;serif" w:hAnsi="Times New Roman;Times;serif"/>
          <w:color w:val="212529"/>
          <w:sz w:val="20"/>
        </w:rPr>
        <w:t>Derivative instruments not related to mortgage banking activities primarily relate to interest rate swap agreements accounted for as cash flow hedges and fair value hedges. To qualify for hedge accounting, derivatives must be highly effective at reducing the risk associated with the exposure being hedged and must be designated as a hedge at the inception of the derivative contract. If derivative instruments are designated as fair value hedges, and such hedges are highly effective, both the change in the fair value of the hedge and the hedged item are included in current earnings.  If derivative instruments are designated as cash flow hedges, fair value adjustments related to the effective portion are recorded in other comprehensive income and are reclassified to earnings when the hedged transaction is reflected in earnings. If derivative instruments are designated as cash flow hedges, fair value adjustments related to the effective portion are recorded in other comprehensive income and are reclassified to earnings when the hedged transaction is reflected in earnings. Ineffective portions of cash flow hedges are reflected in earnings as they occur. Actual cash receipts and/or payments and related accruals on derivatives related to hedges are recorded as adjustments to the interest income or interest expense associated with the hedged item. During the life of the hedge, the Company formally assesses whether derivatives designated as hedging instruments continue to be highly effective in offsetting changes in the fair value or cash flows of hedged items. If it is determined that a hedge has ceased to be highly effective, the Company will discontinue hedge accounting prospectively. At such time, previous adjustments to the carrying value of the hedged item are reversed into current earnings and the derivative instrument is reclassified to a trading position recorded at fair value. For derivatives not designated as hedges, changes in fair value are recognized in earnings, in noninterest income.</w:t>
      </w:r>
    </w:p>
    <w:p>
      <w:pPr>
        <w:pStyle w:val="TextBody"/>
        <w:bidi w:val="0"/>
        <w:spacing w:before="0" w:after="200"/>
        <w:ind w:left="0" w:right="0" w:hanging="0"/>
        <w:jc w:val="both"/>
        <w:rPr>
          <w:rFonts w:ascii="Times New Roman;Times;serif" w:hAnsi="Times New Roman;Times;serif"/>
          <w:sz w:val="20"/>
        </w:rPr>
      </w:pPr>
      <w:bookmarkStart w:id="4348" w:name="CD53792AA49AFA5B862575AA0015B514-idSL749"/>
      <w:bookmarkEnd w:id="4348"/>
      <w:r>
        <w:rPr>
          <w:rFonts w:ascii="Times New Roman;Times;serif" w:hAnsi="Times New Roman;Times;serif"/>
          <w:b/>
          <w:i/>
          <w:sz w:val="20"/>
        </w:rPr>
        <w:t>Fair Value.</w:t>
      </w:r>
      <w:r>
        <w:rPr>
          <w:rFonts w:ascii="Times New Roman;Times;serif" w:hAnsi="Times New Roman;Times;serif"/>
          <w:sz w:val="20"/>
        </w:rPr>
        <w:t xml:space="preserve"> ASC 820, “</w:t>
      </w:r>
      <w:r>
        <w:rPr>
          <w:rFonts w:ascii="Times New Roman;Times;serif" w:hAnsi="Times New Roman;Times;serif"/>
          <w:i/>
          <w:sz w:val="20"/>
        </w:rPr>
        <w:t>Fair Value Measurements and Disclosures</w:t>
      </w:r>
      <w:r>
        <w:rPr>
          <w:rFonts w:ascii="Times New Roman;Times;serif" w:hAnsi="Times New Roman;Times;serif"/>
          <w:sz w:val="20"/>
        </w:rPr>
        <w:t>,” establishes a hierarchical disclosure framework associated with the level of pricing observability utilized in measuring financial instruments at fair value.  The degree of judgment utilized in measuring the fair value of financial instruments generally correlates to the level of pricing observability. Financial instruments with readily available active quoted prices or for which fair value can be measured from actively quoted prices generally will have a higher degree of pricing observability and a lesser degree of judgment utilized in measuring fair value.  Conversely, financial instruments rarely traded or not quoted will generally have little or no pricing observability and a higher degree of judgment utilized in measuring fair value.  Pricing observability is impacted by a number of factors, including the type of financial instrument, whether the financial instrument is new to the market and not yet established and the characteristics specific to the transaction.  The objective of a fair value measurement is to estimate the price at which an orderly transaction to sell the asset or to transfer the liability would take place between market participants at the measurement date under current market conditions (that is, an exit price at the measurement date from the perspective of a market participant that holds the asset or owes the liability).  For additional details, see “Note 11 – Fair Value Measurements” of the Notes to Consolidated Financial Statements included in Part I. Item 1 of this report.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Business Combinations and Goodwill</w:t>
      </w:r>
      <w:r>
        <w:rPr>
          <w:rFonts w:ascii="Times New Roman;Times;serif" w:hAnsi="Times New Roman;Times;serif"/>
          <w:sz w:val="20"/>
        </w:rPr>
        <w:t xml:space="preserve">. Pursuant to applicable accounting guidance, we recognize assets acquired, including identified intangible assets, and the liabilities assumed in acquisitions at their fair values as of the acquisition date, with the related transaction costs expensed in the period incurred. Determining the fair value of assets acquired and liabilities assumed often involves estimates based on internal or third-party valuations which include appraisals, discounted cash flow analysis, or other valuation techniques that may include estimates of attrition, inflation, asset growth rates, discount rates, credit risk, multiples of earnings, or other relevant factors. The determination of fair value may require us to make point-in-time estimates about discount rates, future expected cash flows, market conditions, and other future events that can be volatile in nature and challenging to assess. While we use the best estimates and assumptions to accurately value assets acquired and liabilities assumed at the acquisition date, the estimates are inherently uncertain and subject to refinement. </w:t>
      </w:r>
    </w:p>
    <w:p>
      <w:pPr>
        <w:pStyle w:val="TextBody"/>
        <w:bidi w:val="0"/>
        <w:spacing w:before="0" w:after="20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primary identifiable intangible asset we typically record in connection with a whole bank or bank branch acquisition is the value of the core deposit intangibles which represents the estimated value of the long-term deposit relationships acquired in the transaction. Determining the amount of identifiable intangible assets and their average lives involves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multiple assumptions and estimates and is typically determined by performing a discounted cash flow analysis, which involves a combination of any or all of the following assumptions: customer attrition/runoff, alternative funding costs, deposit servicing costs, and discount rates. The core deposit intangibles are amortized over the estimated useful lives of the deposit accounts based on a method that we believe reasonably approximates the anticipated benefit stream from this intangible. The estimated useful lives are periodically reviewed for reasonableness and have generally been estimated to have a life ranging from seven to ten years, with an accelerated rate of amortization. We review identifiable intangible assets for impairment whenever events or changes in circumstances indicate that the carrying value may not be recoverable. Our policy is that an impairment loss is recognized, equal to the difference between the asset’s carrying amount and its fair value, if the sum of the expected undiscounted future cash flows is less than the carrying amount of the asset. Estimating future cash flows involves the use of multiple estimates and assumptions, such as those listed above.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ACL for PCD assets is recognized within business combination accounting with no initial impact to net income. Changes in estimates of expected credit losses on PCD loans after acquisition are recognized as provision expense (or reversal of provision expense) in subsequent periods as they arise. The ACL for non-PCD assets is recognized as provision expense in the same reporting period as the business combination. Estimated loan losses for acquired loans are determined using methodologies and applying estimates and assumptions that were described previously in the Allowance for Credit Losses on Loans section.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Non-PCD loans acquired are generally estimated at fair value using a discounted cash flow approach with assumptions of discount rate, remaining life, prepayments, probability of default, and loss given default. The actual cash flows on these loans could differ materially from the fair value estimates. The amount we record as the fair values for the loans is generally less than the contractual unpaid principal balance due from the borrowers, with the difference being referred to as the “discount” on the acquired loans. Discounts on acquired non-PCD loans are accreted to interest income over their estimated remaining lives, which may include prepayment estimates in certain circumstances.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Similarly, premiums or discounts on acquired debt are accreted or amortized to interest expense over their remaining lives. Actual accretion or amortization of premiums and discounts from a business acquisition may differ materially from our estimates impacting our operating results.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Goodwill arising from business combinations represents the excess of the purchase price over the sum of the estimated fair values of the tangible and identifiable intangible assets acquired less the estimated fair value of the liabilities assumed. Goodwill has an indefinite useful life and is evaluated for impairment annually or more frequently if events and circumstances indicate that the asset might be impaired. An impairment loss is recognized to the extent that the carrying amount exceeds the asset’s fair value. We believe that the accounting for goodwill also involves a higher degree of judgment than most other significant accounting policies. ASC 350–10 establishes standards for an impairment assessment of goodwill.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each reporting date between annual goodwill impairment tests, we consider potential indicators of impairment. Generally, absent potential impairment indicators, we perform an annual assessment of whether the events and circumstances resulted in it being more likely than not that the fair value of any reporting unit was less than its carrying value. Impairment indicators considered include the condition of the economy and banking industry; government intervention and regulatory updates; the impact of recent events to financial performance and cost factors of the reporting unit; performance of the Company's stock, and other relevant events.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Income Taxes</w:t>
      </w:r>
      <w:r>
        <w:rPr>
          <w:rFonts w:ascii="Times New Roman;Times;serif" w:hAnsi="Times New Roman;Times;serif"/>
          <w:b/>
          <w:sz w:val="20"/>
        </w:rPr>
        <w:t>.</w:t>
      </w:r>
      <w:r>
        <w:rPr>
          <w:rFonts w:ascii="Times New Roman;Times;serif" w:hAnsi="Times New Roman;Times;serif"/>
          <w:sz w:val="20"/>
        </w:rPr>
        <w:t xml:space="preserve"> Income taxes are reflected in the Company’s consolidated financial statements to show the tax effects of the operations and transactions reported in the consolidated financial statements and consist of taxes currently payable plus deferred taxes. ASC 740, “</w:t>
      </w:r>
      <w:r>
        <w:rPr>
          <w:rFonts w:ascii="Times New Roman;Times;serif" w:hAnsi="Times New Roman;Times;serif"/>
          <w:i/>
          <w:sz w:val="20"/>
        </w:rPr>
        <w:t>Accounting for Income Taxes</w:t>
      </w:r>
      <w:r>
        <w:rPr>
          <w:rFonts w:ascii="Times New Roman;Times;serif" w:hAnsi="Times New Roman;Times;serif"/>
          <w:sz w:val="20"/>
        </w:rPr>
        <w:t xml:space="preserve">,” requires the asset and liability approach for financial accounting and reporting for deferred income taxes. Deferred tax assets and liabilities result from temporary differences between the financial statement carrying amounts and the tax bases of assets and liabilities. They are reflected at currently enacted income tax rates applicable to the period in which the deferred tax assets or liabilities are expected to be realized or settled and are determined using the assets and liability method of accounting. The deferred income tax provision represents the difference between net deferred tax asset/liability at the beginning and end of the reported period. In formulating the deferred tax asset, the Company is required to estimate income and taxes in the jurisdiction in which the Company operates. This process involves estimating the actual current tax exposure for the reported period together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assessing temporary differences resulting from differing treatment of items, such as depreciation and the provision for credit losses, for tax and financial reporting purposes.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Deferred tax assets and liabilities occur when taxable income is larger or smaller than reported income on the income statements due to accounting valuation methods that differ from tax, as well as tax rate estimates and payments made quarterly and adjusted to actual at the end of the year.  Deferred tax assets and liabilities are temporary differences deductible or payable in future periods.  The Company had net deferred tax assets of $5.8 million and $6.7 million, at June 30, 2023 and December 31, 2022, respectively.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Comparison of Financial Condition at June 30, 2023 and December 31, 2022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Assets. </w:t>
      </w:r>
      <w:r>
        <w:rPr>
          <w:rFonts w:ascii="Times New Roman;Times;serif" w:hAnsi="Times New Roman;Times;serif"/>
          <w:sz w:val="20"/>
        </w:rPr>
        <w:t xml:space="preserve">Total assets increased $272.7 million to $2.91 billion at June 30, 2023, from $2.63 billion at December 31, 2022, primarily due to an increase in loans receivable, net of $151.6 million, approximately $60.1 million of which was acquired in the Branch Purchase as well as increases in total cash and cash equivalents of $90.7 million, CDI, net of $16.0 million, certificates of deposit (“CDs”) at other financial institutions of $10.0 million, other assets of $6.4 million, premises and equipment of $6.2 million, goodwill of $1.3 million, operating lease right-of-use of $1.2 million, and accrued interest receivable of $1.1 million.  These increases were partially offset by decreases in FHLB stock of $4.1 million and in both loans held for sale and securities available-for-sale of $3.4 million.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Loans receivable, net increased $151.6 million to $2.34 billion at June 30, 2023, from $2.19 billion at December 31, 2022, which included approximately $60.1 million in loans acquired in the Branch Purchase. Total real estate loans increased $50.0 million, including increases in one-to-four-family loans of $52.2 million, multi-family loans of $11.9 million, commercial real estate loans of $8.9 million and home equity loans of $6.9 million, partially offset by a decrease in construction and development loans of $30.5 million. Undisbursed construction and development loan commitments decreased $32.7 million, to $169.0 million at June 30, 2023, as compared to $201.7 million at December 31, 2022. Consumer loans increased $64.3 million primarily due to an increase of $61.9 million in indirect home improvement loans and $1.9 million, in marine loans.  Commercial business loans increased $40.0 million as a result of an increase in commercial and industrial lending of $40.6 million, partially offset by a decrease in warehouse lending of $580,000.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Loans held for sale, consisting of one-to-four-family loans, decreased by $3.4 million to $16.7 million at June 30, 2023, from $20.1 million at December 31, 2022. The Company continues to invest in its home lending operations and strategically add production staff in the markets we serve.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One-to-four-family loan originations for the six months ended June 30, 2023, included $185.0 million of loans originated for sale, $77.6 million of portfolio loans including first and second liens, and $7.9 million of loans brokered to other institutions.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Originations of one-to-four-family loans for the periods indicated were as follows: </w:t>
      </w:r>
    </w:p>
    <w:p>
      <w:pPr>
        <w:pStyle w:val="TextBody"/>
        <w:bidi w:val="0"/>
        <w:spacing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94"/>
        <w:gridCol w:w="326"/>
        <w:gridCol w:w="211"/>
        <w:gridCol w:w="781"/>
        <w:gridCol w:w="326"/>
        <w:gridCol w:w="706"/>
        <w:gridCol w:w="326"/>
        <w:gridCol w:w="326"/>
        <w:gridCol w:w="211"/>
        <w:gridCol w:w="781"/>
        <w:gridCol w:w="326"/>
        <w:gridCol w:w="706"/>
        <w:gridCol w:w="326"/>
        <w:gridCol w:w="326"/>
        <w:gridCol w:w="211"/>
        <w:gridCol w:w="894"/>
        <w:gridCol w:w="326"/>
        <w:gridCol w:w="985"/>
        <w:gridCol w:w="317"/>
      </w:tblGrid>
      <w:tr>
        <w:trPr/>
        <w:tc>
          <w:tcPr>
            <w:tcW w:w="17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139190" cy="175260"/>
                      <wp:effectExtent l="0" t="0" r="0" b="0"/>
                      <wp:wrapNone/>
                      <wp:docPr id="674" name="Frame674"/>
                      <a:graphic xmlns:a="http://schemas.openxmlformats.org/drawingml/2006/main">
                        <a:graphicData uri="http://schemas.microsoft.com/office/word/2010/wordprocessingShape">
                          <wps:wsp>
                            <wps:cNvSpPr txBox="1"/>
                            <wps:spPr>
                              <a:xfrm>
                                <a:off x="0" y="0"/>
                                <a:ext cx="1139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207010" cy="175260"/>
                      <wp:effectExtent l="0" t="0" r="0" b="0"/>
                      <wp:wrapNone/>
                      <wp:docPr id="675" name="Frame6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133985" cy="175260"/>
                      <wp:effectExtent l="0" t="0" r="0" b="0"/>
                      <wp:wrapNone/>
                      <wp:docPr id="676" name="Frame6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495935" cy="175260"/>
                      <wp:effectExtent l="0" t="0" r="0" b="0"/>
                      <wp:wrapNone/>
                      <wp:docPr id="677" name="Frame67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207010" cy="175260"/>
                      <wp:effectExtent l="0" t="0" r="0" b="0"/>
                      <wp:wrapNone/>
                      <wp:docPr id="678" name="Frame6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448310" cy="175260"/>
                      <wp:effectExtent l="0" t="0" r="0" b="0"/>
                      <wp:wrapNone/>
                      <wp:docPr id="679" name="Frame679"/>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207010" cy="175260"/>
                      <wp:effectExtent l="0" t="0" r="0" b="0"/>
                      <wp:wrapNone/>
                      <wp:docPr id="680" name="Frame6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07010" cy="175260"/>
                      <wp:effectExtent l="0" t="0" r="0" b="0"/>
                      <wp:wrapNone/>
                      <wp:docPr id="681" name="Frame6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33985" cy="175260"/>
                      <wp:effectExtent l="0" t="0" r="0" b="0"/>
                      <wp:wrapNone/>
                      <wp:docPr id="682" name="Frame6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495935" cy="175260"/>
                      <wp:effectExtent l="0" t="0" r="0" b="0"/>
                      <wp:wrapNone/>
                      <wp:docPr id="683" name="Frame6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207010" cy="175260"/>
                      <wp:effectExtent l="0" t="0" r="0" b="0"/>
                      <wp:wrapNone/>
                      <wp:docPr id="684" name="Frame6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448310" cy="175260"/>
                      <wp:effectExtent l="0" t="0" r="0" b="0"/>
                      <wp:wrapNone/>
                      <wp:docPr id="685" name="Frame685"/>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07010" cy="175260"/>
                      <wp:effectExtent l="0" t="0" r="0" b="0"/>
                      <wp:wrapNone/>
                      <wp:docPr id="686" name="Frame6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207010" cy="175260"/>
                      <wp:effectExtent l="0" t="0" r="0" b="0"/>
                      <wp:wrapNone/>
                      <wp:docPr id="687" name="Frame6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133985" cy="175260"/>
                      <wp:effectExtent l="0" t="0" r="0" b="0"/>
                      <wp:wrapNone/>
                      <wp:docPr id="688" name="Frame6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567690" cy="175260"/>
                      <wp:effectExtent l="0" t="0" r="0" b="0"/>
                      <wp:wrapNone/>
                      <wp:docPr id="689" name="Frame689"/>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207010" cy="175260"/>
                      <wp:effectExtent l="0" t="0" r="0" b="0"/>
                      <wp:wrapNone/>
                      <wp:docPr id="690" name="Frame6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25475" cy="175260"/>
                      <wp:effectExtent l="0" t="0" r="0" b="0"/>
                      <wp:wrapNone/>
                      <wp:docPr id="691" name="Frame691"/>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01295" cy="175260"/>
                      <wp:effectExtent l="0" t="0" r="0" b="0"/>
                      <wp:wrapNone/>
                      <wp:docPr id="692" name="Frame692"/>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(Dollars in thousands)</w:t>
            </w:r>
          </w:p>
        </w:tc>
        <w:tc>
          <w:tcPr>
            <w:tcW w:w="326" w:type="dxa"/>
            <w:tcBorders/>
            <w:vAlign w:val="center"/>
          </w:tcPr>
          <w:p>
            <w:pPr>
              <w:pStyle w:val="TableContents"/>
              <w:bidi w:val="0"/>
              <w:spacing w:before="0" w:after="1"/>
              <w:ind w:left="0" w:right="0" w:hanging="0"/>
              <w:jc w:val="left"/>
              <w:rPr/>
            </w:pPr>
            <w:r>
              <w:rPr/>
              <w:t>​</w:t>
            </w:r>
          </w:p>
        </w:tc>
        <w:tc>
          <w:tcPr>
            <w:tcW w:w="4700"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For the Six Months Ended June 30,</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0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left"/>
              <w:rPr/>
            </w:pPr>
            <w:r>
              <w:rPr/>
              <w:t>​</w:t>
            </w:r>
          </w:p>
        </w:tc>
      </w:tr>
      <w:tr>
        <w:trPr/>
        <w:tc>
          <w:tcPr>
            <w:tcW w:w="17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05"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left"/>
              <w:rPr/>
            </w:pPr>
            <w:r>
              <w:rPr/>
              <w:t>​</w:t>
            </w:r>
          </w:p>
        </w:tc>
      </w:tr>
      <w:tr>
        <w:trPr/>
        <w:tc>
          <w:tcPr>
            <w:tcW w:w="179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Percent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Percent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11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 Change </w:t>
            </w:r>
          </w:p>
        </w:tc>
        <w:tc>
          <w:tcPr>
            <w:tcW w:w="326" w:type="dxa"/>
            <w:tcBorders/>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xml:space="preserve">% Change </w:t>
            </w:r>
          </w:p>
        </w:tc>
        <w:tc>
          <w:tcPr>
            <w:tcW w:w="317" w:type="dxa"/>
            <w:tcBorders/>
            <w:vAlign w:val="center"/>
          </w:tcPr>
          <w:p>
            <w:pPr>
              <w:pStyle w:val="TableContents"/>
              <w:bidi w:val="0"/>
              <w:spacing w:before="0" w:after="1"/>
              <w:ind w:left="0" w:right="0" w:hanging="0"/>
              <w:jc w:val="left"/>
              <w:rPr/>
            </w:pPr>
            <w:r>
              <w:rPr/>
              <w:t>​</w:t>
            </w:r>
          </w:p>
        </w:tc>
      </w:tr>
      <w:tr>
        <w:trPr/>
        <w:tc>
          <w:tcPr>
            <w:tcW w:w="17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247,866</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376,625</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74.7</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(128,759)</w:t>
            </w:r>
          </w:p>
        </w:tc>
        <w:tc>
          <w:tcPr>
            <w:tcW w:w="32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w:t>
            </w:r>
          </w:p>
        </w:tc>
        <w:tc>
          <w:tcPr>
            <w:tcW w:w="317" w:type="dxa"/>
            <w:tcBorders/>
            <w:shd w:fill="CCEEFF" w:val="clear"/>
            <w:vAlign w:val="center"/>
          </w:tcPr>
          <w:p>
            <w:pPr>
              <w:pStyle w:val="TableContents"/>
              <w:bidi w:val="0"/>
              <w:spacing w:before="0" w:after="1"/>
              <w:ind w:left="0" w:right="0" w:hanging="0"/>
              <w:jc w:val="left"/>
              <w:rPr>
                <w:rFonts w:ascii="Calibri;Helvetica;sans-serif" w:hAnsi="Calibri;Helvetica;sans-serif"/>
                <w:sz w:val="22"/>
              </w:rPr>
            </w:pPr>
            <w:r>
              <w:rPr>
                <w:rFonts w:ascii="Calibri;Helvetica;sans-serif" w:hAnsi="Calibri;Helvetica;sans-serif"/>
                <w:sz w:val="22"/>
              </w:rPr>
              <w:t>%</w:t>
            </w:r>
          </w:p>
        </w:tc>
      </w:tr>
      <w:tr>
        <w:trPr/>
        <w:tc>
          <w:tcPr>
            <w:tcW w:w="17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Refinance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22,634</w:t>
            </w:r>
          </w:p>
        </w:tc>
        <w:tc>
          <w:tcPr>
            <w:tcW w:w="326" w:type="dxa"/>
            <w:tcBorders/>
            <w:vAlign w:val="center"/>
          </w:tcPr>
          <w:p>
            <w:pPr>
              <w:pStyle w:val="TableContents"/>
              <w:bidi w:val="0"/>
              <w:spacing w:before="0" w:after="1"/>
              <w:ind w:left="0" w:right="0" w:hanging="0"/>
              <w:jc w:val="left"/>
              <w:rPr/>
            </w:pPr>
            <w:r>
              <w:rPr/>
              <w:t> </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127,238</w:t>
            </w:r>
          </w:p>
        </w:tc>
        <w:tc>
          <w:tcPr>
            <w:tcW w:w="326" w:type="dxa"/>
            <w:tcBorders/>
            <w:vAlign w:val="center"/>
          </w:tcPr>
          <w:p>
            <w:pPr>
              <w:pStyle w:val="TableContents"/>
              <w:bidi w:val="0"/>
              <w:spacing w:before="0" w:after="1"/>
              <w:ind w:left="0" w:right="0" w:hanging="0"/>
              <w:jc w:val="left"/>
              <w:rPr/>
            </w:pPr>
            <w:r>
              <w:rPr/>
              <w:t>​</w:t>
            </w:r>
          </w:p>
        </w:tc>
        <w:tc>
          <w:tcPr>
            <w:tcW w:w="7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(104,604)</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w:t>
            </w:r>
          </w:p>
        </w:tc>
        <w:tc>
          <w:tcPr>
            <w:tcW w:w="317" w:type="dxa"/>
            <w:tcBorders/>
            <w:vAlign w:val="center"/>
          </w:tcPr>
          <w:p>
            <w:pPr>
              <w:pStyle w:val="TableContents"/>
              <w:bidi w:val="0"/>
              <w:spacing w:before="0" w:after="1"/>
              <w:ind w:left="0" w:right="0" w:hanging="0"/>
              <w:jc w:val="left"/>
              <w:rPr/>
            </w:pPr>
            <w:r>
              <w:rPr/>
              <w:t>​</w:t>
            </w:r>
          </w:p>
        </w:tc>
      </w:tr>
      <w:tr>
        <w:trPr/>
        <w:tc>
          <w:tcPr>
            <w:tcW w:w="17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270,500</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503,863</w:t>
            </w:r>
          </w:p>
        </w:tc>
        <w:tc>
          <w:tcPr>
            <w:tcW w:w="326" w:type="dxa"/>
            <w:tcBorders/>
            <w:shd w:fill="CCEEFF" w:val="clear"/>
            <w:vAlign w:val="center"/>
          </w:tcPr>
          <w:p>
            <w:pPr>
              <w:pStyle w:val="TableContents"/>
              <w:bidi w:val="0"/>
              <w:spacing w:before="0" w:after="1"/>
              <w:ind w:left="0" w:right="0" w:hanging="0"/>
              <w:jc w:val="left"/>
              <w:rPr/>
            </w:pPr>
            <w:r>
              <w:rPr/>
              <w:t>​</w:t>
            </w:r>
          </w:p>
        </w:tc>
        <w:tc>
          <w:tcPr>
            <w:tcW w:w="7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(233,363)</w:t>
            </w:r>
          </w:p>
        </w:tc>
        <w:tc>
          <w:tcPr>
            <w:tcW w:w="32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c>
          <w:tcPr>
            <w:tcW w:w="317" w:type="dxa"/>
            <w:tcBorders/>
            <w:shd w:fill="CCEEFF" w:val="clear"/>
            <w:vAlign w:val="center"/>
          </w:tcPr>
          <w:p>
            <w:pPr>
              <w:pStyle w:val="TableContents"/>
              <w:bidi w:val="0"/>
              <w:spacing w:before="0" w:after="1"/>
              <w:ind w:left="0" w:right="0" w:hanging="0"/>
              <w:jc w:val="left"/>
              <w:rPr>
                <w:rFonts w:ascii="Calibri;Helvetica;sans-serif" w:hAnsi="Calibri;Helvetica;sans-serif"/>
                <w:sz w:val="22"/>
              </w:rPr>
            </w:pPr>
            <w:r>
              <w:rPr>
                <w:rFonts w:ascii="Calibri;Helvetica;sans-serif" w:hAnsi="Calibri;Helvetica;sans-serif"/>
                <w:sz w:val="22"/>
              </w:rPr>
              <w:t>%</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2023, the Company sold $204.3 million of one-to-four-family loans compared to sales of $497.4 million for the same period one year ago.  Gross margin on home loan sales increased to 3.06% for the six months ended June 30, 2023, compared to 3.01% for the six months ended June 30, 2022.  Gross margin is defined as the margin on loans sold (cash sales) without the impact of deferred costs.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ACL for loans was $30.4 million or 1.28% of gross loans receivable (excluding loans held for sale), at June 30, 2023, compared to $28.0 million or 1.26% of gross loans receivable (excluding loans held for sale), at December 31, 2022.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increase was primarily due to higher risks from economic uncertainty, the increase in loans, and increased reserves on individually evaluated nonaccrual loans.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Loans classified as substandard decreased $3.8 million to $16.4 million at June 30, 2023, compared to $20.2 million at December 31, 2022. The decrease was primarily due to decreases of $3.5 million in commercial real estate loans, $782,000 in one-to-four-family loans, and $487,000 in commercial and industrial loans, partially offset by increases of $757,000 in indirect home improvement loans and $204,000 in marine loans. Nonperforming loans, consisting solely of nonaccrual loans, increased $620,000 to $9.3 million at June 30, 2023, from $8.7 million at December 31, 2022.  The ratio of nonperforming loans to total gross loans was 0.39% at both June 30, 2023 and December 31, 2022. There was one OREO property in the amount of $570,000 (a closed branch in Centralia, Washington) at both June 30, 2023 and December 31, 2022.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Liabilities.</w:t>
      </w:r>
      <w:r>
        <w:rPr>
          <w:rFonts w:ascii="Times New Roman;Times;serif" w:hAnsi="Times New Roman;Times;serif"/>
          <w:sz w:val="20"/>
        </w:rPr>
        <w:t xml:space="preserve"> Total liabilities increased $254.5 million to $2.66 billion at June 30, 2023, from $2.40 billion at December 31, 2022, primarily due to an increase of $237.6 million in deposits and $13.4 million in borrowings.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Total deposits increased $237.6 million to $2.37 billion at June 30, 2023, from $2.13 billion at December 31, 2022, due to the Branch Purchase in which we acquired approximately $424.9 million in deposits.  CDs increased $189.0 million to $918.8 million at June 30, 2023, from $729.8 million at December 31, 2022. Transactional accounts (noninterest-bearing checking, interest-bearing checking and escrow accounts) increased $168.9 million to $858.2 million at June 30, 2023, from $689.3 million at December 31, 2022, due to increases of $120.5 million in noninterest-bearing checking, $47.9 million in interest-bearing checking and $536,000 in escrow accounts related to mortgages serviced.  Money market and savings accounts decreased $120.3 million to $588.3 million at June 30, 2023, from $708.6 million at December 31, 2022.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Deposits are summarized as follows at the dates indicated:</w:t>
      </w:r>
    </w:p>
    <w:tbl>
      <w:tblPr>
        <w:tblW w:w="7195" w:type="dxa"/>
        <w:jc w:val="left"/>
        <w:tblInd w:w="0" w:type="dxa"/>
        <w:tblLayout w:type="fixed"/>
        <w:tblCellMar>
          <w:top w:w="0" w:type="dxa"/>
          <w:left w:w="0" w:type="dxa"/>
          <w:bottom w:w="0" w:type="dxa"/>
          <w:right w:w="0" w:type="dxa"/>
        </w:tblCellMar>
      </w:tblPr>
      <w:tblGrid>
        <w:gridCol w:w="4096"/>
        <w:gridCol w:w="326"/>
        <w:gridCol w:w="211"/>
        <w:gridCol w:w="931"/>
        <w:gridCol w:w="326"/>
        <w:gridCol w:w="220"/>
        <w:gridCol w:w="1085"/>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2600960" cy="175260"/>
                      <wp:effectExtent l="0" t="0" r="0" b="0"/>
                      <wp:wrapNone/>
                      <wp:docPr id="693" name="Frame693"/>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7010" cy="175260"/>
                      <wp:effectExtent l="0" t="0" r="0" b="0"/>
                      <wp:wrapNone/>
                      <wp:docPr id="694" name="Frame6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33985" cy="175260"/>
                      <wp:effectExtent l="0" t="0" r="0" b="0"/>
                      <wp:wrapNone/>
                      <wp:docPr id="695" name="Frame6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591185" cy="175260"/>
                      <wp:effectExtent l="0" t="0" r="0" b="0"/>
                      <wp:wrapNone/>
                      <wp:docPr id="696" name="Frame6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207010" cy="175260"/>
                      <wp:effectExtent l="0" t="0" r="0" b="0"/>
                      <wp:wrapNone/>
                      <wp:docPr id="697" name="Frame6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139700" cy="175260"/>
                      <wp:effectExtent l="0" t="0" r="0" b="0"/>
                      <wp:wrapNone/>
                      <wp:docPr id="698" name="Frame698"/>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88975" cy="175260"/>
                      <wp:effectExtent l="0" t="0" r="0" b="0"/>
                      <wp:wrapNone/>
                      <wp:docPr id="699" name="Frame699"/>
                      <a:graphic xmlns:a="http://schemas.openxmlformats.org/drawingml/2006/main">
                        <a:graphicData uri="http://schemas.microsoft.com/office/word/2010/wordprocessingShape">
                          <wps:wsp>
                            <wps:cNvSpPr txBox="1"/>
                            <wps:spPr>
                              <a:xfrm>
                                <a:off x="0" y="0"/>
                                <a:ext cx="688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(Dollars in thousands)</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w:t>
            </w:r>
          </w:p>
        </w:tc>
        <w:tc>
          <w:tcPr>
            <w:tcW w:w="326" w:type="dxa"/>
            <w:tcBorders/>
            <w:vAlign w:val="center"/>
          </w:tcPr>
          <w:p>
            <w:pPr>
              <w:pStyle w:val="TableContents"/>
              <w:bidi w:val="0"/>
              <w:spacing w:before="0" w:after="1"/>
              <w:ind w:left="0" w:right="0" w:hanging="0"/>
              <w:jc w:val="left"/>
              <w:rPr/>
            </w:pPr>
            <w:r>
              <w:rPr/>
              <w:t>​</w:t>
            </w:r>
          </w:p>
        </w:tc>
        <w:tc>
          <w:tcPr>
            <w:tcW w:w="1305"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0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1"/>
              <w:ind w:left="0" w:right="0" w:hanging="0"/>
              <w:jc w:val="left"/>
              <w:rPr/>
            </w:pPr>
            <w:r>
              <w:rPr/>
              <w:t>    </w:t>
            </w:r>
          </w:p>
        </w:tc>
        <w:tc>
          <w:tcPr>
            <w:tcW w:w="13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Noninterest-bearing checking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658,440</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537,938</w:t>
            </w:r>
          </w:p>
        </w:tc>
      </w:tr>
      <w:tr>
        <w:trPr/>
        <w:tc>
          <w:tcPr>
            <w:tcW w:w="40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Interest-bearing checking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183,012</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135,127</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169,013</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134,358</w:t>
            </w:r>
          </w:p>
        </w:tc>
      </w:tr>
      <w:tr>
        <w:trPr/>
        <w:tc>
          <w:tcPr>
            <w:tcW w:w="40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Money market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419,308</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574,290</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CDs less than $100,000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473,026</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440,785</w:t>
            </w:r>
          </w:p>
        </w:tc>
      </w:tr>
      <w:tr>
        <w:trPr/>
        <w:tc>
          <w:tcPr>
            <w:tcW w:w="40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CDs of $100,000 through $250,000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358,238</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10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195,447</w:t>
            </w:r>
          </w:p>
        </w:tc>
      </w:tr>
      <w:tr>
        <w:trPr/>
        <w:tc>
          <w:tcPr>
            <w:tcW w:w="40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CDs of $250,000 and over </w:t>
            </w:r>
            <w:r>
              <w:rPr>
                <w:rFonts w:ascii="Times New Roman;Times;serif" w:hAnsi="Times New Roman;Times;serif"/>
                <w:sz w:val="15"/>
              </w:rPr>
              <w:t>(4)</w:t>
            </w: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87,499</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10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93,560</w:t>
            </w:r>
          </w:p>
        </w:tc>
      </w:tr>
      <w:tr>
        <w:trPr/>
        <w:tc>
          <w:tcPr>
            <w:tcW w:w="40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Escrow accounts related to mortgages serviced </w:t>
            </w:r>
            <w:r>
              <w:rPr>
                <w:rFonts w:ascii="Times New Roman;Times;serif" w:hAnsi="Times New Roman;Times;serif"/>
                <w:sz w:val="15"/>
              </w:rPr>
              <w:t>(5)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16,772</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16,236</w:t>
            </w:r>
          </w:p>
        </w:tc>
      </w:tr>
      <w:tr>
        <w:trPr/>
        <w:tc>
          <w:tcPr>
            <w:tcW w:w="40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2,365,308</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2,127,741</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w:t>
      </w:r>
    </w:p>
    <w:tbl>
      <w:tblPr>
        <w:tblW w:w="9002" w:type="dxa"/>
        <w:jc w:val="left"/>
        <w:tblInd w:w="0" w:type="dxa"/>
        <w:tblLayout w:type="fixed"/>
        <w:tblCellMar>
          <w:top w:w="0" w:type="dxa"/>
          <w:left w:w="0" w:type="dxa"/>
          <w:bottom w:w="0" w:type="dxa"/>
          <w:right w:w="0" w:type="dxa"/>
        </w:tblCellMar>
      </w:tblPr>
      <w:tblGrid>
        <w:gridCol w:w="346"/>
        <w:gridCol w:w="865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$0 and $2.3 million of brokered deposits at June 30, 2023 and December 31, 2022, respectively.</w:t>
            </w:r>
          </w:p>
        </w:tc>
      </w:tr>
    </w:tbl>
    <w:tbl>
      <w:tblPr>
        <w:tblW w:w="9572" w:type="dxa"/>
        <w:jc w:val="left"/>
        <w:tblInd w:w="0" w:type="dxa"/>
        <w:tblLayout w:type="fixed"/>
        <w:tblCellMar>
          <w:top w:w="0" w:type="dxa"/>
          <w:left w:w="0" w:type="dxa"/>
          <w:bottom w:w="0" w:type="dxa"/>
          <w:right w:w="0" w:type="dxa"/>
        </w:tblCellMar>
      </w:tblPr>
      <w:tblGrid>
        <w:gridCol w:w="346"/>
        <w:gridCol w:w="92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$51,000 and $59.7 million of brokered deposits at June 30, 2023 and December 31, 2022, respectively.</w:t>
            </w:r>
          </w:p>
        </w:tc>
      </w:tr>
    </w:tbl>
    <w:tbl>
      <w:tblPr>
        <w:tblW w:w="9887" w:type="dxa"/>
        <w:jc w:val="left"/>
        <w:tblInd w:w="0" w:type="dxa"/>
        <w:tblLayout w:type="fixed"/>
        <w:tblCellMar>
          <w:top w:w="0" w:type="dxa"/>
          <w:left w:w="0" w:type="dxa"/>
          <w:bottom w:w="0" w:type="dxa"/>
          <w:right w:w="0" w:type="dxa"/>
        </w:tblCellMar>
      </w:tblPr>
      <w:tblGrid>
        <w:gridCol w:w="346"/>
        <w:gridCol w:w="95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5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$295.7 million and $332.0 million of brokered CDs at June 30, 2023 and December 31, 2022, respectively.</w:t>
            </w:r>
          </w:p>
        </w:tc>
      </w:tr>
    </w:tbl>
    <w:tbl>
      <w:tblPr>
        <w:tblW w:w="4547" w:type="dxa"/>
        <w:jc w:val="left"/>
        <w:tblInd w:w="0" w:type="dxa"/>
        <w:tblLayout w:type="fixed"/>
        <w:tblCellMar>
          <w:top w:w="0" w:type="dxa"/>
          <w:left w:w="0" w:type="dxa"/>
          <w:bottom w:w="0" w:type="dxa"/>
          <w:right w:w="0" w:type="dxa"/>
        </w:tblCellMar>
      </w:tblPr>
      <w:tblGrid>
        <w:gridCol w:w="346"/>
        <w:gridCol w:w="42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4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CDs that meet or exceed the FDIC insurance limit.</w:t>
            </w:r>
          </w:p>
        </w:tc>
      </w:tr>
    </w:tbl>
    <w:tbl>
      <w:tblPr>
        <w:tblW w:w="2957" w:type="dxa"/>
        <w:jc w:val="left"/>
        <w:tblInd w:w="0" w:type="dxa"/>
        <w:tblLayout w:type="fixed"/>
        <w:tblCellMar>
          <w:top w:w="0" w:type="dxa"/>
          <w:left w:w="0" w:type="dxa"/>
          <w:bottom w:w="0" w:type="dxa"/>
          <w:right w:w="0" w:type="dxa"/>
        </w:tblCellMar>
      </w:tblPr>
      <w:tblGrid>
        <w:gridCol w:w="346"/>
        <w:gridCol w:w="261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 checking.</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Bank had uninsured deposits of $587.6 million or 24.8% of total deposits, at June 30, 2023, compared to $560.0 million or 26.3% of total deposits, at December 31, 2022. The Bank’s uninsured deposits excluding collateralized public deposits and affiliate deposits were 24.8% of total deposits at June 30, 2023, compared to 26.3% at December 31, 2023.</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June 30, 2023, borrowings comprised overnight funding of $106.0 million, advances from the Federal Reserve Bank’s Term Funding Program of $90.0 million, and FHLB fixed-rate advances of $3.9 million, increased $13.4 million to $199.9 million, from $186.5 million of FHLB advances at December 31, 2022.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Stockholders’ Equity.</w:t>
      </w:r>
      <w:r>
        <w:rPr>
          <w:rFonts w:ascii="Times New Roman;Times;serif" w:hAnsi="Times New Roman;Times;serif"/>
          <w:sz w:val="20"/>
        </w:rPr>
        <w:t xml:space="preserve"> Total stockholders’ equity increased $18.2 million to $249.9 million at June 30, 2023, from $231.7 million at December 31, 2022. The increase in stockholders’ equity during the six months ended June 30, 2023, was primarily due to net income of $17.3 million, partially offset by dividends paid of $3.9 million.  In addition, stockholders’ equity was positively impacted by unrealized gains on fair value and cash flow hedges of $1.3 million, net of tax,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unrealized net gains in securities available-for-sale of $1.9 million, net of tax, reflecting changes in market interest rates during the period, resulting in a ,$3.2 million increase in accumulated other comprehensive income, net of tax. Book value per common share was $32.71 at June 30, 2023, compared to $30.42 at December 31, 2022.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calculated book value per share at June 30, 2023, based on 7,641,342 common shares, which was the difference between the 7,753,607 reported common shares and 112,265 unvested restricted stock shares outstanding as of that date. We calculated book value per share at December 31, 2022, based on 7,617,655 common shares, which was the difference between the 7,736,185 reported common shares and 118,530 unvested restricted stock shares outstanding as of that date.</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Comparison of Results of Operations for the Three Months Ended June 30, 2023 and 2022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General. </w:t>
      </w:r>
      <w:r>
        <w:rPr>
          <w:rFonts w:ascii="Times New Roman;Times;serif" w:hAnsi="Times New Roman;Times;serif"/>
          <w:sz w:val="20"/>
        </w:rPr>
        <w:t xml:space="preserve">Net income was $9.1 million for the three months ended June 30, 2023, and $6.7 million for the three months ended June 30, 2022.  The increase in net income for the three months ended June 30, 2023, was primarily due to a $6.8 million or 27.6%, increase in net interest income, a $1.2 million or 61.7%, decrease in provision for credit losses, and a $478,000 or 11.0%, increase in noninterest income, partially offset by a $5.3 million or 27.9%, increase in noninterest expense and a $764,000 or 48.2%, increase in provision for income taxes.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Average Balances, Interest and Average Yields/Cost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Income and all average balances are daily average balances. Nonaccrual loans have been included in the table as loans carrying a zero yield.  The yields on tax-exempt municipal bonds have not been computed on a tax equivalent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426"/>
        <w:gridCol w:w="326"/>
        <w:gridCol w:w="252"/>
        <w:gridCol w:w="1116"/>
        <w:gridCol w:w="146"/>
        <w:gridCol w:w="245"/>
        <w:gridCol w:w="787"/>
        <w:gridCol w:w="109"/>
        <w:gridCol w:w="684"/>
        <w:gridCol w:w="326"/>
        <w:gridCol w:w="252"/>
        <w:gridCol w:w="1116"/>
        <w:gridCol w:w="326"/>
        <w:gridCol w:w="245"/>
        <w:gridCol w:w="787"/>
        <w:gridCol w:w="326"/>
        <w:gridCol w:w="736"/>
      </w:tblGrid>
      <w:tr>
        <w:trPr/>
        <w:tc>
          <w:tcPr>
            <w:tcW w:w="2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1540510" cy="175260"/>
                      <wp:effectExtent l="0" t="0" r="0" b="0"/>
                      <wp:wrapNone/>
                      <wp:docPr id="700" name="Frame700"/>
                      <a:graphic xmlns:a="http://schemas.openxmlformats.org/drawingml/2006/main">
                        <a:graphicData uri="http://schemas.microsoft.com/office/word/2010/wordprocessingShape">
                          <wps:wsp>
                            <wps:cNvSpPr txBox="1"/>
                            <wps:spPr>
                              <a:xfrm>
                                <a:off x="0" y="0"/>
                                <a:ext cx="154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207010" cy="175260"/>
                      <wp:effectExtent l="0" t="0" r="0" b="0"/>
                      <wp:wrapNone/>
                      <wp:docPr id="701" name="Frame7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160020" cy="175260"/>
                      <wp:effectExtent l="0" t="0" r="0" b="0"/>
                      <wp:wrapNone/>
                      <wp:docPr id="702" name="Frame702"/>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708660" cy="175260"/>
                      <wp:effectExtent l="0" t="0" r="0" b="0"/>
                      <wp:wrapNone/>
                      <wp:docPr id="703" name="Frame703"/>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92710" cy="175260"/>
                      <wp:effectExtent l="0" t="0" r="0" b="0"/>
                      <wp:wrapNone/>
                      <wp:docPr id="704" name="Frame70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155575" cy="175260"/>
                      <wp:effectExtent l="0" t="0" r="0" b="0"/>
                      <wp:wrapNone/>
                      <wp:docPr id="705" name="Frame705"/>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499745" cy="175260"/>
                      <wp:effectExtent l="0" t="0" r="0" b="0"/>
                      <wp:wrapNone/>
                      <wp:docPr id="706" name="Frame706"/>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69215" cy="175260"/>
                      <wp:effectExtent l="0" t="0" r="0" b="0"/>
                      <wp:wrapNone/>
                      <wp:docPr id="707" name="Frame7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434340" cy="175260"/>
                      <wp:effectExtent l="0" t="0" r="0" b="0"/>
                      <wp:wrapNone/>
                      <wp:docPr id="708" name="Frame708"/>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07010" cy="175260"/>
                      <wp:effectExtent l="0" t="0" r="0" b="0"/>
                      <wp:wrapNone/>
                      <wp:docPr id="709" name="Frame7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160020" cy="175260"/>
                      <wp:effectExtent l="0" t="0" r="0" b="0"/>
                      <wp:wrapNone/>
                      <wp:docPr id="710" name="Frame710"/>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708660" cy="175260"/>
                      <wp:effectExtent l="0" t="0" r="0" b="0"/>
                      <wp:wrapNone/>
                      <wp:docPr id="711" name="Frame711"/>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07010" cy="175260"/>
                      <wp:effectExtent l="0" t="0" r="0" b="0"/>
                      <wp:wrapNone/>
                      <wp:docPr id="712" name="Frame7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55575" cy="175260"/>
                      <wp:effectExtent l="0" t="0" r="0" b="0"/>
                      <wp:wrapNone/>
                      <wp:docPr id="713" name="Frame713"/>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499745" cy="175260"/>
                      <wp:effectExtent l="0" t="0" r="0" b="0"/>
                      <wp:wrapNone/>
                      <wp:docPr id="714" name="Frame714"/>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07010" cy="175260"/>
                      <wp:effectExtent l="0" t="0" r="0" b="0"/>
                      <wp:wrapNone/>
                      <wp:docPr id="715" name="Frame7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467360" cy="175260"/>
                      <wp:effectExtent l="0" t="0" r="0" b="0"/>
                      <wp:wrapNone/>
                      <wp:docPr id="716" name="Frame71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(Dollars in thousands)</w:t>
            </w:r>
          </w:p>
        </w:tc>
        <w:tc>
          <w:tcPr>
            <w:tcW w:w="326" w:type="dxa"/>
            <w:tcBorders/>
            <w:vAlign w:val="center"/>
          </w:tcPr>
          <w:p>
            <w:pPr>
              <w:pStyle w:val="TableContents"/>
              <w:bidi w:val="0"/>
              <w:spacing w:before="0" w:after="0"/>
              <w:ind w:left="0" w:right="0" w:hanging="0"/>
              <w:jc w:val="left"/>
              <w:rPr/>
            </w:pPr>
            <w:r>
              <w:rPr/>
              <w:t>​</w:t>
            </w:r>
          </w:p>
        </w:tc>
        <w:tc>
          <w:tcPr>
            <w:tcW w:w="3339" w:type="dxa"/>
            <w:gridSpan w:val="7"/>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Three Months Ended</w:t>
            </w:r>
          </w:p>
        </w:tc>
        <w:tc>
          <w:tcPr>
            <w:tcW w:w="326" w:type="dxa"/>
            <w:tcBorders/>
            <w:vAlign w:val="center"/>
          </w:tcPr>
          <w:p>
            <w:pPr>
              <w:pStyle w:val="TableContents"/>
              <w:bidi w:val="0"/>
              <w:spacing w:before="0" w:after="0"/>
              <w:ind w:left="0" w:right="0" w:hanging="0"/>
              <w:jc w:val="left"/>
              <w:rPr/>
            </w:pPr>
            <w:r>
              <w:rPr/>
              <w:t>​</w:t>
            </w:r>
          </w:p>
        </w:tc>
        <w:tc>
          <w:tcPr>
            <w:tcW w:w="3788" w:type="dxa"/>
            <w:gridSpan w:val="7"/>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 the Three Months Ended</w:t>
            </w:r>
          </w:p>
        </w:tc>
      </w:tr>
      <w:tr>
        <w:trPr/>
        <w:tc>
          <w:tcPr>
            <w:tcW w:w="2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39"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326" w:type="dxa"/>
            <w:tcBorders/>
            <w:vAlign w:val="center"/>
          </w:tcPr>
          <w:p>
            <w:pPr>
              <w:pStyle w:val="TableContents"/>
              <w:bidi w:val="0"/>
              <w:spacing w:before="0" w:after="0"/>
              <w:ind w:left="0" w:right="0" w:hanging="0"/>
              <w:jc w:val="left"/>
              <w:rPr/>
            </w:pPr>
            <w:r>
              <w:rPr/>
              <w:t>    </w:t>
            </w:r>
          </w:p>
        </w:tc>
        <w:tc>
          <w:tcPr>
            <w:tcW w:w="3788"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 2022</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Average Balances</w:t>
            </w:r>
          </w:p>
        </w:tc>
        <w:tc>
          <w:tcPr>
            <w:tcW w:w="326" w:type="dxa"/>
            <w:tcBorders/>
            <w:vAlign w:val="center"/>
          </w:tcPr>
          <w:p>
            <w:pPr>
              <w:pStyle w:val="TableContents"/>
              <w:bidi w:val="0"/>
              <w:spacing w:before="0" w:after="0"/>
              <w:ind w:left="0" w:right="0" w:hanging="0"/>
              <w:jc w:val="left"/>
              <w:rPr/>
            </w:pPr>
            <w:r>
              <w:rPr/>
              <w:t>    </w:t>
            </w:r>
          </w:p>
        </w:tc>
        <w:tc>
          <w:tcPr>
            <w:tcW w:w="13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Balance Outstanding</w:t>
            </w:r>
          </w:p>
        </w:tc>
        <w:tc>
          <w:tcPr>
            <w:tcW w:w="146" w:type="dxa"/>
            <w:tcBorders/>
            <w:vAlign w:val="center"/>
          </w:tcPr>
          <w:p>
            <w:pPr>
              <w:pStyle w:val="TableContents"/>
              <w:bidi w:val="0"/>
              <w:spacing w:before="0" w:after="0"/>
              <w:ind w:left="0" w:right="0" w:hanging="0"/>
              <w:jc w:val="center"/>
              <w:rPr/>
            </w:pPr>
            <w:r>
              <w:rPr/>
              <w:t>​</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Earned/ Paid</w:t>
            </w:r>
          </w:p>
        </w:tc>
        <w:tc>
          <w:tcPr>
            <w:tcW w:w="109" w:type="dxa"/>
            <w:tcBorders/>
            <w:vAlign w:val="center"/>
          </w:tcPr>
          <w:p>
            <w:pPr>
              <w:pStyle w:val="TableContents"/>
              <w:bidi w:val="0"/>
              <w:spacing w:before="0" w:after="0"/>
              <w:ind w:left="0" w:right="0" w:hanging="0"/>
              <w:jc w:val="center"/>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Yield/ Rate</w:t>
            </w:r>
          </w:p>
        </w:tc>
        <w:tc>
          <w:tcPr>
            <w:tcW w:w="326" w:type="dxa"/>
            <w:tcBorders/>
            <w:vAlign w:val="center"/>
          </w:tcPr>
          <w:p>
            <w:pPr>
              <w:pStyle w:val="TableContents"/>
              <w:bidi w:val="0"/>
              <w:spacing w:before="0" w:after="0"/>
              <w:ind w:left="0" w:right="0" w:hanging="0"/>
              <w:jc w:val="left"/>
              <w:rPr/>
            </w:pPr>
            <w:r>
              <w:rPr/>
              <w:t>    </w:t>
            </w:r>
          </w:p>
        </w:tc>
        <w:tc>
          <w:tcPr>
            <w:tcW w:w="13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Balance Outstanding</w:t>
            </w:r>
          </w:p>
        </w:tc>
        <w:tc>
          <w:tcPr>
            <w:tcW w:w="326" w:type="dxa"/>
            <w:tcBorders/>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Earned/ Paid</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Yield/ Rate</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left"/>
              <w:rPr/>
            </w:pPr>
            <w:r>
              <w:rPr/>
              <w:t>​</w:t>
            </w:r>
          </w:p>
        </w:tc>
      </w:tr>
      <w:tr>
        <w:trPr/>
        <w:tc>
          <w:tcPr>
            <w:tcW w:w="24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Loans receivable, net and loans held for sale </w:t>
            </w:r>
            <w:r>
              <w:rPr>
                <w:rFonts w:ascii="Times New Roman;Times;serif" w:hAnsi="Times New Roman;Times;serif"/>
                <w:sz w:val="15"/>
              </w:rPr>
              <w:t>(1)</w:t>
            </w:r>
            <w:r>
              <w:rPr>
                <w:rFonts w:ascii="Times New Roman;Times;serif" w:hAnsi="Times New Roman;Times;serif"/>
                <w:sz w:val="20"/>
              </w:rPr>
              <w:t xml:space="preserve">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2,371,156</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38,216</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1,939,171</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25,275</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r>
      <w:tr>
        <w:trPr/>
        <w:tc>
          <w:tcPr>
            <w:tcW w:w="2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Taxable mortgage-backed securities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80,505</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87,486</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r>
      <w:tr>
        <w:trPr/>
        <w:tc>
          <w:tcPr>
            <w:tcW w:w="242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Taxable AFS investment securities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55,496</w:t>
            </w:r>
          </w:p>
        </w:tc>
        <w:tc>
          <w:tcPr>
            <w:tcW w:w="1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61,826</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2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Tax-exempt AFS investment securities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129,423</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133,277</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Taxable HTM investment securities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1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7,819</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FHLB stock</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4,628</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4,881</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deposits at other financial institutions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63,470</w:t>
            </w:r>
          </w:p>
        </w:tc>
        <w:tc>
          <w:tcPr>
            <w:tcW w:w="1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26,579</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r>
      <w:tr>
        <w:trPr/>
        <w:tc>
          <w:tcPr>
            <w:tcW w:w="24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interest-earning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2,713,178</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40,867</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2,261,039</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26,945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Noninterest-earning assets </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128,712</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95,283</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2,841,890</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2,356,322</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LIABILITIES </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 and money market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659,097</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807,052</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checking</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179,930</w:t>
            </w:r>
          </w:p>
        </w:tc>
        <w:tc>
          <w:tcPr>
            <w:tcW w:w="1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177,415</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 </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842,157</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405,283</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103,764</w:t>
            </w:r>
          </w:p>
        </w:tc>
        <w:tc>
          <w:tcPr>
            <w:tcW w:w="1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43,440</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notes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49,484</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49,417</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interest-bearing liabilities</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1,834,432</w:t>
            </w:r>
          </w:p>
        </w:tc>
        <w:tc>
          <w:tcPr>
            <w:tcW w:w="14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9,315</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1,482,607</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Noninterest-bearing accounts</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696,270</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11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593,050</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noninterest-bearing liabilities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34,434</w:t>
            </w:r>
          </w:p>
        </w:tc>
        <w:tc>
          <w:tcPr>
            <w:tcW w:w="1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30,006</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liabilities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2,565,136</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2,105,663</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31,552</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24,729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rate spread</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earning assets</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878,746</w:t>
            </w:r>
          </w:p>
        </w:tc>
        <w:tc>
          <w:tcPr>
            <w:tcW w:w="14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 </w:t>
            </w:r>
          </w:p>
        </w:tc>
        <w:tc>
          <w:tcPr>
            <w:tcW w:w="7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778,432</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2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interest margin</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 </w:t>
            </w:r>
          </w:p>
        </w:tc>
        <w:tc>
          <w:tcPr>
            <w:tcW w:w="78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11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w:t>
            </w:r>
          </w:p>
        </w:tc>
      </w:tr>
      <w:tr>
        <w:trPr/>
        <w:tc>
          <w:tcPr>
            <w:tcW w:w="2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Average interest-earning assets to average interest-bearing liabilities</w:t>
            </w:r>
          </w:p>
        </w:tc>
        <w:tc>
          <w:tcPr>
            <w:tcW w:w="326"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147.90%</w:t>
            </w:r>
          </w:p>
        </w:tc>
        <w:tc>
          <w:tcPr>
            <w:tcW w:w="146"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11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152.50%</w:t>
            </w:r>
          </w:p>
        </w:tc>
        <w:tc>
          <w:tcPr>
            <w:tcW w:w="32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w:t>
      </w:r>
    </w:p>
    <w:tbl>
      <w:tblPr>
        <w:tblW w:w="6077" w:type="dxa"/>
        <w:jc w:val="left"/>
        <w:tblInd w:w="0" w:type="dxa"/>
        <w:tblLayout w:type="fixed"/>
        <w:tblCellMar>
          <w:top w:w="0" w:type="dxa"/>
          <w:left w:w="0" w:type="dxa"/>
          <w:bottom w:w="0" w:type="dxa"/>
          <w:right w:w="0" w:type="dxa"/>
        </w:tblCellMar>
      </w:tblPr>
      <w:tblGrid>
        <w:gridCol w:w="346"/>
        <w:gridCol w:w="573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loans receivable, net balances include nonaccrual loans.</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net deferred fee recognition of $1.6 million and $2.0 million for the three months ended June 30, 2023 and 2022, respectively.</w:t>
            </w:r>
          </w:p>
        </w:tc>
      </w:tr>
    </w:tbl>
    <w:tbl>
      <w:tblPr>
        <w:tblW w:w="2522" w:type="dxa"/>
        <w:jc w:val="left"/>
        <w:tblInd w:w="0" w:type="dxa"/>
        <w:tblLayout w:type="fixed"/>
        <w:tblCellMar>
          <w:top w:w="0" w:type="dxa"/>
          <w:left w:w="0" w:type="dxa"/>
          <w:bottom w:w="0" w:type="dxa"/>
          <w:right w:w="0" w:type="dxa"/>
        </w:tblCellMar>
      </w:tblPr>
      <w:tblGrid>
        <w:gridCol w:w="346"/>
        <w:gridCol w:w="21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Shown at amortized cost.</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Net Interest Income. </w:t>
      </w:r>
      <w:r>
        <w:rPr>
          <w:rFonts w:ascii="Times New Roman;Times;serif" w:hAnsi="Times New Roman;Times;serif"/>
          <w:sz w:val="20"/>
        </w:rPr>
        <w:t xml:space="preserve">Net interest income increased $6.8 million to $31.6 million for the three months ended June 30, 2023, from $24.7 million for the three months ended June 30, 2022. The increase was primarily the result of an increase in loans and variable rate interest-earning assets repricing upward reflecting the higher market interest rates. Interest income increased $13.9 million, primarily due to an increase of $12.9 million in interest income on loans receivable, including fees, impacted primarily by loan growth and higher market rates.  Interest expense increased $7.1 million, primarily as a result of higher market rates.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Net interest margin (“NIM”) increased 27 basis points to 4.66% for the three months ended June 30, 2023, from 4.39% for the same quarter in the prior year.  The increase in NIM reflects new loan originations at higher interest rates and variable rate interest-earning assets repricing higher following recent increases in market interest rates.  The benefit from higher rates and increase in interest earning assets was partially offset by rising deposit and borrowing costs.  Increases in average balances of higher costing CDs and borrowings placed additional pressure on NIM.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Interest income for the three months ended June 30, 2023, increased $13.9 million to $40.9 million, from $26.9 million for the three months ended June 30, 2022. The increase during the period was primarily attributable to the $452.1 million increase in the average balance of total interest-earning assets and a 126-basis point increase in the average yield on total interest-earning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compares average interest-earning asset balances, associated yields, and resulting changes in interest income for the three months ended June 30, 2023 and 2022:</w:t>
      </w:r>
    </w:p>
    <w:p>
      <w:pPr>
        <w:pStyle w:val="TextBody"/>
        <w:bidi w:val="0"/>
        <w:spacing w:before="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017"/>
        <w:gridCol w:w="326"/>
        <w:gridCol w:w="211"/>
        <w:gridCol w:w="931"/>
        <w:gridCol w:w="326"/>
        <w:gridCol w:w="605"/>
        <w:gridCol w:w="361"/>
        <w:gridCol w:w="211"/>
        <w:gridCol w:w="931"/>
        <w:gridCol w:w="326"/>
        <w:gridCol w:w="605"/>
        <w:gridCol w:w="361"/>
        <w:gridCol w:w="211"/>
        <w:gridCol w:w="783"/>
      </w:tblGrid>
      <w:tr>
        <w:trPr/>
        <w:tc>
          <w:tcPr>
            <w:tcW w:w="4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2550795" cy="175260"/>
                      <wp:effectExtent l="0" t="0" r="0" b="0"/>
                      <wp:wrapNone/>
                      <wp:docPr id="717" name="Frame717"/>
                      <a:graphic xmlns:a="http://schemas.openxmlformats.org/drawingml/2006/main">
                        <a:graphicData uri="http://schemas.microsoft.com/office/word/2010/wordprocessingShape">
                          <wps:wsp>
                            <wps:cNvSpPr txBox="1"/>
                            <wps:spPr>
                              <a:xfrm>
                                <a:off x="0" y="0"/>
                                <a:ext cx="2550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207010" cy="175260"/>
                      <wp:effectExtent l="0" t="0" r="0" b="0"/>
                      <wp:wrapNone/>
                      <wp:docPr id="718" name="Frame7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133985" cy="175260"/>
                      <wp:effectExtent l="0" t="0" r="0" b="0"/>
                      <wp:wrapNone/>
                      <wp:docPr id="719" name="Frame7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591185" cy="175260"/>
                      <wp:effectExtent l="0" t="0" r="0" b="0"/>
                      <wp:wrapNone/>
                      <wp:docPr id="720" name="Frame72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207010" cy="175260"/>
                      <wp:effectExtent l="0" t="0" r="0" b="0"/>
                      <wp:wrapNone/>
                      <wp:docPr id="721" name="Frame7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384175" cy="175260"/>
                      <wp:effectExtent l="0" t="0" r="0" b="0"/>
                      <wp:wrapNone/>
                      <wp:docPr id="722" name="Frame72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229235" cy="175260"/>
                      <wp:effectExtent l="0" t="0" r="0" b="0"/>
                      <wp:wrapNone/>
                      <wp:docPr id="723" name="Frame7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133985" cy="175260"/>
                      <wp:effectExtent l="0" t="0" r="0" b="0"/>
                      <wp:wrapNone/>
                      <wp:docPr id="724" name="Frame7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591185" cy="175260"/>
                      <wp:effectExtent l="0" t="0" r="0" b="0"/>
                      <wp:wrapNone/>
                      <wp:docPr id="725" name="Frame7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207010" cy="175260"/>
                      <wp:effectExtent l="0" t="0" r="0" b="0"/>
                      <wp:wrapNone/>
                      <wp:docPr id="726" name="Frame7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384175" cy="175260"/>
                      <wp:effectExtent l="0" t="0" r="0" b="0"/>
                      <wp:wrapNone/>
                      <wp:docPr id="727" name="Frame727"/>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29235" cy="175260"/>
                      <wp:effectExtent l="0" t="0" r="0" b="0"/>
                      <wp:wrapNone/>
                      <wp:docPr id="728" name="Frame72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33985" cy="175260"/>
                      <wp:effectExtent l="0" t="0" r="0" b="0"/>
                      <wp:wrapNone/>
                      <wp:docPr id="729" name="Frame7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497205" cy="175260"/>
                      <wp:effectExtent l="0" t="0" r="0" b="0"/>
                      <wp:wrapNone/>
                      <wp:docPr id="730" name="Frame730"/>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(Dollars in thousands)</w:t>
            </w:r>
          </w:p>
        </w:tc>
        <w:tc>
          <w:tcPr>
            <w:tcW w:w="326" w:type="dxa"/>
            <w:tcBorders/>
            <w:vAlign w:val="center"/>
          </w:tcPr>
          <w:p>
            <w:pPr>
              <w:pStyle w:val="TableContents"/>
              <w:bidi w:val="0"/>
              <w:spacing w:before="0" w:after="0"/>
              <w:ind w:left="0" w:right="0" w:hanging="0"/>
              <w:jc w:val="center"/>
              <w:rPr/>
            </w:pPr>
            <w:r>
              <w:rPr/>
              <w:t>​</w:t>
            </w:r>
          </w:p>
        </w:tc>
        <w:tc>
          <w:tcPr>
            <w:tcW w:w="5862"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 June 30, </w:t>
            </w:r>
          </w:p>
        </w:tc>
      </w:tr>
      <w:tr>
        <w:trPr/>
        <w:tc>
          <w:tcPr>
            <w:tcW w:w="40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vAlign w:val="center"/>
          </w:tcPr>
          <w:p>
            <w:pPr>
              <w:pStyle w:val="TableContents"/>
              <w:bidi w:val="0"/>
              <w:spacing w:before="0" w:after="0"/>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61" w:type="dxa"/>
            <w:tcBorders/>
            <w:vAlign w:val="center"/>
          </w:tcPr>
          <w:p>
            <w:pPr>
              <w:pStyle w:val="TableContents"/>
              <w:bidi w:val="0"/>
              <w:spacing w:before="0" w:after="0"/>
              <w:ind w:left="0" w:right="0" w:hanging="0"/>
              <w:jc w:val="left"/>
              <w:rPr/>
            </w:pPr>
            <w:r>
              <w:rPr/>
              <w:t>​</w:t>
            </w:r>
          </w:p>
        </w:tc>
        <w:tc>
          <w:tcPr>
            <w:tcW w:w="994" w:type="dxa"/>
            <w:gridSpan w:val="2"/>
            <w:tcBorders/>
            <w:vAlign w:val="center"/>
          </w:tcPr>
          <w:p>
            <w:pPr>
              <w:pStyle w:val="TableContents"/>
              <w:bidi w:val="0"/>
              <w:spacing w:before="0" w:after="0"/>
              <w:ind w:left="0" w:right="0" w:hanging="0"/>
              <w:jc w:val="center"/>
              <w:rPr/>
            </w:pPr>
            <w:r>
              <w:rPr/>
              <w:t>​</w:t>
            </w:r>
          </w:p>
        </w:tc>
      </w:tr>
      <w:tr>
        <w:trPr/>
        <w:tc>
          <w:tcPr>
            <w:tcW w:w="40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Change</w:t>
            </w:r>
          </w:p>
        </w:tc>
      </w:tr>
      <w:tr>
        <w:trPr/>
        <w:tc>
          <w:tcPr>
            <w:tcW w:w="40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vAlign w:val="center"/>
          </w:tcPr>
          <w:p>
            <w:pPr>
              <w:pStyle w:val="TableContents"/>
              <w:bidi w:val="0"/>
              <w:spacing w:before="0" w:after="0"/>
              <w:ind w:left="0" w:right="0" w:hanging="0"/>
              <w:jc w:val="left"/>
              <w:rPr/>
            </w:pPr>
            <w:r>
              <w:rPr/>
              <w:t>​</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Interest</w:t>
            </w:r>
          </w:p>
        </w:tc>
      </w:tr>
      <w:tr>
        <w:trPr/>
        <w:tc>
          <w:tcPr>
            <w:tcW w:w="40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vAlign w:val="center"/>
          </w:tcPr>
          <w:p>
            <w:pPr>
              <w:pStyle w:val="TableContents"/>
              <w:bidi w:val="0"/>
              <w:spacing w:before="0" w:after="0"/>
              <w:ind w:left="0" w:right="0" w:hanging="0"/>
              <w:jc w:val="center"/>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vAlign w:val="center"/>
          </w:tcPr>
          <w:p>
            <w:pPr>
              <w:pStyle w:val="TableContents"/>
              <w:bidi w:val="0"/>
              <w:spacing w:before="0" w:after="0"/>
              <w:ind w:left="0" w:right="0" w:hanging="0"/>
              <w:jc w:val="center"/>
              <w:rPr/>
            </w:pPr>
            <w:r>
              <w:rPr/>
              <w:t>​</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vAlign w:val="center"/>
          </w:tcPr>
          <w:p>
            <w:pPr>
              <w:pStyle w:val="TableContents"/>
              <w:bidi w:val="0"/>
              <w:spacing w:before="0" w:after="0"/>
              <w:ind w:left="0" w:right="0" w:hanging="0"/>
              <w:jc w:val="left"/>
              <w:rPr/>
            </w:pPr>
            <w:r>
              <w:rPr/>
              <w:t>​</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Income</w:t>
            </w:r>
          </w:p>
        </w:tc>
      </w:tr>
      <w:tr>
        <w:trPr/>
        <w:tc>
          <w:tcPr>
            <w:tcW w:w="401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Loans receivable, net and loans held for sale </w:t>
            </w:r>
            <w:r>
              <w:rPr>
                <w:rFonts w:ascii="Times New Roman;Times;serif" w:hAnsi="Times New Roman;Times;serif"/>
                <w:sz w:val="15"/>
              </w:rPr>
              <w:t>(1)</w:t>
            </w: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2,371,156</w:t>
            </w:r>
          </w:p>
        </w:tc>
        <w:tc>
          <w:tcPr>
            <w:tcW w:w="32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1,939,171</w:t>
            </w:r>
          </w:p>
        </w:tc>
        <w:tc>
          <w:tcPr>
            <w:tcW w:w="32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12,941</w:t>
            </w:r>
          </w:p>
        </w:tc>
      </w:tr>
      <w:tr>
        <w:trPr/>
        <w:tc>
          <w:tcPr>
            <w:tcW w:w="401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Taxable mortgage-backed securities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80,505</w:t>
            </w:r>
          </w:p>
        </w:tc>
        <w:tc>
          <w:tcPr>
            <w:tcW w:w="32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87,486</w:t>
            </w:r>
          </w:p>
        </w:tc>
        <w:tc>
          <w:tcPr>
            <w:tcW w:w="32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4017"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Taxable AFS investment securities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55,496</w:t>
            </w:r>
          </w:p>
        </w:tc>
        <w:tc>
          <w:tcPr>
            <w:tcW w:w="32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61,826</w:t>
            </w:r>
          </w:p>
        </w:tc>
        <w:tc>
          <w:tcPr>
            <w:tcW w:w="32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w:t>
            </w:r>
          </w:p>
        </w:tc>
      </w:tr>
      <w:tr>
        <w:trPr/>
        <w:tc>
          <w:tcPr>
            <w:tcW w:w="4017"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Tax-exempt AFS investment securities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129,423</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133,277</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4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Taxable HTM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7,819</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FHLB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4,628</w:t>
            </w:r>
          </w:p>
        </w:tc>
        <w:tc>
          <w:tcPr>
            <w:tcW w:w="32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4,881</w:t>
            </w:r>
          </w:p>
        </w:tc>
        <w:tc>
          <w:tcPr>
            <w:tcW w:w="32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0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deposits at other financial institutions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63,470</w:t>
            </w:r>
          </w:p>
        </w:tc>
        <w:tc>
          <w:tcPr>
            <w:tcW w:w="32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26,579</w:t>
            </w:r>
          </w:p>
        </w:tc>
        <w:tc>
          <w:tcPr>
            <w:tcW w:w="326"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40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interest-earning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2,713,178</w:t>
            </w:r>
          </w:p>
        </w:tc>
        <w:tc>
          <w:tcPr>
            <w:tcW w:w="32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2,261,039</w:t>
            </w:r>
          </w:p>
        </w:tc>
        <w:tc>
          <w:tcPr>
            <w:tcW w:w="326"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13,922</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______________________________</w:t>
      </w:r>
    </w:p>
    <w:tbl>
      <w:tblPr>
        <w:tblW w:w="6077" w:type="dxa"/>
        <w:jc w:val="left"/>
        <w:tblInd w:w="0" w:type="dxa"/>
        <w:tblLayout w:type="fixed"/>
        <w:tblCellMar>
          <w:top w:w="0" w:type="dxa"/>
          <w:left w:w="0" w:type="dxa"/>
          <w:bottom w:w="0" w:type="dxa"/>
          <w:right w:w="0" w:type="dxa"/>
        </w:tblCellMar>
      </w:tblPr>
      <w:tblGrid>
        <w:gridCol w:w="346"/>
        <w:gridCol w:w="573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loans receivable, net balances include nonaccrual loans.</w:t>
            </w:r>
          </w:p>
        </w:tc>
      </w:tr>
    </w:tbl>
    <w:tbl>
      <w:tblPr>
        <w:tblW w:w="2522" w:type="dxa"/>
        <w:jc w:val="left"/>
        <w:tblInd w:w="0" w:type="dxa"/>
        <w:tblLayout w:type="fixed"/>
        <w:tblCellMar>
          <w:top w:w="0" w:type="dxa"/>
          <w:left w:w="0" w:type="dxa"/>
          <w:bottom w:w="0" w:type="dxa"/>
          <w:right w:w="0" w:type="dxa"/>
        </w:tblCellMar>
      </w:tblPr>
      <w:tblGrid>
        <w:gridCol w:w="346"/>
        <w:gridCol w:w="21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Shown at amortized cost.</w:t>
            </w:r>
          </w:p>
        </w:tc>
      </w:tr>
    </w:tbl>
    <w:p>
      <w:pPr>
        <w:pStyle w:val="TextBody"/>
        <w:bidi w:val="0"/>
        <w:spacing w:before="0" w:after="200"/>
        <w:ind w:left="0" w:right="0" w:hanging="0"/>
        <w:jc w:val="both"/>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Interest Expense. </w:t>
      </w:r>
      <w:r>
        <w:rPr>
          <w:rFonts w:ascii="Times New Roman;Times;serif" w:hAnsi="Times New Roman;Times;serif"/>
          <w:sz w:val="20"/>
        </w:rPr>
        <w:t>Interest expense increased $7.1 million to $9.3 million for the three months ended June 30, 2023, from $2.2 million for the same prior year quarter, primarily due to an increase of interest expense on deposits of $6.1 million and on borrowings of $1.0 million. The average cost of funds for total interest-bearing liabilities increased 144 basis points to 2.04% for the three months ended June 30, 2023, from 0.60% for the three months ended June 30, 2022. The increase in interest expense was predominantly due to an increase in cost for deposits and borrowings as well as an increase in the average balances of CDs and borrowings.  The average cost of total interest-bearing deposits increased 137 basis points to 1.82%, for the three months ended June 30, 2023, compared to 0.45%, for the three months ended June 30, 2022. The average cost of funds, including noninterest-bearing checking, increased 105 basis points to 1.48% for the three months ended June 30, 2023, from 0.43% for the three months ended June 30, 2022.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details average balances for cost of funds on interest-bearing liabilities and the change in interest expense for the three months ended June 30, 2023 and 2022:</w:t>
      </w:r>
    </w:p>
    <w:tbl>
      <w:tblPr>
        <w:tblW w:w="8877" w:type="dxa"/>
        <w:jc w:val="left"/>
        <w:tblInd w:w="0" w:type="dxa"/>
        <w:tblLayout w:type="fixed"/>
        <w:tblCellMar>
          <w:top w:w="0" w:type="dxa"/>
          <w:left w:w="0" w:type="dxa"/>
          <w:bottom w:w="0" w:type="dxa"/>
          <w:right w:w="0" w:type="dxa"/>
        </w:tblCellMar>
      </w:tblPr>
      <w:tblGrid>
        <w:gridCol w:w="2701"/>
        <w:gridCol w:w="326"/>
        <w:gridCol w:w="211"/>
        <w:gridCol w:w="931"/>
        <w:gridCol w:w="326"/>
        <w:gridCol w:w="616"/>
        <w:gridCol w:w="361"/>
        <w:gridCol w:w="211"/>
        <w:gridCol w:w="931"/>
        <w:gridCol w:w="326"/>
        <w:gridCol w:w="616"/>
        <w:gridCol w:w="361"/>
        <w:gridCol w:w="228"/>
        <w:gridCol w:w="732"/>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1715135" cy="175260"/>
                      <wp:effectExtent l="0" t="0" r="0" b="0"/>
                      <wp:wrapNone/>
                      <wp:docPr id="731" name="Frame731"/>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207010" cy="175260"/>
                      <wp:effectExtent l="0" t="0" r="0" b="0"/>
                      <wp:wrapNone/>
                      <wp:docPr id="732" name="Frame7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133985" cy="175260"/>
                      <wp:effectExtent l="0" t="0" r="0" b="0"/>
                      <wp:wrapNone/>
                      <wp:docPr id="733" name="Frame7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591185" cy="175260"/>
                      <wp:effectExtent l="0" t="0" r="0" b="0"/>
                      <wp:wrapNone/>
                      <wp:docPr id="734" name="Frame73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07010" cy="175260"/>
                      <wp:effectExtent l="0" t="0" r="0" b="0"/>
                      <wp:wrapNone/>
                      <wp:docPr id="735" name="Frame7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391160" cy="175260"/>
                      <wp:effectExtent l="0" t="0" r="0" b="0"/>
                      <wp:wrapNone/>
                      <wp:docPr id="736" name="Frame73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29235" cy="175260"/>
                      <wp:effectExtent l="0" t="0" r="0" b="0"/>
                      <wp:wrapNone/>
                      <wp:docPr id="737" name="Frame7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133985" cy="175260"/>
                      <wp:effectExtent l="0" t="0" r="0" b="0"/>
                      <wp:wrapNone/>
                      <wp:docPr id="738" name="Frame7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591185" cy="175260"/>
                      <wp:effectExtent l="0" t="0" r="0" b="0"/>
                      <wp:wrapNone/>
                      <wp:docPr id="739" name="Frame7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207010" cy="175260"/>
                      <wp:effectExtent l="0" t="0" r="0" b="0"/>
                      <wp:wrapNone/>
                      <wp:docPr id="740" name="Frame7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391160" cy="175260"/>
                      <wp:effectExtent l="0" t="0" r="0" b="0"/>
                      <wp:wrapNone/>
                      <wp:docPr id="741" name="Frame74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229235" cy="175260"/>
                      <wp:effectExtent l="0" t="0" r="0" b="0"/>
                      <wp:wrapNone/>
                      <wp:docPr id="742" name="Frame7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44780" cy="175260"/>
                      <wp:effectExtent l="0" t="0" r="0" b="0"/>
                      <wp:wrapNone/>
                      <wp:docPr id="743" name="Frame743"/>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464820" cy="175260"/>
                      <wp:effectExtent l="0" t="0" r="0" b="0"/>
                      <wp:wrapNone/>
                      <wp:docPr id="744" name="Frame744"/>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(Dollars in thousands)</w:t>
            </w:r>
          </w:p>
        </w:tc>
        <w:tc>
          <w:tcPr>
            <w:tcW w:w="326" w:type="dxa"/>
            <w:tcBorders/>
            <w:vAlign w:val="center"/>
          </w:tcPr>
          <w:p>
            <w:pPr>
              <w:pStyle w:val="TableContents"/>
              <w:bidi w:val="0"/>
              <w:spacing w:before="0" w:after="0"/>
              <w:ind w:left="0" w:right="0" w:hanging="0"/>
              <w:jc w:val="center"/>
              <w:rPr/>
            </w:pPr>
            <w:r>
              <w:rPr/>
              <w:t>​</w:t>
            </w:r>
          </w:p>
        </w:tc>
        <w:tc>
          <w:tcPr>
            <w:tcW w:w="5850"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 Ended June 30, </w:t>
            </w:r>
          </w:p>
        </w:tc>
      </w:tr>
      <w:tr>
        <w:trPr/>
        <w:tc>
          <w:tcPr>
            <w:tcW w:w="27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vAlign w:val="center"/>
          </w:tcPr>
          <w:p>
            <w:pPr>
              <w:pStyle w:val="TableContents"/>
              <w:bidi w:val="0"/>
              <w:spacing w:before="0" w:after="0"/>
              <w:ind w:left="0" w:right="0" w:hanging="0"/>
              <w:jc w:val="left"/>
              <w:rPr/>
            </w:pPr>
            <w:r>
              <w:rPr/>
              <w:t>​</w:t>
            </w:r>
          </w:p>
        </w:tc>
        <w:tc>
          <w:tcPr>
            <w:tcW w:w="208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61" w:type="dxa"/>
            <w:tcBorders/>
            <w:vAlign w:val="center"/>
          </w:tcPr>
          <w:p>
            <w:pPr>
              <w:pStyle w:val="TableContents"/>
              <w:bidi w:val="0"/>
              <w:spacing w:before="0" w:after="0"/>
              <w:ind w:left="0" w:right="0" w:hanging="0"/>
              <w:jc w:val="left"/>
              <w:rPr/>
            </w:pPr>
            <w:r>
              <w:rPr/>
              <w:t>​</w:t>
            </w:r>
          </w:p>
        </w:tc>
        <w:tc>
          <w:tcPr>
            <w:tcW w:w="960" w:type="dxa"/>
            <w:gridSpan w:val="2"/>
            <w:tcBorders/>
            <w:vAlign w:val="center"/>
          </w:tcPr>
          <w:p>
            <w:pPr>
              <w:pStyle w:val="TableContents"/>
              <w:bidi w:val="0"/>
              <w:spacing w:before="0" w:after="0"/>
              <w:ind w:left="0" w:right="0" w:hanging="0"/>
              <w:jc w:val="center"/>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center"/>
              <w:rPr/>
            </w:pPr>
            <w:r>
              <w:rPr/>
              <w:t>    </w:t>
            </w:r>
          </w:p>
        </w:tc>
        <w:tc>
          <w:tcPr>
            <w:tcW w:w="61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center"/>
              <w:rPr/>
            </w:pPr>
            <w:r>
              <w:rPr/>
              <w:t>    </w:t>
            </w:r>
          </w:p>
        </w:tc>
        <w:tc>
          <w:tcPr>
            <w:tcW w:w="616"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Change</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vAlign w:val="center"/>
          </w:tcPr>
          <w:p>
            <w:pPr>
              <w:pStyle w:val="TableContents"/>
              <w:bidi w:val="0"/>
              <w:spacing w:before="0" w:after="0"/>
              <w:ind w:left="0" w:right="0" w:hanging="0"/>
              <w:jc w:val="left"/>
              <w:rPr/>
            </w:pPr>
            <w:r>
              <w:rPr/>
              <w:t>​</w:t>
            </w:r>
          </w:p>
        </w:tc>
        <w:tc>
          <w:tcPr>
            <w:tcW w:w="9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 Interest</w:t>
            </w:r>
          </w:p>
        </w:tc>
      </w:tr>
      <w:tr>
        <w:trPr/>
        <w:tc>
          <w:tcPr>
            <w:tcW w:w="27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vAlign w:val="center"/>
          </w:tcPr>
          <w:p>
            <w:pPr>
              <w:pStyle w:val="TableContents"/>
              <w:bidi w:val="0"/>
              <w:spacing w:before="0" w:after="0"/>
              <w:ind w:left="0" w:right="0" w:hanging="0"/>
              <w:jc w:val="left"/>
              <w:rPr/>
            </w:pPr>
            <w:r>
              <w:rPr/>
              <w:t>​</w:t>
            </w:r>
          </w:p>
        </w:tc>
        <w:tc>
          <w:tcPr>
            <w:tcW w:w="9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Expense</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Savings and money market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659,097</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807,052</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Interest-bearing checking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179,930</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177,415</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61"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842,157</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405,283</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61"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Borrowings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103,764</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43,440</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61"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Subordinated note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49,484</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49,417</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61"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interest-bearing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1,834,432</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1,482,607</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7,099</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Provision for Credit Losses.</w:t>
      </w:r>
      <w:r>
        <w:rPr>
          <w:rFonts w:ascii="Times New Roman;Times;serif" w:hAnsi="Times New Roman;Times;serif"/>
          <w:sz w:val="20"/>
        </w:rPr>
        <w:t xml:space="preserve"> For the three months ended June 30, 2023, the provision for credit losses was $716,000, consisting of a $1.1 million provision for credit losses on loans, partially offset by a $347,000 reversal of the allowance for credit losses on unfunded loan commitments, compared to $1.9 million provision for credit losses for the three months ended June 30, 2022, consisting of a $1.6 million provision for credit losses on loans and a $294,000 provision for credit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losses on unfunded loan commitments. The provision for credit losses on loans reflects the increase in total loans receivable and net charge-offs for the three months ended June 30, 2023, while the reversal of the allowance for credit losses on unfunded loan commitments for the three months ended June 30, 2023, was a result of a decrease in total unfunded commitments during current quarter.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2023, net loan charge-offs totaled $650,000, compared to $16,000 during the three months ended June 30, 2022.  The increase was primarily due to increases in net charge-offs of $476,000 in indirect home improvement loans and $152,000 in marine loans.  A further decline in national and local economic conditions, as a result the effects of inflation, a potential recession or slowed economic growth, among other economic factors, could result in a material increase in the ACL for loans and may adversely affect the Company’s financial condition and result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Noninterest Income. </w:t>
      </w:r>
      <w:r>
        <w:rPr>
          <w:rFonts w:ascii="Times New Roman;Times;serif" w:hAnsi="Times New Roman;Times;serif"/>
          <w:sz w:val="20"/>
        </w:rPr>
        <w:t xml:space="preserve">Noninterest income increased $478,000 to $4.8 million for the three months ended June 30, 2023, from $4.4 million for the three months ended June 30, 2022. The increase reflects a $584,000 million increase in service charges and fee income primarily as a result of less amortization of mortgage servicing rights reflecting increased market interest rates and increased servicing fees from non-portfolio serviced loans, partially offset by a $119,000 decrease in gain on sale of loans due primarily to a reduction in origination and sales volume of loans held for sale.  As of June 30, 2023, the servicing rights were being amortized over an approximate six-year period.  Gross margin on home loan sales decreased to 3.07% for the three months ended June 30, 2023, from 3.10% for the three months ended June 30, 2022.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Noninterest Expense. </w:t>
      </w:r>
      <w:r>
        <w:rPr>
          <w:rFonts w:ascii="Times New Roman;Times;serif" w:hAnsi="Times New Roman;Times;serif"/>
          <w:sz w:val="20"/>
        </w:rPr>
        <w:t xml:space="preserve">Noninterest expense increased $5.3 million to $24.2 million for the three months ended June 30, 2023, from $18.9 million for the three months ended June 30, 2022. The increase was primarily the result a $1.8 million increase in salaries and benefits, largely due to an increase in the number of full-time equivalent employees (“FTEs”) as a result of the Branch Acquisition.  Other increases included $1.3 million in operations expense, $851,000 in amortization of CDI, $406,000 in FDIC insurance due to asset growth and an increase in assessment rates, and $304,000 in occupancy expense.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efficiency ratio, which is calculated by dividing noninterest expense by total net interest income and noninterest income, increased slightly to 66.52% for the three months ended June 30, 2023, compared to 65.08% for the three months ended June 30, 2022, primarily due to the increase in noninterest expenses related to the Branch Acquisition.</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i/>
          <w:sz w:val="20"/>
        </w:rPr>
        <w:t>Provision for Income Taxes.</w:t>
      </w:r>
      <w:r>
        <w:rPr>
          <w:rFonts w:ascii="Times New Roman;Times;serif" w:hAnsi="Times New Roman;Times;serif"/>
          <w:sz w:val="20"/>
        </w:rPr>
        <w:t xml:space="preserve"> For the three months ended June 30, 2023, the Company recorded a provision for income taxes of $2.3 million as compared to $1.6 million for the three months ended June 30, 2022. The increase in the income taxes provision was primarily due to a $3.2 million increase in pre-tax income during the three months ended June 30, 2023, as compared to the same quarter last year.  The effective corporate income tax rates for the three months ended June 30, 2023 and 2022 were 20.5% and 19.1%, respectively.  The increase in the effective corporate income tax rate was attributable to a decrease in nontaxable income between periods.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Comparison of Results of Operations for the Six Months Ended June 30, 2023 and 2022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General. </w:t>
      </w:r>
      <w:r>
        <w:rPr>
          <w:rFonts w:ascii="Times New Roman;Times;serif" w:hAnsi="Times New Roman;Times;serif"/>
          <w:sz w:val="20"/>
        </w:rPr>
        <w:t xml:space="preserve">Net income was $17.3 million for the six months ended June 30, 2023, and $13.6 million for the six months ended June 30, 2022.  The increase in net income for the six months ended June 30, 2023, was primarily due to a $14.8 million, or 31.1%, increase in net interest income, partially offset by a $9.7 million, or 25.6%, increase in noninterest expense, a $1.2 million, or 36.9%, increase in provision for income taxes, and a $179,000 decrease in noninterest income.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Average Balances, Interest and Average Yields/Cost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Income and all average balances are daily average balances. Nonaccrual loans have been included in the table as loans carrying a zero yield.  The yields on tax-exempt municipal bonds have not been computed on a tax equivalent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710"/>
        <w:gridCol w:w="326"/>
        <w:gridCol w:w="270"/>
        <w:gridCol w:w="1193"/>
        <w:gridCol w:w="146"/>
        <w:gridCol w:w="260"/>
        <w:gridCol w:w="834"/>
        <w:gridCol w:w="109"/>
        <w:gridCol w:w="712"/>
        <w:gridCol w:w="109"/>
        <w:gridCol w:w="270"/>
        <w:gridCol w:w="1193"/>
        <w:gridCol w:w="109"/>
        <w:gridCol w:w="260"/>
        <w:gridCol w:w="834"/>
        <w:gridCol w:w="109"/>
        <w:gridCol w:w="761"/>
      </w:tblGrid>
      <w:tr>
        <w:trPr/>
        <w:tc>
          <w:tcPr>
            <w:tcW w:w="2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1720850" cy="175260"/>
                      <wp:effectExtent l="0" t="0" r="0" b="0"/>
                      <wp:wrapNone/>
                      <wp:docPr id="745" name="Frame745"/>
                      <a:graphic xmlns:a="http://schemas.openxmlformats.org/drawingml/2006/main">
                        <a:graphicData uri="http://schemas.microsoft.com/office/word/2010/wordprocessingShape">
                          <wps:wsp>
                            <wps:cNvSpPr txBox="1"/>
                            <wps:spPr>
                              <a:xfrm>
                                <a:off x="0" y="0"/>
                                <a:ext cx="1720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07010" cy="175260"/>
                      <wp:effectExtent l="0" t="0" r="0" b="0"/>
                      <wp:wrapNone/>
                      <wp:docPr id="746" name="Frame7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171450" cy="175260"/>
                      <wp:effectExtent l="0" t="0" r="0" b="0"/>
                      <wp:wrapNone/>
                      <wp:docPr id="747" name="Frame747"/>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757555" cy="175260"/>
                      <wp:effectExtent l="0" t="0" r="0" b="0"/>
                      <wp:wrapNone/>
                      <wp:docPr id="748" name="Frame748"/>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92710" cy="175260"/>
                      <wp:effectExtent l="0" t="0" r="0" b="0"/>
                      <wp:wrapNone/>
                      <wp:docPr id="749" name="Frame74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165100" cy="175260"/>
                      <wp:effectExtent l="0" t="0" r="0" b="0"/>
                      <wp:wrapNone/>
                      <wp:docPr id="750" name="Frame75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529590" cy="175260"/>
                      <wp:effectExtent l="0" t="0" r="0" b="0"/>
                      <wp:wrapNone/>
                      <wp:docPr id="751" name="Frame751"/>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69215" cy="175260"/>
                      <wp:effectExtent l="0" t="0" r="0" b="0"/>
                      <wp:wrapNone/>
                      <wp:docPr id="752" name="Frame7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452120" cy="175260"/>
                      <wp:effectExtent l="0" t="0" r="0" b="0"/>
                      <wp:wrapNone/>
                      <wp:docPr id="753" name="Frame753"/>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69215" cy="175260"/>
                      <wp:effectExtent l="0" t="0" r="0" b="0"/>
                      <wp:wrapNone/>
                      <wp:docPr id="754" name="Frame7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171450" cy="175260"/>
                      <wp:effectExtent l="0" t="0" r="0" b="0"/>
                      <wp:wrapNone/>
                      <wp:docPr id="755" name="Frame75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757555" cy="175260"/>
                      <wp:effectExtent l="0" t="0" r="0" b="0"/>
                      <wp:wrapNone/>
                      <wp:docPr id="756" name="Frame756"/>
                      <a:graphic xmlns:a="http://schemas.openxmlformats.org/drawingml/2006/main">
                        <a:graphicData uri="http://schemas.microsoft.com/office/word/2010/wordprocessingShape">
                          <wps:wsp>
                            <wps:cNvSpPr txBox="1"/>
                            <wps:spPr>
                              <a:xfrm>
                                <a:off x="0" y="0"/>
                                <a:ext cx="757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9215" cy="175260"/>
                      <wp:effectExtent l="0" t="0" r="0" b="0"/>
                      <wp:wrapNone/>
                      <wp:docPr id="757" name="Frame7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165100" cy="175260"/>
                      <wp:effectExtent l="0" t="0" r="0" b="0"/>
                      <wp:wrapNone/>
                      <wp:docPr id="758" name="Frame75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529590" cy="175260"/>
                      <wp:effectExtent l="0" t="0" r="0" b="0"/>
                      <wp:wrapNone/>
                      <wp:docPr id="759" name="Frame759"/>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69215" cy="175260"/>
                      <wp:effectExtent l="0" t="0" r="0" b="0"/>
                      <wp:wrapNone/>
                      <wp:docPr id="760" name="Frame7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483235" cy="175260"/>
                      <wp:effectExtent l="0" t="0" r="0" b="0"/>
                      <wp:wrapNone/>
                      <wp:docPr id="761" name="Frame76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(Dollars in thousands)</w:t>
            </w:r>
          </w:p>
        </w:tc>
        <w:tc>
          <w:tcPr>
            <w:tcW w:w="326" w:type="dxa"/>
            <w:tcBorders/>
            <w:vAlign w:val="center"/>
          </w:tcPr>
          <w:p>
            <w:pPr>
              <w:pStyle w:val="TableContents"/>
              <w:bidi w:val="0"/>
              <w:spacing w:before="0" w:after="1"/>
              <w:ind w:left="0" w:right="0" w:hanging="0"/>
              <w:jc w:val="left"/>
              <w:rPr/>
            </w:pPr>
            <w:r>
              <w:rPr/>
              <w:t>​</w:t>
            </w:r>
          </w:p>
        </w:tc>
        <w:tc>
          <w:tcPr>
            <w:tcW w:w="3524" w:type="dxa"/>
            <w:gridSpan w:val="7"/>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For the Six Months Ended</w:t>
            </w:r>
          </w:p>
        </w:tc>
        <w:tc>
          <w:tcPr>
            <w:tcW w:w="109" w:type="dxa"/>
            <w:tcBorders/>
            <w:vAlign w:val="center"/>
          </w:tcPr>
          <w:p>
            <w:pPr>
              <w:pStyle w:val="TableContents"/>
              <w:bidi w:val="0"/>
              <w:spacing w:before="0" w:after="1"/>
              <w:ind w:left="0" w:right="0" w:hanging="0"/>
              <w:jc w:val="left"/>
              <w:rPr/>
            </w:pPr>
            <w:r>
              <w:rPr/>
              <w:t>​</w:t>
            </w:r>
          </w:p>
        </w:tc>
        <w:tc>
          <w:tcPr>
            <w:tcW w:w="3536" w:type="dxa"/>
            <w:gridSpan w:val="7"/>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For the Six Months Ended</w:t>
            </w:r>
          </w:p>
        </w:tc>
      </w:tr>
      <w:tr>
        <w:trPr/>
        <w:tc>
          <w:tcPr>
            <w:tcW w:w="271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524"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2023</w:t>
            </w:r>
          </w:p>
        </w:tc>
        <w:tc>
          <w:tcPr>
            <w:tcW w:w="109" w:type="dxa"/>
            <w:tcBorders/>
            <w:vAlign w:val="center"/>
          </w:tcPr>
          <w:p>
            <w:pPr>
              <w:pStyle w:val="TableContents"/>
              <w:bidi w:val="0"/>
              <w:spacing w:before="0" w:after="1"/>
              <w:ind w:left="0" w:right="0" w:hanging="0"/>
              <w:jc w:val="left"/>
              <w:rPr/>
            </w:pPr>
            <w:r>
              <w:rPr/>
              <w:t>​</w:t>
            </w:r>
          </w:p>
        </w:tc>
        <w:tc>
          <w:tcPr>
            <w:tcW w:w="3536"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June 30, 2022</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Average Balances</w:t>
            </w:r>
          </w:p>
        </w:tc>
        <w:tc>
          <w:tcPr>
            <w:tcW w:w="326" w:type="dxa"/>
            <w:tcBorders/>
            <w:vAlign w:val="center"/>
          </w:tcPr>
          <w:p>
            <w:pPr>
              <w:pStyle w:val="TableContents"/>
              <w:bidi w:val="0"/>
              <w:spacing w:before="0" w:after="1"/>
              <w:ind w:left="0" w:right="0" w:hanging="0"/>
              <w:jc w:val="left"/>
              <w:rPr/>
            </w:pPr>
            <w:r>
              <w:rPr/>
              <w:t>​</w:t>
            </w:r>
          </w:p>
        </w:tc>
        <w:tc>
          <w:tcPr>
            <w:tcW w:w="14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 Balance Outstanding</w:t>
            </w:r>
          </w:p>
        </w:tc>
        <w:tc>
          <w:tcPr>
            <w:tcW w:w="146" w:type="dxa"/>
            <w:tcBorders/>
            <w:vAlign w:val="center"/>
          </w:tcPr>
          <w:p>
            <w:pPr>
              <w:pStyle w:val="TableContents"/>
              <w:bidi w:val="0"/>
              <w:spacing w:before="0" w:after="1"/>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Interest Earned/ Paid</w:t>
            </w:r>
          </w:p>
        </w:tc>
        <w:tc>
          <w:tcPr>
            <w:tcW w:w="109" w:type="dxa"/>
            <w:tcBorders/>
            <w:vAlign w:val="center"/>
          </w:tcPr>
          <w:p>
            <w:pPr>
              <w:pStyle w:val="TableContents"/>
              <w:bidi w:val="0"/>
              <w:spacing w:before="0" w:after="1"/>
              <w:ind w:left="0" w:right="0" w:hanging="0"/>
              <w:jc w:val="center"/>
              <w:rPr/>
            </w:pPr>
            <w:r>
              <w:rPr/>
              <w:t>​</w:t>
            </w:r>
          </w:p>
        </w:tc>
        <w:tc>
          <w:tcPr>
            <w:tcW w:w="7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Yield/ Rate</w:t>
            </w:r>
          </w:p>
        </w:tc>
        <w:tc>
          <w:tcPr>
            <w:tcW w:w="109" w:type="dxa"/>
            <w:tcBorders/>
            <w:vAlign w:val="center"/>
          </w:tcPr>
          <w:p>
            <w:pPr>
              <w:pStyle w:val="TableContents"/>
              <w:bidi w:val="0"/>
              <w:spacing w:before="0" w:after="1"/>
              <w:ind w:left="0" w:right="0" w:hanging="0"/>
              <w:jc w:val="left"/>
              <w:rPr/>
            </w:pPr>
            <w:r>
              <w:rPr/>
              <w:t>​</w:t>
            </w:r>
          </w:p>
        </w:tc>
        <w:tc>
          <w:tcPr>
            <w:tcW w:w="146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 Balance Outstanding</w:t>
            </w:r>
          </w:p>
        </w:tc>
        <w:tc>
          <w:tcPr>
            <w:tcW w:w="109" w:type="dxa"/>
            <w:tcBorders/>
            <w:vAlign w:val="center"/>
          </w:tcPr>
          <w:p>
            <w:pPr>
              <w:pStyle w:val="TableContents"/>
              <w:bidi w:val="0"/>
              <w:spacing w:before="0" w:after="1"/>
              <w:ind w:left="0" w:right="0" w:hanging="0"/>
              <w:jc w:val="center"/>
              <w:rPr/>
            </w:pPr>
            <w:r>
              <w:rPr/>
              <w:t>​</w:t>
            </w:r>
          </w:p>
        </w:tc>
        <w:tc>
          <w:tcPr>
            <w:tcW w:w="10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Interest Earned/ Paid</w:t>
            </w:r>
          </w:p>
        </w:tc>
        <w:tc>
          <w:tcPr>
            <w:tcW w:w="109" w:type="dxa"/>
            <w:tcBorders/>
            <w:vAlign w:val="center"/>
          </w:tcPr>
          <w:p>
            <w:pPr>
              <w:pStyle w:val="TableContents"/>
              <w:bidi w:val="0"/>
              <w:spacing w:before="0" w:after="1"/>
              <w:ind w:left="0" w:right="0" w:hanging="0"/>
              <w:jc w:val="center"/>
              <w:rPr/>
            </w:pPr>
            <w:r>
              <w:rPr/>
              <w:t>​</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Yield/ Rate</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left"/>
              <w:rPr/>
            </w:pPr>
            <w:r>
              <w:rPr/>
              <w:t>​</w:t>
            </w:r>
          </w:p>
        </w:tc>
      </w:tr>
      <w:tr>
        <w:trPr/>
        <w:tc>
          <w:tcPr>
            <w:tcW w:w="271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Loans receivable, net and loans held for sale </w:t>
            </w:r>
            <w:r>
              <w:rPr>
                <w:rFonts w:ascii="Times New Roman;Times;serif" w:hAnsi="Times New Roman;Times;serif"/>
                <w:sz w:val="15"/>
              </w:rPr>
              <w:t>(1)</w:t>
            </w:r>
            <w:r>
              <w:rPr>
                <w:rFonts w:ascii="Times New Roman;Times;serif" w:hAnsi="Times New Roman;Times;serif"/>
                <w:sz w:val="20"/>
              </w:rPr>
              <w:t xml:space="preserve">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 </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2,331,978</w:t>
            </w:r>
          </w:p>
        </w:tc>
        <w:tc>
          <w:tcPr>
            <w:tcW w:w="146" w:type="dxa"/>
            <w:tcBorders/>
            <w:vAlign w:val="center"/>
          </w:tcPr>
          <w:p>
            <w:pPr>
              <w:pStyle w:val="TableContents"/>
              <w:bidi w:val="0"/>
              <w:spacing w:before="0" w:after="1"/>
              <w:ind w:left="0" w:right="0" w:hanging="0"/>
              <w:jc w:val="left"/>
              <w:rPr/>
            </w:pPr>
            <w:r>
              <w:rPr/>
              <w:t> </w:t>
            </w:r>
          </w:p>
        </w:tc>
        <w:tc>
          <w:tcPr>
            <w:tcW w:w="2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74,208</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1,887,097</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48,322</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r>
      <w:tr>
        <w:trPr/>
        <w:tc>
          <w:tcPr>
            <w:tcW w:w="271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Taxable mortgage-backed securities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81,147</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89,570</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r>
      <w:tr>
        <w:trPr/>
        <w:tc>
          <w:tcPr>
            <w:tcW w:w="271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Taxable AFS investment securities </w:t>
            </w:r>
            <w:r>
              <w:rPr>
                <w:rFonts w:ascii="Times New Roman;Times;serif" w:hAnsi="Times New Roman;Times;serif"/>
                <w:sz w:val="15"/>
              </w:rPr>
              <w:t>(3)</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57,257</w:t>
            </w:r>
          </w:p>
        </w:tc>
        <w:tc>
          <w:tcPr>
            <w:tcW w:w="1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1,527</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61,128</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r>
      <w:tr>
        <w:trPr/>
        <w:tc>
          <w:tcPr>
            <w:tcW w:w="271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Tax-exempt AFS investment securities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129,632</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129,911</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Taxable HTM investment securities</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1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7,660</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FHLB stock</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5,477</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4,593</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Interest-bearing deposits at other financial institutions</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66,550</w:t>
            </w:r>
          </w:p>
        </w:tc>
        <w:tc>
          <w:tcPr>
            <w:tcW w:w="1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1,362</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109"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37,565</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0.83%</w:t>
            </w:r>
          </w:p>
        </w:tc>
      </w:tr>
      <w:tr>
        <w:trPr/>
        <w:tc>
          <w:tcPr>
            <w:tcW w:w="271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interest-earning assets </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2,680,541</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79,479</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2,217,524</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51,571</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Noninterest-earning assets </w:t>
            </w:r>
          </w:p>
        </w:tc>
        <w:tc>
          <w:tcPr>
            <w:tcW w:w="326" w:type="dxa"/>
            <w:tcBorders/>
            <w:vAlign w:val="center"/>
          </w:tcPr>
          <w:p>
            <w:pPr>
              <w:pStyle w:val="TableContents"/>
              <w:bidi w:val="0"/>
              <w:spacing w:before="0" w:after="1"/>
              <w:ind w:left="0" w:right="0" w:hanging="0"/>
              <w:jc w:val="left"/>
              <w:rPr/>
            </w:pPr>
            <w:r>
              <w:rPr/>
              <w:t> </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111,693</w:t>
            </w:r>
          </w:p>
        </w:tc>
        <w:tc>
          <w:tcPr>
            <w:tcW w:w="146" w:type="dxa"/>
            <w:tcBorders/>
            <w:vAlign w:val="center"/>
          </w:tcPr>
          <w:p>
            <w:pPr>
              <w:pStyle w:val="TableContents"/>
              <w:bidi w:val="0"/>
              <w:spacing w:before="0" w:after="1"/>
              <w:ind w:left="0" w:right="0" w:hanging="0"/>
              <w:jc w:val="left"/>
              <w:rPr/>
            </w:pPr>
            <w:r>
              <w:rPr/>
              <w:t> </w:t>
            </w:r>
          </w:p>
        </w:tc>
        <w:tc>
          <w:tcPr>
            <w:tcW w:w="260"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96,010</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2,792,234</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2,313,534</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LIABILITIES </w:t>
            </w:r>
          </w:p>
        </w:tc>
        <w:tc>
          <w:tcPr>
            <w:tcW w:w="326" w:type="dxa"/>
            <w:tcBorders/>
            <w:vAlign w:val="center"/>
          </w:tcPr>
          <w:p>
            <w:pPr>
              <w:pStyle w:val="TableContents"/>
              <w:bidi w:val="0"/>
              <w:spacing w:before="0" w:after="1"/>
              <w:ind w:left="0" w:right="0" w:hanging="0"/>
              <w:jc w:val="left"/>
              <w:rPr/>
            </w:pPr>
            <w:r>
              <w:rPr/>
              <w:t> </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 and money market</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675,876</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2,542</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0.76%</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773,014</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1,094</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Interest-bearing checking</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162,777</w:t>
            </w:r>
          </w:p>
        </w:tc>
        <w:tc>
          <w:tcPr>
            <w:tcW w:w="1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204,037</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845,938</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11,224</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380,142</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1,495</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91,619</w:t>
            </w:r>
          </w:p>
        </w:tc>
        <w:tc>
          <w:tcPr>
            <w:tcW w:w="1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37,257</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Subordinated notes</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49,475</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49,409</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interest-bearing liabilities</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1,825,685</w:t>
            </w:r>
          </w:p>
        </w:tc>
        <w:tc>
          <w:tcPr>
            <w:tcW w:w="14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17,265</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 </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1,443,859</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4,120</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Noninterest-bearing accounts</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658,381</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 </w:t>
            </w:r>
          </w:p>
        </w:tc>
        <w:tc>
          <w:tcPr>
            <w:tcW w:w="11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588,010</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noninterest-bearing liabilities</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34,436</w:t>
            </w:r>
          </w:p>
        </w:tc>
        <w:tc>
          <w:tcPr>
            <w:tcW w:w="1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30,676</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Total liabilities </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2,518,502</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2,062,545</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income</w:t>
            </w:r>
          </w:p>
        </w:tc>
        <w:tc>
          <w:tcPr>
            <w:tcW w:w="326"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62,214</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47,451</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left"/>
              <w:rPr/>
            </w:pPr>
            <w:r>
              <w:rPr/>
              <w:t>​</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rate spread</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earning assets</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854,856</w:t>
            </w:r>
          </w:p>
        </w:tc>
        <w:tc>
          <w:tcPr>
            <w:tcW w:w="1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773,665</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left"/>
              <w:rPr/>
            </w:pPr>
            <w:r>
              <w:rPr/>
              <w:t>​</w:t>
            </w:r>
          </w:p>
        </w:tc>
      </w:tr>
      <w:tr>
        <w:trPr/>
        <w:tc>
          <w:tcPr>
            <w:tcW w:w="271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interest margin</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109"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pPr>
            <w:r>
              <w:rPr/>
              <w:t>​</w:t>
            </w:r>
          </w:p>
        </w:tc>
        <w:tc>
          <w:tcPr>
            <w:tcW w:w="1193"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6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r>
      <w:tr>
        <w:trPr/>
        <w:tc>
          <w:tcPr>
            <w:tcW w:w="271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Average interest-earning assets to average interest-bearing liabilities</w:t>
            </w:r>
          </w:p>
        </w:tc>
        <w:tc>
          <w:tcPr>
            <w:tcW w:w="326" w:type="dxa"/>
            <w:tcBorders/>
            <w:vAlign w:val="center"/>
          </w:tcPr>
          <w:p>
            <w:pPr>
              <w:pStyle w:val="TableContents"/>
              <w:bidi w:val="0"/>
              <w:spacing w:before="0" w:after="1"/>
              <w:ind w:left="0" w:right="0" w:hanging="0"/>
              <w:jc w:val="left"/>
              <w:rPr/>
            </w:pPr>
            <w:r>
              <w:rPr/>
              <w:t> </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146.82%</w:t>
            </w:r>
          </w:p>
        </w:tc>
        <w:tc>
          <w:tcPr>
            <w:tcW w:w="146" w:type="dxa"/>
            <w:tcBorders/>
            <w:vAlign w:val="center"/>
          </w:tcPr>
          <w:p>
            <w:pPr>
              <w:pStyle w:val="TableContents"/>
              <w:bidi w:val="0"/>
              <w:spacing w:before="0" w:after="1"/>
              <w:ind w:left="0" w:right="0" w:hanging="0"/>
              <w:jc w:val="left"/>
              <w:rPr/>
            </w:pPr>
            <w:r>
              <w:rPr/>
              <w:t> </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0" w:type="dxa"/>
            <w:tcBorders/>
            <w:vAlign w:val="center"/>
          </w:tcPr>
          <w:p>
            <w:pPr>
              <w:pStyle w:val="TableContents"/>
              <w:bidi w:val="0"/>
              <w:spacing w:before="0" w:after="1"/>
              <w:ind w:left="0" w:right="0" w:hanging="0"/>
              <w:jc w:val="left"/>
              <w:rPr/>
            </w:pPr>
            <w:r>
              <w:rPr/>
              <w:t>​</w:t>
            </w:r>
          </w:p>
        </w:tc>
        <w:tc>
          <w:tcPr>
            <w:tcW w:w="11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153.58%</w:t>
            </w:r>
          </w:p>
        </w:tc>
        <w:tc>
          <w:tcPr>
            <w:tcW w:w="109"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w:t>
      </w:r>
    </w:p>
    <w:tbl>
      <w:tblPr>
        <w:tblW w:w="6077" w:type="dxa"/>
        <w:jc w:val="left"/>
        <w:tblInd w:w="0" w:type="dxa"/>
        <w:tblLayout w:type="fixed"/>
        <w:tblCellMar>
          <w:top w:w="0" w:type="dxa"/>
          <w:left w:w="0" w:type="dxa"/>
          <w:bottom w:w="0" w:type="dxa"/>
          <w:right w:w="0" w:type="dxa"/>
        </w:tblCellMar>
      </w:tblPr>
      <w:tblGrid>
        <w:gridCol w:w="346"/>
        <w:gridCol w:w="573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loans receivable, net balances include nonaccrual loans.</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net deferred fee recognition of $3.4 million and $4.2 million for the six months ended June 30, 2023 and 2022, respectively.</w:t>
            </w:r>
          </w:p>
        </w:tc>
      </w:tr>
    </w:tbl>
    <w:tbl>
      <w:tblPr>
        <w:tblW w:w="2522" w:type="dxa"/>
        <w:jc w:val="left"/>
        <w:tblInd w:w="0" w:type="dxa"/>
        <w:tblLayout w:type="fixed"/>
        <w:tblCellMar>
          <w:top w:w="0" w:type="dxa"/>
          <w:left w:w="0" w:type="dxa"/>
          <w:bottom w:w="0" w:type="dxa"/>
          <w:right w:w="0" w:type="dxa"/>
        </w:tblCellMar>
      </w:tblPr>
      <w:tblGrid>
        <w:gridCol w:w="346"/>
        <w:gridCol w:w="21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Shown at amortized cost.</w:t>
            </w:r>
          </w:p>
        </w:tc>
      </w:tr>
    </w:tbl>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 xml:space="preserve">Net Interest Income. </w:t>
      </w:r>
      <w:r>
        <w:rPr>
          <w:rFonts w:ascii="Times New Roman;Times;serif" w:hAnsi="Times New Roman;Times;serif"/>
          <w:sz w:val="20"/>
        </w:rPr>
        <w:t xml:space="preserve">Net interest income increased $14.8 million to $62.2 million for the six months ended June 30, 2023, from $47.5 million for the six months ended June 30, 2022. This increase was primarily the result of an increase in loans and variable rate interest-earning assets repricing reflecting higher market rates. Interest income increased $27.9 million, primarily due to an increase of $25.9 million in interest income on loans receivable, including fees, impacted primarily by loan growth and higher market rates.  Interest expense increased $13.1 million, primarily as a result of higher interest rates.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NIM increased 36 basis points to 4.68% for the six months ended June 30, 2023, from 4.32% for the same period in the prior year.  The increase in NIM reflects new loan originations at higher interest rates and variable rate interest-earning assets repricing higher following recent increases in market interest rates.  The benefit of the higher rates and increase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interest earning assets was partially offset by rising deposit and borrowing costs.  Increases in average balances of higher costing CDs and borrowings placed additional pressure on NIM.</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i/>
          <w:sz w:val="20"/>
        </w:rPr>
        <w:t xml:space="preserve">Interest Income. </w:t>
      </w:r>
      <w:r>
        <w:rPr>
          <w:rFonts w:ascii="Times New Roman;Times;serif" w:hAnsi="Times New Roman;Times;serif"/>
          <w:sz w:val="20"/>
        </w:rPr>
        <w:t>Interest income for the six months ended June 30, 2023, increased $27.9 million to $79.5 million, from $51.6 million for the six months ended June 30, 2022. The increase during the period was primarily attributable to the $463.0 million increase in the average balance of total interest-earning assets and a 129-basis point increase in the average yield on total interest-earning assets.</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following table compares average interest-earning asset balances, associated yields, and resulting changes in interest income for the six months ended June 30, 2023 and 2022:</w:t>
      </w:r>
    </w:p>
    <w:tbl>
      <w:tblPr>
        <w:tblW w:w="10205" w:type="dxa"/>
        <w:jc w:val="left"/>
        <w:tblInd w:w="0" w:type="dxa"/>
        <w:tblLayout w:type="fixed"/>
        <w:tblCellMar>
          <w:top w:w="0" w:type="dxa"/>
          <w:left w:w="0" w:type="dxa"/>
          <w:bottom w:w="0" w:type="dxa"/>
          <w:right w:w="0" w:type="dxa"/>
        </w:tblCellMar>
      </w:tblPr>
      <w:tblGrid>
        <w:gridCol w:w="4017"/>
        <w:gridCol w:w="326"/>
        <w:gridCol w:w="211"/>
        <w:gridCol w:w="931"/>
        <w:gridCol w:w="326"/>
        <w:gridCol w:w="605"/>
        <w:gridCol w:w="361"/>
        <w:gridCol w:w="211"/>
        <w:gridCol w:w="931"/>
        <w:gridCol w:w="326"/>
        <w:gridCol w:w="605"/>
        <w:gridCol w:w="361"/>
        <w:gridCol w:w="211"/>
        <w:gridCol w:w="783"/>
      </w:tblGrid>
      <w:tr>
        <w:trPr/>
        <w:tc>
          <w:tcPr>
            <w:tcW w:w="4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2550795" cy="175260"/>
                      <wp:effectExtent l="0" t="0" r="0" b="0"/>
                      <wp:wrapNone/>
                      <wp:docPr id="762" name="Frame762"/>
                      <a:graphic xmlns:a="http://schemas.openxmlformats.org/drawingml/2006/main">
                        <a:graphicData uri="http://schemas.microsoft.com/office/word/2010/wordprocessingShape">
                          <wps:wsp>
                            <wps:cNvSpPr txBox="1"/>
                            <wps:spPr>
                              <a:xfrm>
                                <a:off x="0" y="0"/>
                                <a:ext cx="2550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207010" cy="175260"/>
                      <wp:effectExtent l="0" t="0" r="0" b="0"/>
                      <wp:wrapNone/>
                      <wp:docPr id="763" name="Frame7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133985" cy="175260"/>
                      <wp:effectExtent l="0" t="0" r="0" b="0"/>
                      <wp:wrapNone/>
                      <wp:docPr id="764" name="Frame7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591185" cy="175260"/>
                      <wp:effectExtent l="0" t="0" r="0" b="0"/>
                      <wp:wrapNone/>
                      <wp:docPr id="765" name="Frame7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207010" cy="175260"/>
                      <wp:effectExtent l="0" t="0" r="0" b="0"/>
                      <wp:wrapNone/>
                      <wp:docPr id="766" name="Frame7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384175" cy="175260"/>
                      <wp:effectExtent l="0" t="0" r="0" b="0"/>
                      <wp:wrapNone/>
                      <wp:docPr id="767" name="Frame767"/>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229235" cy="175260"/>
                      <wp:effectExtent l="0" t="0" r="0" b="0"/>
                      <wp:wrapNone/>
                      <wp:docPr id="768" name="Frame7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133985" cy="175260"/>
                      <wp:effectExtent l="0" t="0" r="0" b="0"/>
                      <wp:wrapNone/>
                      <wp:docPr id="769" name="Frame7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591185" cy="175260"/>
                      <wp:effectExtent l="0" t="0" r="0" b="0"/>
                      <wp:wrapNone/>
                      <wp:docPr id="770" name="Frame7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207010" cy="175260"/>
                      <wp:effectExtent l="0" t="0" r="0" b="0"/>
                      <wp:wrapNone/>
                      <wp:docPr id="771" name="Frame7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384175" cy="175260"/>
                      <wp:effectExtent l="0" t="0" r="0" b="0"/>
                      <wp:wrapNone/>
                      <wp:docPr id="772" name="Frame77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229235" cy="175260"/>
                      <wp:effectExtent l="0" t="0" r="0" b="0"/>
                      <wp:wrapNone/>
                      <wp:docPr id="773" name="Frame7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133985" cy="175260"/>
                      <wp:effectExtent l="0" t="0" r="0" b="0"/>
                      <wp:wrapNone/>
                      <wp:docPr id="774" name="Frame7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497205" cy="175260"/>
                      <wp:effectExtent l="0" t="0" r="0" b="0"/>
                      <wp:wrapNone/>
                      <wp:docPr id="775" name="Frame775"/>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1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1"/>
              <w:ind w:left="0" w:right="0" w:hanging="0"/>
              <w:jc w:val="left"/>
              <w:rPr/>
            </w:pPr>
            <w:r>
              <w:rPr/>
              <w:t>​</w:t>
            </w:r>
          </w:p>
        </w:tc>
        <w:tc>
          <w:tcPr>
            <w:tcW w:w="5862"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Six Months Ended June 30, </w:t>
            </w:r>
          </w:p>
        </w:tc>
      </w:tr>
      <w:tr>
        <w:trPr/>
        <w:tc>
          <w:tcPr>
            <w:tcW w:w="40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vAlign w:val="center"/>
          </w:tcPr>
          <w:p>
            <w:pPr>
              <w:pStyle w:val="TableContents"/>
              <w:bidi w:val="0"/>
              <w:spacing w:before="0" w:after="1"/>
              <w:ind w:left="0" w:right="0" w:hanging="0"/>
              <w:jc w:val="left"/>
              <w:rPr/>
            </w:pPr>
            <w:r>
              <w:rPr/>
              <w:t>​</w:t>
            </w:r>
          </w:p>
        </w:tc>
        <w:tc>
          <w:tcPr>
            <w:tcW w:w="207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61" w:type="dxa"/>
            <w:tcBorders/>
            <w:vAlign w:val="center"/>
          </w:tcPr>
          <w:p>
            <w:pPr>
              <w:pStyle w:val="TableContents"/>
              <w:bidi w:val="0"/>
              <w:spacing w:before="0" w:after="1"/>
              <w:ind w:left="0" w:right="0" w:hanging="0"/>
              <w:jc w:val="left"/>
              <w:rPr/>
            </w:pPr>
            <w:r>
              <w:rPr/>
              <w:t>​</w:t>
            </w:r>
          </w:p>
        </w:tc>
        <w:tc>
          <w:tcPr>
            <w:tcW w:w="994" w:type="dxa"/>
            <w:gridSpan w:val="2"/>
            <w:tcBorders/>
            <w:vAlign w:val="center"/>
          </w:tcPr>
          <w:p>
            <w:pPr>
              <w:pStyle w:val="TableContents"/>
              <w:bidi w:val="0"/>
              <w:spacing w:before="0" w:after="1"/>
              <w:ind w:left="0" w:right="0" w:hanging="0"/>
              <w:jc w:val="center"/>
              <w:rPr/>
            </w:pPr>
            <w:r>
              <w:rPr/>
              <w:t>​</w:t>
            </w:r>
          </w:p>
        </w:tc>
      </w:tr>
      <w:tr>
        <w:trPr/>
        <w:tc>
          <w:tcPr>
            <w:tcW w:w="40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Change</w:t>
            </w:r>
          </w:p>
        </w:tc>
      </w:tr>
      <w:tr>
        <w:trPr/>
        <w:tc>
          <w:tcPr>
            <w:tcW w:w="40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vAlign w:val="center"/>
          </w:tcPr>
          <w:p>
            <w:pPr>
              <w:pStyle w:val="TableContents"/>
              <w:bidi w:val="0"/>
              <w:spacing w:before="0" w:after="1"/>
              <w:ind w:left="0" w:right="0" w:hanging="0"/>
              <w:jc w:val="left"/>
              <w:rPr/>
            </w:pPr>
            <w:r>
              <w:rPr/>
              <w:t>​</w:t>
            </w:r>
          </w:p>
        </w:tc>
        <w:tc>
          <w:tcPr>
            <w:tcW w:w="994"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 Interest</w:t>
            </w:r>
          </w:p>
        </w:tc>
      </w:tr>
      <w:tr>
        <w:trPr/>
        <w:tc>
          <w:tcPr>
            <w:tcW w:w="401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vAlign w:val="center"/>
          </w:tcPr>
          <w:p>
            <w:pPr>
              <w:pStyle w:val="TableContents"/>
              <w:bidi w:val="0"/>
              <w:spacing w:before="0" w:after="1"/>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vAlign w:val="center"/>
          </w:tcPr>
          <w:p>
            <w:pPr>
              <w:pStyle w:val="TableContents"/>
              <w:bidi w:val="0"/>
              <w:spacing w:before="0" w:after="1"/>
              <w:ind w:left="0" w:right="0" w:hanging="0"/>
              <w:jc w:val="left"/>
              <w:rPr/>
            </w:pPr>
            <w:r>
              <w:rPr/>
              <w:t>​</w:t>
            </w:r>
          </w:p>
        </w:tc>
        <w:tc>
          <w:tcPr>
            <w:tcW w:w="60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vAlign w:val="center"/>
          </w:tcPr>
          <w:p>
            <w:pPr>
              <w:pStyle w:val="TableContents"/>
              <w:bidi w:val="0"/>
              <w:spacing w:before="0" w:after="1"/>
              <w:ind w:left="0" w:right="0" w:hanging="0"/>
              <w:jc w:val="left"/>
              <w:rPr/>
            </w:pPr>
            <w:r>
              <w:rPr/>
              <w:t>​</w:t>
            </w:r>
          </w:p>
        </w:tc>
        <w:tc>
          <w:tcPr>
            <w:tcW w:w="9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Income</w:t>
            </w:r>
          </w:p>
        </w:tc>
      </w:tr>
      <w:tr>
        <w:trPr/>
        <w:tc>
          <w:tcPr>
            <w:tcW w:w="401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Loans receivable, net and loans held for sale </w:t>
            </w:r>
            <w:r>
              <w:rPr>
                <w:rFonts w:ascii="Times New Roman;Times;serif" w:hAnsi="Times New Roman;Times;serif"/>
                <w:sz w:val="15"/>
              </w:rPr>
              <w:t>(1)</w:t>
            </w: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2,331,978</w:t>
            </w:r>
          </w:p>
        </w:tc>
        <w:tc>
          <w:tcPr>
            <w:tcW w:w="326" w:type="dxa"/>
            <w:tcBorders/>
            <w:shd w:fill="CCEEFF" w:val="clear"/>
            <w:vAlign w:val="center"/>
          </w:tcPr>
          <w:p>
            <w:pPr>
              <w:pStyle w:val="TableContents"/>
              <w:bidi w:val="0"/>
              <w:spacing w:before="0" w:after="1"/>
              <w:ind w:left="0" w:right="0" w:hanging="0"/>
              <w:jc w:val="left"/>
              <w:rPr/>
            </w:pPr>
            <w:r>
              <w:rPr/>
              <w:t>    </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1,887,097</w:t>
            </w:r>
          </w:p>
        </w:tc>
        <w:tc>
          <w:tcPr>
            <w:tcW w:w="326" w:type="dxa"/>
            <w:tcBorders/>
            <w:shd w:fill="CCEEFF" w:val="clear"/>
            <w:vAlign w:val="center"/>
          </w:tcPr>
          <w:p>
            <w:pPr>
              <w:pStyle w:val="TableContents"/>
              <w:bidi w:val="0"/>
              <w:spacing w:before="0" w:after="1"/>
              <w:ind w:left="0" w:right="0" w:hanging="0"/>
              <w:jc w:val="left"/>
              <w:rPr/>
            </w:pPr>
            <w:r>
              <w:rPr/>
              <w:t>    </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25,886</w:t>
            </w:r>
          </w:p>
        </w:tc>
      </w:tr>
      <w:tr>
        <w:trPr/>
        <w:tc>
          <w:tcPr>
            <w:tcW w:w="401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Taxable mortgage-backed securities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81,147</w:t>
            </w:r>
          </w:p>
        </w:tc>
        <w:tc>
          <w:tcPr>
            <w:tcW w:w="326" w:type="dxa"/>
            <w:tcBorders/>
            <w:vAlign w:val="center"/>
          </w:tcPr>
          <w:p>
            <w:pPr>
              <w:pStyle w:val="TableContents"/>
              <w:bidi w:val="0"/>
              <w:spacing w:before="0" w:after="1"/>
              <w:ind w:left="0" w:right="0" w:hanging="0"/>
              <w:jc w:val="left"/>
              <w:rPr/>
            </w:pPr>
            <w:r>
              <w:rPr/>
              <w:t> </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89,570</w:t>
            </w:r>
          </w:p>
        </w:tc>
        <w:tc>
          <w:tcPr>
            <w:tcW w:w="326" w:type="dxa"/>
            <w:tcBorders/>
            <w:vAlign w:val="center"/>
          </w:tcPr>
          <w:p>
            <w:pPr>
              <w:pStyle w:val="TableContents"/>
              <w:bidi w:val="0"/>
              <w:spacing w:before="0" w:after="1"/>
              <w:ind w:left="0" w:right="0" w:hanging="0"/>
              <w:jc w:val="left"/>
              <w:rPr/>
            </w:pPr>
            <w:r>
              <w:rPr/>
              <w:t> </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4017"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Taxable AFS investment securities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57,257</w:t>
            </w:r>
          </w:p>
        </w:tc>
        <w:tc>
          <w:tcPr>
            <w:tcW w:w="326" w:type="dxa"/>
            <w:tcBorders/>
            <w:shd w:fill="CCEEFF" w:val="clear"/>
            <w:vAlign w:val="center"/>
          </w:tcPr>
          <w:p>
            <w:pPr>
              <w:pStyle w:val="TableContents"/>
              <w:bidi w:val="0"/>
              <w:spacing w:before="0" w:after="1"/>
              <w:ind w:left="0" w:right="0" w:hanging="0"/>
              <w:jc w:val="left"/>
              <w:rPr/>
            </w:pPr>
            <w:r>
              <w:rPr/>
              <w:t> </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61,128</w:t>
            </w:r>
          </w:p>
        </w:tc>
        <w:tc>
          <w:tcPr>
            <w:tcW w:w="326" w:type="dxa"/>
            <w:tcBorders/>
            <w:shd w:fill="CCEEFF" w:val="clear"/>
            <w:vAlign w:val="center"/>
          </w:tcPr>
          <w:p>
            <w:pPr>
              <w:pStyle w:val="TableContents"/>
              <w:bidi w:val="0"/>
              <w:spacing w:before="0" w:after="1"/>
              <w:ind w:left="0" w:right="0" w:hanging="0"/>
              <w:jc w:val="left"/>
              <w:rPr/>
            </w:pPr>
            <w:r>
              <w:rPr/>
              <w:t> </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907</w:t>
            </w:r>
          </w:p>
        </w:tc>
      </w:tr>
      <w:tr>
        <w:trPr/>
        <w:tc>
          <w:tcPr>
            <w:tcW w:w="4017"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Tax-exempt AFS investment securities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129,632</w:t>
            </w:r>
          </w:p>
        </w:tc>
        <w:tc>
          <w:tcPr>
            <w:tcW w:w="326"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129,911</w:t>
            </w:r>
          </w:p>
        </w:tc>
        <w:tc>
          <w:tcPr>
            <w:tcW w:w="326" w:type="dxa"/>
            <w:tcBorders/>
            <w:vAlign w:val="center"/>
          </w:tcPr>
          <w:p>
            <w:pPr>
              <w:pStyle w:val="TableContents"/>
              <w:bidi w:val="0"/>
              <w:spacing w:before="0" w:after="1"/>
              <w:ind w:left="0" w:right="0" w:hanging="0"/>
              <w:jc w:val="left"/>
              <w:rPr/>
            </w:pPr>
            <w:r>
              <w:rPr/>
              <w:t>​</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4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Taxable HTM investment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shd w:fill="CCEEFF" w:val="clear"/>
            <w:vAlign w:val="center"/>
          </w:tcPr>
          <w:p>
            <w:pPr>
              <w:pStyle w:val="TableContents"/>
              <w:bidi w:val="0"/>
              <w:spacing w:before="0" w:after="1"/>
              <w:ind w:left="0" w:right="0" w:hanging="0"/>
              <w:jc w:val="left"/>
              <w:rPr/>
            </w:pPr>
            <w:r>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7,660</w:t>
            </w:r>
          </w:p>
        </w:tc>
        <w:tc>
          <w:tcPr>
            <w:tcW w:w="326" w:type="dxa"/>
            <w:tcBorders/>
            <w:shd w:fill="CCEEFF" w:val="clear"/>
            <w:vAlign w:val="center"/>
          </w:tcPr>
          <w:p>
            <w:pPr>
              <w:pStyle w:val="TableContents"/>
              <w:bidi w:val="0"/>
              <w:spacing w:before="0" w:after="1"/>
              <w:ind w:left="0" w:right="0" w:hanging="0"/>
              <w:jc w:val="left"/>
              <w:rPr/>
            </w:pPr>
            <w:r>
              <w:rPr/>
              <w:t>​</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FHLB stock</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5,477</w:t>
            </w:r>
          </w:p>
        </w:tc>
        <w:tc>
          <w:tcPr>
            <w:tcW w:w="326" w:type="dxa"/>
            <w:tcBorders/>
            <w:vAlign w:val="center"/>
          </w:tcPr>
          <w:p>
            <w:pPr>
              <w:pStyle w:val="TableContents"/>
              <w:bidi w:val="0"/>
              <w:spacing w:before="0" w:after="1"/>
              <w:ind w:left="0" w:right="0" w:hanging="0"/>
              <w:jc w:val="left"/>
              <w:rPr/>
            </w:pPr>
            <w:r>
              <w:rPr/>
              <w:t> </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4,593</w:t>
            </w:r>
          </w:p>
        </w:tc>
        <w:tc>
          <w:tcPr>
            <w:tcW w:w="326" w:type="dxa"/>
            <w:tcBorders/>
            <w:vAlign w:val="center"/>
          </w:tcPr>
          <w:p>
            <w:pPr>
              <w:pStyle w:val="TableContents"/>
              <w:bidi w:val="0"/>
              <w:spacing w:before="0" w:after="1"/>
              <w:ind w:left="0" w:right="0" w:hanging="0"/>
              <w:jc w:val="left"/>
              <w:rPr/>
            </w:pPr>
            <w:r>
              <w:rPr/>
              <w:t> </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40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Interest-bearing deposits at other financial institutions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66,550</w:t>
            </w:r>
          </w:p>
        </w:tc>
        <w:tc>
          <w:tcPr>
            <w:tcW w:w="326" w:type="dxa"/>
            <w:tcBorders/>
            <w:shd w:fill="CCEEFF" w:val="clear"/>
            <w:vAlign w:val="center"/>
          </w:tcPr>
          <w:p>
            <w:pPr>
              <w:pStyle w:val="TableContents"/>
              <w:bidi w:val="0"/>
              <w:spacing w:before="0" w:after="1"/>
              <w:ind w:left="0" w:right="0" w:hanging="0"/>
              <w:jc w:val="left"/>
              <w:rPr/>
            </w:pPr>
            <w:r>
              <w:rPr/>
              <w:t> </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37,565</w:t>
            </w:r>
          </w:p>
        </w:tc>
        <w:tc>
          <w:tcPr>
            <w:tcW w:w="326" w:type="dxa"/>
            <w:tcBorders/>
            <w:shd w:fill="CCEEFF" w:val="clear"/>
            <w:vAlign w:val="center"/>
          </w:tcPr>
          <w:p>
            <w:pPr>
              <w:pStyle w:val="TableContents"/>
              <w:bidi w:val="0"/>
              <w:spacing w:before="0" w:after="1"/>
              <w:ind w:left="0" w:right="0" w:hanging="0"/>
              <w:jc w:val="left"/>
              <w:rPr/>
            </w:pPr>
            <w:r>
              <w:rPr/>
              <w:t> </w:t>
            </w:r>
          </w:p>
        </w:tc>
        <w:tc>
          <w:tcPr>
            <w:tcW w:w="6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0.83</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1,207</w:t>
            </w:r>
          </w:p>
        </w:tc>
      </w:tr>
      <w:tr>
        <w:trPr/>
        <w:tc>
          <w:tcPr>
            <w:tcW w:w="40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interest-earning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2,680,541</w:t>
            </w:r>
          </w:p>
        </w:tc>
        <w:tc>
          <w:tcPr>
            <w:tcW w:w="326" w:type="dxa"/>
            <w:tcBorders/>
            <w:vAlign w:val="center"/>
          </w:tcPr>
          <w:p>
            <w:pPr>
              <w:pStyle w:val="TableContents"/>
              <w:bidi w:val="0"/>
              <w:spacing w:before="0" w:after="1"/>
              <w:ind w:left="0" w:right="0" w:hanging="0"/>
              <w:jc w:val="left"/>
              <w:rPr/>
            </w:pPr>
            <w:r>
              <w:rPr/>
              <w:t> </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2,217,524</w:t>
            </w:r>
          </w:p>
        </w:tc>
        <w:tc>
          <w:tcPr>
            <w:tcW w:w="326" w:type="dxa"/>
            <w:tcBorders/>
            <w:vAlign w:val="center"/>
          </w:tcPr>
          <w:p>
            <w:pPr>
              <w:pStyle w:val="TableContents"/>
              <w:bidi w:val="0"/>
              <w:spacing w:before="0" w:after="1"/>
              <w:ind w:left="0" w:right="0" w:hanging="0"/>
              <w:jc w:val="left"/>
              <w:rPr/>
            </w:pPr>
            <w:r>
              <w:rPr/>
              <w:t> </w:t>
            </w:r>
          </w:p>
        </w:tc>
        <w:tc>
          <w:tcPr>
            <w:tcW w:w="60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27,908</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___________________________________</w:t>
      </w:r>
    </w:p>
    <w:tbl>
      <w:tblPr>
        <w:tblW w:w="6077" w:type="dxa"/>
        <w:jc w:val="left"/>
        <w:tblInd w:w="0" w:type="dxa"/>
        <w:tblLayout w:type="fixed"/>
        <w:tblCellMar>
          <w:top w:w="0" w:type="dxa"/>
          <w:left w:w="0" w:type="dxa"/>
          <w:bottom w:w="0" w:type="dxa"/>
          <w:right w:w="0" w:type="dxa"/>
        </w:tblCellMar>
      </w:tblPr>
      <w:tblGrid>
        <w:gridCol w:w="346"/>
        <w:gridCol w:w="573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loans receivable, net balances include nonaccrual loans.</w:t>
            </w:r>
          </w:p>
        </w:tc>
      </w:tr>
    </w:tbl>
    <w:tbl>
      <w:tblPr>
        <w:tblW w:w="2522" w:type="dxa"/>
        <w:jc w:val="left"/>
        <w:tblInd w:w="0" w:type="dxa"/>
        <w:tblLayout w:type="fixed"/>
        <w:tblCellMar>
          <w:top w:w="0" w:type="dxa"/>
          <w:left w:w="0" w:type="dxa"/>
          <w:bottom w:w="0" w:type="dxa"/>
          <w:right w:w="0" w:type="dxa"/>
        </w:tblCellMar>
      </w:tblPr>
      <w:tblGrid>
        <w:gridCol w:w="346"/>
        <w:gridCol w:w="21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Shown at amortized cost.</w:t>
            </w:r>
          </w:p>
        </w:tc>
      </w:tr>
    </w:tbl>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Interest Expense. </w:t>
      </w:r>
      <w:r>
        <w:rPr>
          <w:rFonts w:ascii="Times New Roman;Times;serif" w:hAnsi="Times New Roman;Times;serif"/>
          <w:sz w:val="20"/>
        </w:rPr>
        <w:t>Interest expense increased $13.1 million to $17.3 million for the six months ended June 30, 2023, from $4.1 million for the same period in the prior year, primarily due to an increase of interest expense on deposits of $11.4 million, primarily higher costing CDs, and on borrowings of $1.8 million. The average cost of funds for total interest-bearing liabilities increased 133 basis points to 1.91% for the six months ended June 30, 2023, from 0.58% for the six months ended June 30, 2022. The increase in interest expense was predominantly due to the increase in market rate for deposits, a shift in deposits to higher costing CDs, and an increase in the average balance of borrowings.  The average cost of total interest-bearing deposits increased 128 basis points to 1.70%, for the six months ended June 30, 2023, compared to 0.42%, for the six months ended June 30, 2022. The average cost of funds, including noninterest-bearing checking, increased 99 basis points to 1.40% for the six months ended June 30, 2023, from 0.41% for the six months ended June 30, 2022.</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following table details average balances for cost of funds on interest-bearing liabilities and the change in interest expense for the six months ended June 30, 2023 and 2022:</w:t>
      </w:r>
    </w:p>
    <w:tbl>
      <w:tblPr>
        <w:tblW w:w="8909" w:type="dxa"/>
        <w:jc w:val="left"/>
        <w:tblInd w:w="0" w:type="dxa"/>
        <w:tblLayout w:type="fixed"/>
        <w:tblCellMar>
          <w:top w:w="0" w:type="dxa"/>
          <w:left w:w="0" w:type="dxa"/>
          <w:bottom w:w="0" w:type="dxa"/>
          <w:right w:w="0" w:type="dxa"/>
        </w:tblCellMar>
      </w:tblPr>
      <w:tblGrid>
        <w:gridCol w:w="2701"/>
        <w:gridCol w:w="326"/>
        <w:gridCol w:w="211"/>
        <w:gridCol w:w="931"/>
        <w:gridCol w:w="326"/>
        <w:gridCol w:w="616"/>
        <w:gridCol w:w="361"/>
        <w:gridCol w:w="211"/>
        <w:gridCol w:w="931"/>
        <w:gridCol w:w="326"/>
        <w:gridCol w:w="616"/>
        <w:gridCol w:w="361"/>
        <w:gridCol w:w="211"/>
        <w:gridCol w:w="781"/>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1715135" cy="175260"/>
                      <wp:effectExtent l="0" t="0" r="0" b="0"/>
                      <wp:wrapNone/>
                      <wp:docPr id="776" name="Frame776"/>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07010" cy="175260"/>
                      <wp:effectExtent l="0" t="0" r="0" b="0"/>
                      <wp:wrapNone/>
                      <wp:docPr id="777" name="Frame7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133985" cy="175260"/>
                      <wp:effectExtent l="0" t="0" r="0" b="0"/>
                      <wp:wrapNone/>
                      <wp:docPr id="778" name="Frame7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591185" cy="175260"/>
                      <wp:effectExtent l="0" t="0" r="0" b="0"/>
                      <wp:wrapNone/>
                      <wp:docPr id="779" name="Frame77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07010" cy="175260"/>
                      <wp:effectExtent l="0" t="0" r="0" b="0"/>
                      <wp:wrapNone/>
                      <wp:docPr id="780" name="Frame7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391160" cy="175260"/>
                      <wp:effectExtent l="0" t="0" r="0" b="0"/>
                      <wp:wrapNone/>
                      <wp:docPr id="781" name="Frame78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229235" cy="175260"/>
                      <wp:effectExtent l="0" t="0" r="0" b="0"/>
                      <wp:wrapNone/>
                      <wp:docPr id="782" name="Frame78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133985" cy="175260"/>
                      <wp:effectExtent l="0" t="0" r="0" b="0"/>
                      <wp:wrapNone/>
                      <wp:docPr id="783" name="Frame7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591185" cy="175260"/>
                      <wp:effectExtent l="0" t="0" r="0" b="0"/>
                      <wp:wrapNone/>
                      <wp:docPr id="784" name="Frame7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07010" cy="175260"/>
                      <wp:effectExtent l="0" t="0" r="0" b="0"/>
                      <wp:wrapNone/>
                      <wp:docPr id="785" name="Frame7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391160" cy="175260"/>
                      <wp:effectExtent l="0" t="0" r="0" b="0"/>
                      <wp:wrapNone/>
                      <wp:docPr id="786" name="Frame78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229235" cy="175260"/>
                      <wp:effectExtent l="0" t="0" r="0" b="0"/>
                      <wp:wrapNone/>
                      <wp:docPr id="787" name="Frame7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133985" cy="175260"/>
                      <wp:effectExtent l="0" t="0" r="0" b="0"/>
                      <wp:wrapNone/>
                      <wp:docPr id="788" name="Frame7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495935" cy="175260"/>
                      <wp:effectExtent l="0" t="0" r="0" b="0"/>
                      <wp:wrapNone/>
                      <wp:docPr id="789" name="Frame7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(Dollars in thousands)</w:t>
            </w:r>
          </w:p>
        </w:tc>
        <w:tc>
          <w:tcPr>
            <w:tcW w:w="326" w:type="dxa"/>
            <w:tcBorders/>
            <w:vAlign w:val="center"/>
          </w:tcPr>
          <w:p>
            <w:pPr>
              <w:pStyle w:val="TableContents"/>
              <w:bidi w:val="0"/>
              <w:spacing w:before="0" w:after="1"/>
              <w:ind w:left="0" w:right="0" w:hanging="0"/>
              <w:jc w:val="left"/>
              <w:rPr/>
            </w:pPr>
            <w:r>
              <w:rPr/>
              <w:t>​</w:t>
            </w:r>
          </w:p>
        </w:tc>
        <w:tc>
          <w:tcPr>
            <w:tcW w:w="5882" w:type="dxa"/>
            <w:gridSpan w:val="1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Six Months Ended June 30, </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vAlign w:val="center"/>
          </w:tcPr>
          <w:p>
            <w:pPr>
              <w:pStyle w:val="TableContents"/>
              <w:bidi w:val="0"/>
              <w:spacing w:before="0" w:after="1"/>
              <w:ind w:left="0" w:right="0" w:hanging="0"/>
              <w:jc w:val="left"/>
              <w:rPr/>
            </w:pPr>
            <w:r>
              <w:rPr/>
              <w:t>​</w:t>
            </w:r>
          </w:p>
        </w:tc>
        <w:tc>
          <w:tcPr>
            <w:tcW w:w="20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2022</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    </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 Change</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Balance</w:t>
            </w:r>
          </w:p>
        </w:tc>
        <w:tc>
          <w:tcPr>
            <w:tcW w:w="32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Yield/</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in Interest</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326" w:type="dxa"/>
            <w:tcBorders/>
            <w:vAlign w:val="center"/>
          </w:tcPr>
          <w:p>
            <w:pPr>
              <w:pStyle w:val="TableContents"/>
              <w:bidi w:val="0"/>
              <w:spacing w:before="0" w:after="1"/>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Rate</w:t>
            </w:r>
          </w:p>
        </w:tc>
        <w:tc>
          <w:tcPr>
            <w:tcW w:w="361"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Expense</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Savings and money market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675,876</w:t>
            </w:r>
          </w:p>
        </w:tc>
        <w:tc>
          <w:tcPr>
            <w:tcW w:w="32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773,014</w:t>
            </w:r>
          </w:p>
        </w:tc>
        <w:tc>
          <w:tcPr>
            <w:tcW w:w="32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1,448</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Interest-bearing checking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162,777</w:t>
            </w:r>
          </w:p>
        </w:tc>
        <w:tc>
          <w:tcPr>
            <w:tcW w:w="32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204,037</w:t>
            </w:r>
          </w:p>
        </w:tc>
        <w:tc>
          <w:tcPr>
            <w:tcW w:w="32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0.25</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845,938</w:t>
            </w:r>
          </w:p>
        </w:tc>
        <w:tc>
          <w:tcPr>
            <w:tcW w:w="32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380,142</w:t>
            </w:r>
          </w:p>
        </w:tc>
        <w:tc>
          <w:tcPr>
            <w:tcW w:w="32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0.79</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9,729</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Borrowings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91,619</w:t>
            </w:r>
          </w:p>
        </w:tc>
        <w:tc>
          <w:tcPr>
            <w:tcW w:w="32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37,257</w:t>
            </w:r>
          </w:p>
        </w:tc>
        <w:tc>
          <w:tcPr>
            <w:tcW w:w="32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Subordinated note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49,475</w:t>
            </w:r>
          </w:p>
        </w:tc>
        <w:tc>
          <w:tcPr>
            <w:tcW w:w="32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49,409</w:t>
            </w:r>
          </w:p>
        </w:tc>
        <w:tc>
          <w:tcPr>
            <w:tcW w:w="326" w:type="dxa"/>
            <w:tcBorders/>
            <w:shd w:fill="CCEEFF" w:val="clear"/>
            <w:vAlign w:val="center"/>
          </w:tcPr>
          <w:p>
            <w:pPr>
              <w:pStyle w:val="TableContents"/>
              <w:bidi w:val="0"/>
              <w:spacing w:before="0" w:after="1"/>
              <w:ind w:left="0" w:right="0" w:hanging="0"/>
              <w:jc w:val="left"/>
              <w:rPr/>
            </w:pPr>
            <w:r>
              <w:rPr/>
              <w:t> </w:t>
            </w:r>
          </w:p>
        </w:tc>
        <w:tc>
          <w:tcPr>
            <w:tcW w:w="6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interest-bearing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1,825,685</w:t>
            </w:r>
          </w:p>
        </w:tc>
        <w:tc>
          <w:tcPr>
            <w:tcW w:w="32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1,443,859</w:t>
            </w:r>
          </w:p>
        </w:tc>
        <w:tc>
          <w:tcPr>
            <w:tcW w:w="326" w:type="dxa"/>
            <w:tcBorders/>
            <w:vAlign w:val="center"/>
          </w:tcPr>
          <w:p>
            <w:pPr>
              <w:pStyle w:val="TableContents"/>
              <w:bidi w:val="0"/>
              <w:spacing w:before="0" w:after="1"/>
              <w:ind w:left="0" w:right="0" w:hanging="0"/>
              <w:jc w:val="left"/>
              <w:rPr/>
            </w:pPr>
            <w:r>
              <w:rPr/>
              <w:t> </w:t>
            </w:r>
          </w:p>
        </w:tc>
        <w:tc>
          <w:tcPr>
            <w:tcW w:w="6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13,145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Provision for Credit Losses.</w:t>
      </w:r>
      <w:r>
        <w:rPr>
          <w:rFonts w:ascii="Times New Roman;Times;serif" w:hAnsi="Times New Roman;Times;serif"/>
          <w:sz w:val="20"/>
        </w:rPr>
        <w:t xml:space="preserve"> For the six months ended June 30, 2023, the provision for credit losses was $2.8 million, consisting of a $3.4 million provision for credit losses on loans partially offset by a $596,000 reversal of the allowance for credit losses on unfunded loan commitments, compared to $2.9 million provision for credit losses for the six months ended June 30, 2022, consisting of a $2.5 million provision for credit losses on loans and a $485,000 provision for credit losses on unfunded loan commitments. The provision for credit losses on loans reflects the increase in total loans receivable, increased net charge-offs, and increased reserves on individually evaluated nonaccrual loans. The reversal of the allowance for credit losses on unfunded loan commitments for the six months ended June 30, 2023, was a result of a decrease in total unfunded commitments during current period.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2023, net loan charge-offs totaled $1.1 million, compared to $280,000 during the six months ended June 30, 2022.  The increase was primarily due to increases in net charge-offs of $585,000 in indirect home improvement loans and $199,000 in marine loans.  A further decline in national and local economic conditions, as a result the effects of inflation, a potential recession or slowed economic growth, among other economic factors, could result in a material increase in the ACL for loans and may adversely affect the Company’s financial condition and result of operations.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Noninterest Income. </w:t>
      </w:r>
      <w:r>
        <w:rPr>
          <w:rFonts w:ascii="Times New Roman;Times;serif" w:hAnsi="Times New Roman;Times;serif"/>
          <w:sz w:val="20"/>
        </w:rPr>
        <w:t xml:space="preserve">Noninterest income decreased $179,000 to $10.1 million for the six months ended June 30, 2023, from $10.2 million for the six months ended June 30, 2022. The decrease reflects a $2.5 million decrease in gain on sale of loans due primarily to a reduction in origination and sales volume of loans held for sale and a reduction in the gross margin of sold loans, partially offset by an increase of $1.7 million in service charges and fee income primarily as a result of less amortization of mortgage servicing rights reflecting increased market interest rates and increased servicing fees from non-portfolio serviced loans, and $630,000 increase in other noninterest income. Gross margin on home loan sales increased to 3.06% for the six months ended June 30, 2023, from 3.01% for the six months ended June 30, 2022.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i/>
          <w:sz w:val="20"/>
        </w:rPr>
        <w:t xml:space="preserve">Noninterest Expense. </w:t>
      </w:r>
      <w:r>
        <w:rPr>
          <w:rFonts w:ascii="Times New Roman;Times;serif" w:hAnsi="Times New Roman;Times;serif"/>
          <w:sz w:val="20"/>
        </w:rPr>
        <w:t>Noninterest expense increased $9.7 million to $47.7 million for the six months ended June 30, 2023, from $38.0 million for the six months ended June 30, 2022. The increase was primarily a result of a $3.7 million increase in salaries and benefits largely due to an increase in the number of FTEs as a result of the Branch Acquisition.  Other increases included $1.6 million in acquisition costs, $1.5 million in operations, $1.1 million in amortization of core deposit intangible, $829,000 in FDIC insurance due to asset growth and an increase in assessment rates, $601,000 in occupancy expense, and $436,000 in data processing.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efficiency ratio increased slightly to 66.04% for the six months ended June 30, 2023, compared to 65.87% for the six months ended June 30, 2022, primarily representing the increase in noninterest expense due to the Branch Acquisition.</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b/>
          <w:i/>
          <w:sz w:val="20"/>
        </w:rPr>
        <w:t>Provision for Income Taxes.</w:t>
      </w:r>
      <w:r>
        <w:rPr>
          <w:rFonts w:ascii="Times New Roman;Times;serif" w:hAnsi="Times New Roman;Times;serif"/>
          <w:sz w:val="20"/>
        </w:rPr>
        <w:t xml:space="preserve"> For the six months ended June 30, 2023, the Company recorded a provision for income taxes of $4.4 million as compared to $3.2 million for the six months ended June 30, 2022. The increase in the income tax provision was primarily due to a $4.9 million increase in pre-tax income during the six months ended June 30, 2023, as compared to the same period last year.  The effective corporate income tax rates for the six months ended June 30, 2023 and 2022 were 20.2% and 19.1%, respectively.  The increase in the effective corporate income tax rate was attributable to a decrease in nontaxable income between periods.</w:t>
      </w:r>
    </w:p>
    <w:p>
      <w:pPr>
        <w:pStyle w:val="TextBody"/>
        <w:bidi w:val="0"/>
        <w:spacing w:before="240" w:after="20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Management maintains a liquidity position that it believes will adequately provide funding for loan demand and deposit runoff that may occur in the normal course of business. The Company relies on a number of different sources in order to meet potential liquidity demands. The primary sources are increases in deposit accounts, FHLB advances,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Bank must maintain an adequate level of liquidity to ensure the availability of sufficient funds to fund its operations.  The Bank generally maintains sufficient cash and short-term investments to meet short-term liquidity needs. At June 30, 2023, the Bank’s total borrowing capacity was $673.5 million with the FHLB of Des Moines, with unused borrowing capacity of $598.2 million. The FHLB borrowing limit is based on certain categories of loans, primarily real estate loans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that qualify as collateral for FHLB advances. At June 30, 2023, the Bank held approximately $988.5 million in loans that qualify as collateral for FHLB advances.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addition to the availability of liquidity from the FHLB of Des Moines, the Bank maintained a short-term borrowing line with the FRB, with a current limit of $310.7 million, and a combined credit limit of $101.0 million in written federal funds lines of credit through correspondent banking relationships at June 30, 2023. The FRB borrowing limit is based on certain categories of loans, primarily consumer loans that qualify as collateral for FRB line of credit.  At June 30, 2023, the Bank held approximately $709.5 million in loans that qualify as collateral for the FRB line of credit.  Additionally, securities with a carrying value of $77.1 million were pledged primarily to provide contingent liquidity through the Bank Term Funding Program at the Federal Reserve Bank at June 30, 2023, with a current limit of $90.0 million and no unused borrowing capacity.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Bank’s Asset and Liability Management Policy permits management to utilize brokered deposits up to 20% of deposits or $474.8 million at June 30, 2023. Total brokered deposits at June 30, 2023 were $295.7 million. Management utilizes brokered deposits to mitigate interest rate risk and to enhance liquidity when appropriate.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fund withdrawals, and to fund loan commitments. At June 30, 2023, outstanding loan commitments, including unused lines of credit totaled $562.5 million.  The Company purchased $3.9 million in securities during the six months ended June 30, 2023. Securities purchased during the six months ended June 30, 2022 totaled $22.0 million. Securities repayments, maturities and sales in those periods were $8.8 million and $11.0 million, respectively.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Bank’s liquidity is also affected by the volume of loans sold and loan principal payments.  During the six months  ended June 30, 2023 and 2022, the Bank sold $204.3 million and $497.4 million in loans and loan participation interests, respectively.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Bank’s liquidity has been positively impacted by increases in deposit levels. Total deposits increased $237.6 million during the six months ended June 30, 2023 primarily driven by the Branch Purchase with assumed deposits remaining of $382.1 million and growth in CDs. CDs scheduled to mature in three months or less at June 30, 2023, totaled $246.1 million. It is management’s policy to offer deposit rates that are competitive with other local financial institutions. Based on this strategy, management believes that a majority of maturing relationship deposits will remain with the Bank.  Excess liquidity from the Branch Purchase was used to repay borrowings.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remainder of 2023, we project that fixed commitments will include $964,000 of operating lease payments and $106.0 million of scheduled payments and maturities of FHLB advances.  For information regarding our operating leases, see “Note 7 – Leases” of the Notes to Consolidated Financial Statements included in this report.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As a separate legal entity from the Bank, FS Bancorp, Inc. must provide for its own liquidity. In addition to its own operating expenses (many of which are paid to the Bank),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although there are regulatory restrictions on the ability of the Bank to make distributions.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Dividends and other capital distributions from the Bank are subject to regulatory notice and certain restrictions. The Company currently expects to continue the current practice of paying quarterly cash dividends on common stock subject to the Board of Directors' discretion to modify or terminate this practice at any time and for any reason without prior notice. Our current quarterly common stock dividend rate is $0.25 per share, which we believe is a dividend rate per share which enables us to balance our multiple objectives of managing and investing in the Bank, and returning a substantial portion of our cash to our shareholders. Assuming continued payment during 2023 at this rate of $0.25 per share, our total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dividends paid each quarter would be approximately $1.9 million based on the number of the current outstanding shares as of June 30, 2023.</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Under FS Bancorp’s current stock repurchase program, approximately $920,000 remained available for future repurchases as of June 30, 2023.  The current stock repurchase program expired on June 30, 2023. See “Market for Registrant’s Common Equity, Related Stockholder Matters and Issuer Purchases of Equity Securities” continued in Item 2, Part II of this Form 10-Q for additional information relating to stock repurchases.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At June 30, 2023, FS Bancorp, on an unconsolidated basis, had $8.7 million in unrestricted cash to meet liquidity needs.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Capital Resources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Bank is subject to minimum capital requirements imposed by the FDIC.  Based on its capital levels at June 30, 2023, the Bank exceeded these requirements as of that date. Consistent with our goals to operate a sound and profitable organization, our policy is for the Bank to maintain a well-capitalized status under the capital categories of the FDIC. Based on capital levels at June 30, 2023, the Bank was considered to be well capitalized.  At June 30, 2023, the Bank exceeded all regulatory capital requirements with Tier 1 leverage-based capital, Tier 1 risk-based capital, total risk-based capital, and common equity Tier 1 capital ratios of 10.3%, 11.7%, 12.9%, and 11.7%, respectively. </w:t>
      </w:r>
    </w:p>
    <w:p>
      <w:pPr>
        <w:pStyle w:val="TextBody"/>
        <w:bidi w:val="0"/>
        <w:spacing w:before="0" w:after="200"/>
        <w:ind w:left="0" w:right="0" w:hanging="0"/>
        <w:jc w:val="both"/>
        <w:rPr>
          <w:rFonts w:ascii="Times New Roman;Times;serif" w:hAnsi="Times New Roman;Times;serif"/>
          <w:sz w:val="20"/>
        </w:rPr>
      </w:pPr>
      <w:bookmarkStart w:id="4349" w:name="capitalrequirements_246761"/>
      <w:bookmarkEnd w:id="4349"/>
      <w:r>
        <w:rPr>
          <w:rFonts w:ascii="Times New Roman;Times;serif" w:hAnsi="Times New Roman;Times;serif"/>
          <w:sz w:val="20"/>
        </w:rPr>
        <w:t xml:space="preserve">As a bank holding company registered with the Federal Reserve, the Company is subject to the capital adequacy requirements of the Federal Reserve.  Bank holding companies with less than $3.0 billion in assets are generally not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If FS Bancorp were subject to regulatory capital guidelines for bank holding companies with $3.0 billion or more in assets at June 30, 2023, FS Bancorp would have exceeded all regulatory capital requirements. For informational purposes, the regulatory capital ratios calculated for FS Bancorp at June 30, 2023 were 8.8% for Tier 1 leverage-based capital, 10.0% for Tier 1 risk-based capital, 13.3% for total risk-based capital, and 10.0% for CET 1 capital ratio. For additional information regarding regulatory capital compliance, see the discussion included in “Note 14 – Regulatory Capital” to the Notes to Consolidated Financial Statements included in Part I. Item 1 of this report. </w:t>
      </w:r>
    </w:p>
    <w:p>
      <w:pPr>
        <w:pStyle w:val="TextBody"/>
        <w:bidi w:val="0"/>
        <w:spacing w:before="0" w:after="200"/>
        <w:ind w:left="0" w:right="0" w:hanging="0"/>
        <w:jc w:val="left"/>
        <w:rPr>
          <w:rFonts w:ascii="Times New Roman;Times;serif" w:hAnsi="Times New Roman;Times;serif"/>
          <w:b/>
          <w:sz w:val="20"/>
        </w:rPr>
      </w:pPr>
      <w:bookmarkStart w:id="4350" w:name="Item3QuantitativeandQualitativeDisclosur"/>
      <w:bookmarkStart w:id="4351" w:name="_8f850f8e_ab94_4e04_aef1_08885fb68379"/>
      <w:bookmarkEnd w:id="4350"/>
      <w:bookmarkEnd w:id="4351"/>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inherit" w:hAnsi="inherit"/>
          <w:sz w:val="20"/>
        </w:rPr>
      </w:pPr>
      <w:r>
        <w:rPr>
          <w:rFonts w:ascii="inherit" w:hAnsi="inherit"/>
          <w:sz w:val="20"/>
        </w:rPr>
        <w:t xml:space="preserve">There have been no material changes in the market risk disclosures contained in FS Bancorp’s Annual Report on Form 10-K for the fiscal year ended December 31, 2022. </w:t>
      </w:r>
    </w:p>
    <w:p>
      <w:pPr>
        <w:pStyle w:val="TextBody"/>
        <w:bidi w:val="0"/>
        <w:spacing w:before="0" w:after="200"/>
        <w:ind w:left="0" w:right="0" w:hanging="0"/>
        <w:jc w:val="left"/>
        <w:rPr>
          <w:rFonts w:ascii="Times New Roman;Times;serif" w:hAnsi="Times New Roman;Times;serif"/>
          <w:b/>
          <w:sz w:val="20"/>
        </w:rPr>
      </w:pPr>
      <w:bookmarkStart w:id="4352" w:name="Item4ControlsandProcedures_376533"/>
      <w:bookmarkStart w:id="4353" w:name="_2066b39b_c644_435c_9cb0_60d1b97c6a87"/>
      <w:bookmarkEnd w:id="4352"/>
      <w:bookmarkEnd w:id="4353"/>
      <w:r>
        <w:rPr>
          <w:rFonts w:ascii="Times New Roman;Times;serif" w:hAnsi="Times New Roman;Times;serif"/>
          <w:b/>
          <w:sz w:val="20"/>
        </w:rPr>
        <w:t>Item 4.  Controls and Procedures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Evaluation of Disclosure Controls and Procedures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An evaluation of the disclosure controls and procedures as defined in Rule 13a-15(e) of the Exchange Act was carried out as of June 30, 2023 under the supervision and with the participation of the Company’s Chief Executive Officer (“CEO”) and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CEO and CFO concluded that based on their evaluation at June 30, 2023, the Company’s disclosure controls and procedures were effective in ensuring that information we are required to disclose in the reports we file or submit under the Exchange Act is (1) recorded, processed, summarized, and reported within the time periods specified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SEC’s rules and forms, and (2) accumulated and communicated to FS Bancorp management, including its CEO and CFO, as appropriate to allow timely decisions regarding required disclosure, specified in the SEC’s rules and forms.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Changes in Internal Controls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There were no significant changes in the Company’s internal control over financial reporting that occurred during the three months ended June 30, 2023, that have materially affected or are reasonably likely to materially affect our internal control over financial reporting. The Company does not expect that its disclosure controls and procedures and internal control over financial reporting will prevent all error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 </w:t>
      </w:r>
    </w:p>
    <w:p>
      <w:pPr>
        <w:pStyle w:val="TextBody"/>
        <w:bidi w:val="0"/>
        <w:spacing w:before="0" w:after="120"/>
        <w:ind w:left="0" w:right="0" w:hanging="0"/>
        <w:jc w:val="center"/>
        <w:rPr>
          <w:rFonts w:ascii="Times New Roman;Times;serif" w:hAnsi="Times New Roman;Times;serif"/>
          <w:b/>
          <w:sz w:val="20"/>
        </w:rPr>
      </w:pPr>
      <w:bookmarkStart w:id="4354" w:name="PARTII_Otherinformation"/>
      <w:bookmarkStart w:id="4355" w:name="_791d9fd8_14b0_4df8_84c1_9b3bce5cf8ae"/>
      <w:bookmarkEnd w:id="4354"/>
      <w:bookmarkEnd w:id="4355"/>
      <w:r>
        <w:rPr>
          <w:rFonts w:ascii="Times New Roman;Times;serif" w:hAnsi="Times New Roman;Times;serif"/>
          <w:b/>
          <w:sz w:val="20"/>
        </w:rPr>
        <w:t>PART II. OTHER INFORMATION</w:t>
      </w:r>
    </w:p>
    <w:p>
      <w:pPr>
        <w:pStyle w:val="TextBody"/>
        <w:bidi w:val="0"/>
        <w:spacing w:before="0" w:after="200"/>
        <w:ind w:left="0" w:right="0" w:hanging="0"/>
        <w:jc w:val="left"/>
        <w:rPr>
          <w:rFonts w:ascii="Times New Roman;Times;serif" w:hAnsi="Times New Roman;Times;serif"/>
          <w:b/>
          <w:sz w:val="20"/>
        </w:rPr>
      </w:pPr>
      <w:bookmarkStart w:id="4356" w:name="Item1LegalProceedings_188172"/>
      <w:bookmarkEnd w:id="4356"/>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pStyle w:val="TextBody"/>
        <w:bidi w:val="0"/>
        <w:spacing w:before="120" w:after="200"/>
        <w:ind w:left="0" w:right="0" w:hanging="0"/>
        <w:jc w:val="left"/>
        <w:rPr>
          <w:rFonts w:ascii="Times New Roman;Times;serif" w:hAnsi="Times New Roman;Times;serif"/>
          <w:b/>
          <w:sz w:val="20"/>
        </w:rPr>
      </w:pPr>
      <w:bookmarkStart w:id="4357" w:name="Item1ARiskFactors_874277"/>
      <w:bookmarkStart w:id="4358" w:name="_5aa712ce_2e0a_4ee2_96b4_928f444cedf2"/>
      <w:bookmarkEnd w:id="4357"/>
      <w:bookmarkEnd w:id="4358"/>
      <w:r>
        <w:rPr>
          <w:rFonts w:ascii="Times New Roman;Times;serif" w:hAnsi="Times New Roman;Times;serif"/>
          <w:b/>
          <w:sz w:val="20"/>
        </w:rPr>
        <w:t>Item 1A.  Risk Factors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There have been no material changes in the Risk Factors previously disclosed in FS Bancorp’s Annual Report on Form 10-K for the fiscal year ended December 31, 2022.</w:t>
      </w:r>
    </w:p>
    <w:p>
      <w:pPr>
        <w:pStyle w:val="TextBody"/>
        <w:bidi w:val="0"/>
        <w:spacing w:before="0" w:after="200"/>
        <w:ind w:left="0" w:right="0" w:hanging="0"/>
        <w:jc w:val="left"/>
        <w:rPr>
          <w:rFonts w:ascii="Times New Roman;Times;serif" w:hAnsi="Times New Roman;Times;serif"/>
          <w:b/>
          <w:sz w:val="20"/>
        </w:rPr>
      </w:pPr>
      <w:bookmarkStart w:id="4359" w:name="Item2UnregisteredSalesofEquitySecurities"/>
      <w:bookmarkStart w:id="4360" w:name="_8ddc8d3d_89c1_4887_a81d_146170ab72ac"/>
      <w:bookmarkEnd w:id="4359"/>
      <w:bookmarkEnd w:id="4360"/>
      <w:r>
        <w:rPr>
          <w:rFonts w:ascii="Times New Roman;Times;serif" w:hAnsi="Times New Roman;Times;serif"/>
          <w:b/>
          <w:sz w:val="20"/>
        </w:rPr>
        <w:t>Item 2.  Unregistered Sales of Equity Securities and Use of Proceeds</w:t>
      </w:r>
    </w:p>
    <w:tbl>
      <w:tblPr>
        <w:tblW w:w="1682" w:type="dxa"/>
        <w:jc w:val="left"/>
        <w:tblInd w:w="0" w:type="dxa"/>
        <w:tblLayout w:type="fixed"/>
        <w:tblCellMar>
          <w:top w:w="0" w:type="dxa"/>
          <w:left w:w="0" w:type="dxa"/>
          <w:bottom w:w="0" w:type="dxa"/>
          <w:right w:w="0" w:type="dxa"/>
        </w:tblCellMar>
      </w:tblPr>
      <w:tblGrid>
        <w:gridCol w:w="331"/>
        <w:gridCol w:w="135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1697" w:type="dxa"/>
        <w:jc w:val="left"/>
        <w:tblInd w:w="0" w:type="dxa"/>
        <w:tblLayout w:type="fixed"/>
        <w:tblCellMar>
          <w:top w:w="0" w:type="dxa"/>
          <w:left w:w="0" w:type="dxa"/>
          <w:bottom w:w="0" w:type="dxa"/>
          <w:right w:w="0" w:type="dxa"/>
        </w:tblCellMar>
      </w:tblPr>
      <w:tblGrid>
        <w:gridCol w:w="346"/>
        <w:gridCol w:w="13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9062" w:type="dxa"/>
        <w:jc w:val="left"/>
        <w:tblInd w:w="0" w:type="dxa"/>
        <w:tblLayout w:type="fixed"/>
        <w:tblCellMar>
          <w:top w:w="0" w:type="dxa"/>
          <w:left w:w="0" w:type="dxa"/>
          <w:bottom w:w="0" w:type="dxa"/>
          <w:right w:w="0" w:type="dxa"/>
        </w:tblCellMar>
      </w:tblPr>
      <w:tblGrid>
        <w:gridCol w:w="331"/>
        <w:gridCol w:w="873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7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common stock repurchases during the three months ended June 30, 2023:</w:t>
            </w:r>
          </w:p>
        </w:tc>
      </w:tr>
    </w:tbl>
    <w:tbl>
      <w:tblPr>
        <w:tblW w:w="9254" w:type="dxa"/>
        <w:jc w:val="left"/>
        <w:tblInd w:w="0" w:type="dxa"/>
        <w:tblLayout w:type="fixed"/>
        <w:tblCellMar>
          <w:top w:w="0" w:type="dxa"/>
          <w:left w:w="0" w:type="dxa"/>
          <w:bottom w:w="0" w:type="dxa"/>
          <w:right w:w="0" w:type="dxa"/>
        </w:tblCellMar>
      </w:tblPr>
      <w:tblGrid>
        <w:gridCol w:w="2581"/>
        <w:gridCol w:w="326"/>
        <w:gridCol w:w="1231"/>
        <w:gridCol w:w="326"/>
        <w:gridCol w:w="295"/>
        <w:gridCol w:w="486"/>
        <w:gridCol w:w="326"/>
        <w:gridCol w:w="1606"/>
        <w:gridCol w:w="326"/>
        <w:gridCol w:w="331"/>
        <w:gridCol w:w="1229"/>
        <w:gridCol w:w="19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1638935" cy="175260"/>
                      <wp:effectExtent l="0" t="0" r="0" b="0"/>
                      <wp:wrapNone/>
                      <wp:docPr id="790" name="Frame790"/>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207010" cy="175260"/>
                      <wp:effectExtent l="0" t="0" r="0" b="0"/>
                      <wp:wrapNone/>
                      <wp:docPr id="791" name="Frame7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781685" cy="175260"/>
                      <wp:effectExtent l="0" t="0" r="0" b="0"/>
                      <wp:wrapNone/>
                      <wp:docPr id="792" name="Frame79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207010" cy="175260"/>
                      <wp:effectExtent l="0" t="0" r="0" b="0"/>
                      <wp:wrapNone/>
                      <wp:docPr id="793" name="Frame7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187325" cy="175260"/>
                      <wp:effectExtent l="0" t="0" r="0" b="0"/>
                      <wp:wrapNone/>
                      <wp:docPr id="794" name="Frame794"/>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308610" cy="175260"/>
                      <wp:effectExtent l="0" t="0" r="0" b="0"/>
                      <wp:wrapNone/>
                      <wp:docPr id="795" name="Frame795"/>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207010" cy="175260"/>
                      <wp:effectExtent l="0" t="0" r="0" b="0"/>
                      <wp:wrapNone/>
                      <wp:docPr id="796" name="Frame7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1019810" cy="175260"/>
                      <wp:effectExtent l="0" t="0" r="0" b="0"/>
                      <wp:wrapNone/>
                      <wp:docPr id="797" name="Frame797"/>
                      <a:graphic xmlns:a="http://schemas.openxmlformats.org/drawingml/2006/main">
                        <a:graphicData uri="http://schemas.microsoft.com/office/word/2010/wordprocessingShape">
                          <wps:wsp>
                            <wps:cNvSpPr txBox="1"/>
                            <wps:spPr>
                              <a:xfrm>
                                <a:off x="0" y="0"/>
                                <a:ext cx="1019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207010" cy="175260"/>
                      <wp:effectExtent l="0" t="0" r="0" b="0"/>
                      <wp:wrapNone/>
                      <wp:docPr id="798" name="Frame7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210185" cy="175260"/>
                      <wp:effectExtent l="0" t="0" r="0" b="0"/>
                      <wp:wrapNone/>
                      <wp:docPr id="799" name="Frame79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780415" cy="175260"/>
                      <wp:effectExtent l="0" t="0" r="0" b="0"/>
                      <wp:wrapNone/>
                      <wp:docPr id="800" name="Frame800"/>
                      <a:graphic xmlns:a="http://schemas.openxmlformats.org/drawingml/2006/main">
                        <a:graphicData uri="http://schemas.microsoft.com/office/word/2010/wordprocessingShape">
                          <wps:wsp>
                            <wps:cNvSpPr txBox="1"/>
                            <wps:spPr>
                              <a:xfrm>
                                <a:off x="0" y="0"/>
                                <a:ext cx="780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121285" cy="175260"/>
                      <wp:effectExtent l="0" t="0" r="0" b="0"/>
                      <wp:wrapNone/>
                      <wp:docPr id="801" name="Frame80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Maximum</w:t>
            </w:r>
          </w:p>
        </w:tc>
        <w:tc>
          <w:tcPr>
            <w:tcW w:w="19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 Value of</w:t>
            </w:r>
          </w:p>
        </w:tc>
        <w:tc>
          <w:tcPr>
            <w:tcW w:w="19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Shares that </w:t>
            </w:r>
          </w:p>
        </w:tc>
        <w:tc>
          <w:tcPr>
            <w:tcW w:w="19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Repurchased as</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Yet Be</w:t>
            </w:r>
          </w:p>
        </w:tc>
        <w:tc>
          <w:tcPr>
            <w:tcW w:w="19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Total Number</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Price</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Part of Publicly</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Repurchased</w:t>
            </w:r>
          </w:p>
        </w:tc>
        <w:tc>
          <w:tcPr>
            <w:tcW w:w="191" w:type="dxa"/>
            <w:tcBorders/>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Shares</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Paid per</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Announced</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Under the</w:t>
            </w:r>
          </w:p>
        </w:tc>
        <w:tc>
          <w:tcPr>
            <w:tcW w:w="191" w:type="dxa"/>
            <w:tcBorders/>
            <w:vAlign w:val="center"/>
          </w:tcPr>
          <w:p>
            <w:pPr>
              <w:pStyle w:val="TableContents"/>
              <w:bidi w:val="0"/>
              <w:spacing w:before="0" w:after="0"/>
              <w:ind w:left="0" w:right="0" w:hanging="0"/>
              <w:jc w:val="left"/>
              <w:rPr/>
            </w:pPr>
            <w:r>
              <w:rPr/>
              <w:t>​</w:t>
            </w:r>
          </w:p>
        </w:tc>
      </w:tr>
      <w:tr>
        <w:trPr/>
        <w:tc>
          <w:tcPr>
            <w:tcW w:w="25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Period</w:t>
            </w:r>
          </w:p>
        </w:tc>
        <w:tc>
          <w:tcPr>
            <w:tcW w:w="326" w:type="dxa"/>
            <w:tcBorders/>
            <w:vAlign w:val="center"/>
          </w:tcPr>
          <w:p>
            <w:pPr>
              <w:pStyle w:val="TableContents"/>
              <w:bidi w:val="0"/>
              <w:spacing w:before="0" w:after="0"/>
              <w:ind w:left="0" w:right="0" w:hanging="0"/>
              <w:jc w:val="center"/>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Purchased </w:t>
            </w:r>
          </w:p>
        </w:tc>
        <w:tc>
          <w:tcPr>
            <w:tcW w:w="326" w:type="dxa"/>
            <w:tcBorders/>
            <w:vAlign w:val="center"/>
          </w:tcPr>
          <w:p>
            <w:pPr>
              <w:pStyle w:val="TableContents"/>
              <w:bidi w:val="0"/>
              <w:spacing w:before="0" w:after="0"/>
              <w:ind w:left="0" w:right="0" w:hanging="0"/>
              <w:jc w:val="center"/>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Share </w:t>
            </w:r>
          </w:p>
        </w:tc>
        <w:tc>
          <w:tcPr>
            <w:tcW w:w="326" w:type="dxa"/>
            <w:tcBorders/>
            <w:vAlign w:val="center"/>
          </w:tcPr>
          <w:p>
            <w:pPr>
              <w:pStyle w:val="TableContents"/>
              <w:bidi w:val="0"/>
              <w:spacing w:before="0" w:after="0"/>
              <w:ind w:left="0" w:right="0" w:hanging="0"/>
              <w:jc w:val="center"/>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Plan or Program  </w:t>
            </w:r>
          </w:p>
        </w:tc>
        <w:tc>
          <w:tcPr>
            <w:tcW w:w="326" w:type="dxa"/>
            <w:tcBorders/>
            <w:vAlign w:val="center"/>
          </w:tcPr>
          <w:p>
            <w:pPr>
              <w:pStyle w:val="TableContents"/>
              <w:bidi w:val="0"/>
              <w:spacing w:before="0" w:after="0"/>
              <w:ind w:left="0" w:right="0" w:hanging="0"/>
              <w:jc w:val="center"/>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xml:space="preserve">  </w:t>
            </w:r>
            <w:r>
              <w:rPr>
                <w:rFonts w:ascii="Times New Roman;Times;serif" w:hAnsi="Times New Roman;Times;serif"/>
                <w:sz w:val="20"/>
              </w:rPr>
              <w:t>Plan or Program </w:t>
            </w:r>
          </w:p>
        </w:tc>
        <w:tc>
          <w:tcPr>
            <w:tcW w:w="191" w:type="dxa"/>
            <w:tcBorders/>
            <w:vAlign w:val="center"/>
          </w:tcPr>
          <w:p>
            <w:pPr>
              <w:pStyle w:val="TableContents"/>
              <w:bidi w:val="0"/>
              <w:spacing w:before="0" w:after="0"/>
              <w:ind w:left="0" w:right="0" w:hanging="0"/>
              <w:jc w:val="center"/>
              <w:rPr/>
            </w:pPr>
            <w:r>
              <w:rPr/>
              <w:t> </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April 1, 2023 - April 30, 2023 </w:t>
            </w:r>
          </w:p>
        </w:tc>
        <w:tc>
          <w:tcPr>
            <w:tcW w:w="326" w:type="dxa"/>
            <w:tcBorders/>
            <w:shd w:fill="CCEEFF" w:val="clear"/>
            <w:vAlign w:val="center"/>
          </w:tcPr>
          <w:p>
            <w:pPr>
              <w:pStyle w:val="TableContents"/>
              <w:bidi w:val="0"/>
              <w:spacing w:before="0" w:after="0"/>
              <w:ind w:left="0" w:right="0" w:hanging="0"/>
              <w:jc w:val="center"/>
              <w:rPr/>
            </w:pPr>
            <w:r>
              <w:rPr/>
              <w:t>​</w:t>
            </w:r>
          </w:p>
        </w:tc>
        <w:tc>
          <w:tcPr>
            <w:tcW w:w="12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16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919,598</w:t>
            </w:r>
          </w:p>
        </w:tc>
        <w:tc>
          <w:tcPr>
            <w:tcW w:w="191" w:type="dxa"/>
            <w:tcBorders/>
            <w:shd w:fill="CCEEFF" w:val="clear"/>
            <w:vAlign w:val="center"/>
          </w:tcPr>
          <w:p>
            <w:pPr>
              <w:pStyle w:val="TableContents"/>
              <w:bidi w:val="0"/>
              <w:spacing w:before="0" w:after="0"/>
              <w:ind w:left="0" w:right="0" w:hanging="0"/>
              <w:jc w:val="center"/>
              <w:rPr/>
            </w:pPr>
            <w:r>
              <w:rPr/>
              <w:t> </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May 1, 2023 - May 31, 2023 </w:t>
            </w:r>
          </w:p>
        </w:tc>
        <w:tc>
          <w:tcPr>
            <w:tcW w:w="32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right"/>
              <w:rPr/>
            </w:pPr>
            <w:r>
              <w:rPr/>
              <w:t> </w:t>
            </w:r>
          </w:p>
        </w:tc>
        <w:tc>
          <w:tcPr>
            <w:tcW w:w="12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919,598</w:t>
            </w:r>
          </w:p>
        </w:tc>
        <w:tc>
          <w:tcPr>
            <w:tcW w:w="191" w:type="dxa"/>
            <w:tcBorders/>
            <w:vAlign w:val="center"/>
          </w:tcPr>
          <w:p>
            <w:pPr>
              <w:pStyle w:val="TableContents"/>
              <w:bidi w:val="0"/>
              <w:spacing w:before="0" w:after="0"/>
              <w:ind w:left="0" w:right="0" w:hanging="0"/>
              <w:jc w:val="left"/>
              <w:rPr/>
            </w:pPr>
            <w:r>
              <w:rPr/>
              <w:t>​</w:t>
            </w:r>
          </w:p>
        </w:tc>
      </w:tr>
      <w:tr>
        <w:trPr/>
        <w:tc>
          <w:tcPr>
            <w:tcW w:w="258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June 1, 2023 - June 30, 2023 </w:t>
            </w:r>
          </w:p>
        </w:tc>
        <w:tc>
          <w:tcPr>
            <w:tcW w:w="326" w:type="dxa"/>
            <w:tcBorders/>
            <w:shd w:fill="CCEEFF" w:val="clear"/>
            <w:vAlign w:val="center"/>
          </w:tcPr>
          <w:p>
            <w:pPr>
              <w:pStyle w:val="TableContents"/>
              <w:bidi w:val="0"/>
              <w:spacing w:before="0" w:after="0"/>
              <w:ind w:left="0" w:right="0" w:hanging="0"/>
              <w:jc w:val="left"/>
              <w:rPr/>
            </w:pPr>
            <w:r>
              <w:rPr/>
              <w:t> </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pPr>
            <w:r>
              <w:rPr/>
              <w:t> </w:t>
            </w:r>
          </w:p>
        </w:tc>
        <w:tc>
          <w:tcPr>
            <w:tcW w:w="4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919,598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for the quarter</w:t>
            </w:r>
          </w:p>
        </w:tc>
        <w:tc>
          <w:tcPr>
            <w:tcW w:w="326" w:type="dxa"/>
            <w:tcBorders/>
            <w:vAlign w:val="center"/>
          </w:tcPr>
          <w:p>
            <w:pPr>
              <w:pStyle w:val="TableContents"/>
              <w:bidi w:val="0"/>
              <w:spacing w:before="0" w:after="0"/>
              <w:ind w:left="0" w:right="0" w:hanging="0"/>
              <w:jc w:val="left"/>
              <w:rPr/>
            </w:pPr>
            <w:r>
              <w:rPr/>
              <w:t> </w:t>
            </w:r>
          </w:p>
        </w:tc>
        <w:tc>
          <w:tcPr>
            <w:tcW w:w="123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60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919,598</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April 6, 2022, the Company announced that its Board of Directors approved share repurchase program of up to $10.0 million of the Company’s common shares authorized and outstanding in addition to the then remaining $3.8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common shares authorized and available for repurchase under the previous share repurchase plan. The Company’s stock repurchase plan expired on June 30, 2023.</w:t>
      </w:r>
    </w:p>
    <w:p>
      <w:pPr>
        <w:pStyle w:val="TextBody"/>
        <w:bidi w:val="0"/>
        <w:spacing w:before="0" w:after="200"/>
        <w:ind w:left="0" w:right="0" w:hanging="0"/>
        <w:jc w:val="left"/>
        <w:rPr>
          <w:rFonts w:ascii="Times New Roman;Times;serif" w:hAnsi="Times New Roman;Times;serif"/>
          <w:b/>
          <w:sz w:val="20"/>
        </w:rPr>
      </w:pPr>
      <w:bookmarkStart w:id="4361" w:name="Item3DefaultsUponSeniorSecurities_628892"/>
      <w:bookmarkStart w:id="4362" w:name="_4dee99ed_aeab_4d61_bdc0_07f545c201a7"/>
      <w:bookmarkEnd w:id="4361"/>
      <w:bookmarkEnd w:id="4362"/>
      <w:r>
        <w:rPr>
          <w:rFonts w:ascii="Times New Roman;Times;serif" w:hAnsi="Times New Roman;Times;serif"/>
          <w:b/>
          <w:sz w:val="20"/>
        </w:rPr>
        <w:t>Item 3.  Defaults Upon Senior Securities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bookmarkStart w:id="4363" w:name="Item4MineSafetyDisclosures_965935"/>
      <w:bookmarkStart w:id="4364" w:name="_cdf5feea_45f8_4124_a5e1_0d08d09e0679"/>
      <w:bookmarkEnd w:id="4363"/>
      <w:bookmarkEnd w:id="4364"/>
      <w:r>
        <w:rPr>
          <w:rFonts w:ascii="Times New Roman;Times;serif" w:hAnsi="Times New Roman;Times;serif"/>
          <w:b/>
          <w:sz w:val="20"/>
        </w:rPr>
        <w:t>Item 4.  Mine Safety Disclosures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00"/>
        <w:ind w:left="0" w:right="0" w:hanging="0"/>
        <w:jc w:val="left"/>
        <w:rPr>
          <w:rFonts w:ascii="Times New Roman;Times;serif" w:hAnsi="Times New Roman;Times;serif"/>
          <w:b/>
          <w:sz w:val="20"/>
        </w:rPr>
      </w:pPr>
      <w:bookmarkStart w:id="4365" w:name="Item5OtherInformation_988770"/>
      <w:bookmarkStart w:id="4366" w:name="_544f7b11_f65e_4e6d_a43a_8aa2066824c7"/>
      <w:bookmarkEnd w:id="4365"/>
      <w:bookmarkEnd w:id="4366"/>
      <w:r>
        <w:rPr>
          <w:rFonts w:ascii="Times New Roman;Times;serif" w:hAnsi="Times New Roman;Times;serif"/>
          <w:b/>
          <w:sz w:val="20"/>
        </w:rPr>
        <w:t>Item 5.  Other Information</w:t>
      </w:r>
    </w:p>
    <w:tbl>
      <w:tblPr>
        <w:tblW w:w="1727" w:type="dxa"/>
        <w:jc w:val="left"/>
        <w:tblInd w:w="0" w:type="dxa"/>
        <w:tblLayout w:type="fixed"/>
        <w:tblCellMar>
          <w:top w:w="0" w:type="dxa"/>
          <w:left w:w="0" w:type="dxa"/>
          <w:bottom w:w="0" w:type="dxa"/>
          <w:right w:w="0" w:type="dxa"/>
        </w:tblCellMar>
      </w:tblPr>
      <w:tblGrid>
        <w:gridCol w:w="331"/>
        <w:gridCol w:w="139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1742" w:type="dxa"/>
        <w:jc w:val="left"/>
        <w:tblInd w:w="0" w:type="dxa"/>
        <w:tblLayout w:type="fixed"/>
        <w:tblCellMar>
          <w:top w:w="0" w:type="dxa"/>
          <w:left w:w="0" w:type="dxa"/>
          <w:bottom w:w="0" w:type="dxa"/>
          <w:right w:w="0" w:type="dxa"/>
        </w:tblCellMar>
      </w:tblPr>
      <w:tblGrid>
        <w:gridCol w:w="346"/>
        <w:gridCol w:w="13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tbl>
      <w:tblPr>
        <w:tblW w:w="1727" w:type="dxa"/>
        <w:jc w:val="left"/>
        <w:tblInd w:w="0" w:type="dxa"/>
        <w:tblLayout w:type="fixed"/>
        <w:tblCellMar>
          <w:top w:w="0" w:type="dxa"/>
          <w:left w:w="0" w:type="dxa"/>
          <w:bottom w:w="0" w:type="dxa"/>
          <w:right w:w="0" w:type="dxa"/>
        </w:tblCellMar>
      </w:tblPr>
      <w:tblGrid>
        <w:gridCol w:w="331"/>
        <w:gridCol w:w="1396"/>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3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367" w:name="Exhibits"/>
      <w:bookmarkStart w:id="4368" w:name="_55e3b708_71e6_4272_bd1f_f4673d63831b"/>
      <w:bookmarkEnd w:id="4367"/>
      <w:bookmarkEnd w:id="4368"/>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526"/>
        <w:gridCol w:w="326"/>
        <w:gridCol w:w="9353"/>
      </w:tblGrid>
      <w:tr>
        <w:trPr/>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left"/>
              <w:rPr/>
            </w:pPr>
            <w:r>
              <w:rPr/>
              <w:t>​</w:t>
            </w:r>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w:t>
            </w:r>
          </w:p>
        </w:tc>
        <w:tc>
          <w:tcPr>
            <w:tcW w:w="326" w:type="dxa"/>
            <w:tcBorders/>
            <w:vAlign w:val="center"/>
          </w:tcPr>
          <w:p>
            <w:pPr>
              <w:pStyle w:val="TableContents"/>
              <w:bidi w:val="0"/>
              <w:spacing w:before="0" w:after="0"/>
              <w:ind w:left="0" w:right="0" w:hanging="0"/>
              <w:jc w:val="left"/>
              <w:rPr/>
            </w:pPr>
            <w:r>
              <w:rPr/>
              <w:t>    </w:t>
            </w:r>
          </w:p>
        </w:tc>
        <w:tc>
          <w:tcPr>
            <w:tcW w:w="9353"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Articles of Incorporation of FS Bancorp, Inc. (1)</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Bylaws of FS Bancorp, Inc. (2)</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Form of Common Stock Certificate of FS Bancorp, Inc. (1)</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Indenture dated February 10, 2021, by and between FS Bancorp, Inc. and U.S. Bank National Association, as trustee (3)</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Forms of 3.75 Fixed-to-Floating Rate Subordinated Notes due 2031 (included as Exhibit A-1 and Exhibit A-2 to the Indenture filed as Exhibit 4.2 hereto (3)</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Severance Agreement between 1st Security Bank of Washington and Joseph C. Adams (1)</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Form of Change of Control Agreement between 1st Security Bank of Washington and Matthew D. Mullet (1)</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FS Bancorp, Inc. 2013 Equity Incentive Plan (the “2013 Plan”) (4)</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Form of Incentive Stock Option Agreement under the 2013 Plan (4)</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Form of Non-Qualified Stock Option Agreement under the 2013 Plan (4)</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Form of Restricted Stock Agreement under the 2013 Plan (4)</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10.9</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Form of change of control agreement with Donn C. Costa, Dennis O’Leary, Rob Fuller, Erin Burr, Victoria Jarman, Kelli Nielsen, and May-Ling Sowell (5)</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FS Bancorp, Inc. 2018 Equity Incentive Plan (6)</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10.11</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Form of Incentive Stock Option Award Agreement under the 2018 Equity Incentive Plan (6)</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10.12</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Non-Qualified Stock Option Award Agreement under the 2018 Equity Incentive Plan (6)</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10.13</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Form of Restricted Stock Award Agreement under the 2018 Equity Incentive Plan (6)</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10.14</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FS Bancorp, Inc. Nonqualified 2022 Stock Purchase Plan</w:t>
              </w:r>
            </w:hyperlink>
            <w:hyperlink r:id="rId19">
              <w:r>
                <w:rPr>
                  <w:rStyle w:val="InternetLink"/>
                  <w:rFonts w:ascii="Times New Roman;Times;serif" w:hAnsi="Times New Roman;Times;serif"/>
                  <w:caps w:val="false"/>
                  <w:smallCaps w:val="false"/>
                  <w:sz w:val="20"/>
                </w:rPr>
                <w:t xml:space="preserve"> </w:t>
              </w:r>
            </w:hyperlink>
            <w:hyperlink r:id="rId20">
              <w:r>
                <w:rPr>
                  <w:rStyle w:val="InternetLink"/>
                  <w:rFonts w:ascii="Times New Roman;Times;serif" w:hAnsi="Times New Roman;Times;serif"/>
                  <w:b w:val="false"/>
                  <w:i w:val="false"/>
                  <w:caps w:val="false"/>
                  <w:smallCaps w:val="false"/>
                  <w:sz w:val="20"/>
                </w:rPr>
                <w:t>(7)</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10.15</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Form of Enrollment/Change Form under the FS Bancorp, Inc. Nonqualified 2022 Stock Purchase Plan</w:t>
              </w:r>
            </w:hyperlink>
            <w:hyperlink r:id="rId22">
              <w:r>
                <w:rPr>
                  <w:rStyle w:val="InternetLink"/>
                  <w:rFonts w:ascii="Times New Roman;Times;serif" w:hAnsi="Times New Roman;Times;serif"/>
                  <w:caps w:val="false"/>
                  <w:smallCaps w:val="false"/>
                  <w:sz w:val="20"/>
                </w:rPr>
                <w:t xml:space="preserve"> </w:t>
              </w:r>
            </w:hyperlink>
            <w:hyperlink r:id="rId23">
              <w:r>
                <w:rPr>
                  <w:rStyle w:val="InternetLink"/>
                  <w:rFonts w:ascii="Times New Roman;Times;serif" w:hAnsi="Times New Roman;Times;serif"/>
                  <w:b w:val="false"/>
                  <w:i w:val="false"/>
                  <w:caps w:val="false"/>
                  <w:smallCaps w:val="false"/>
                  <w:sz w:val="20"/>
                </w:rPr>
                <w:t>(7)</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w:anchor="fsbw-2023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w:anchor="fsbw-2023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w:anchor="fsbw-20230630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pPr>
            <w:hyperlink w:anchor="fsbw-20230630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526" w:type="dxa"/>
            <w:tcBorders/>
            <w:vAlign w:val="center"/>
          </w:tcPr>
          <w:p>
            <w:pPr>
              <w:pStyle w:val="TableContents"/>
              <w:bidi w:val="0"/>
              <w:spacing w:before="0" w:after="200"/>
              <w:ind w:left="0" w:right="0" w:hanging="0"/>
              <w:jc w:val="right"/>
              <w:rPr>
                <w:rFonts w:ascii="Times New Roman;Times;serif" w:hAnsi="Times New Roman;Times;serif"/>
                <w:sz w:val="18"/>
              </w:rPr>
            </w:pPr>
            <w:r>
              <w:rPr>
                <w:rFonts w:ascii="Times New Roman;Times;serif" w:hAnsi="Times New Roman;Times;serif"/>
                <w:sz w:val="18"/>
              </w:rPr>
              <w:t>101</w:t>
            </w:r>
          </w:p>
        </w:tc>
        <w:tc>
          <w:tcPr>
            <w:tcW w:w="326" w:type="dxa"/>
            <w:tcBorders/>
            <w:vAlign w:val="center"/>
          </w:tcPr>
          <w:p>
            <w:pPr>
              <w:pStyle w:val="TableContents"/>
              <w:bidi w:val="0"/>
              <w:spacing w:before="0" w:after="200"/>
              <w:ind w:left="0" w:right="0" w:hanging="0"/>
              <w:jc w:val="left"/>
              <w:rPr/>
            </w:pPr>
            <w:r>
              <w:rPr/>
              <w:t>​</w:t>
            </w:r>
          </w:p>
        </w:tc>
        <w:tc>
          <w:tcPr>
            <w:tcW w:w="93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The following materials from the Company’s Quarterly Report on Form 10-Q for the quarter ended June 30, 2023 formatted in Inline Extensible Business Reporting Language (IXBRL): (1) Consolidated Balance Sheets; (2) Consolidated Statements of Income; (3) Consolidated Statements of Comprehensive Income; (4) Consolidated Statements of Changes in Stockholders’ Equity; (5) Consolidated Statements of Cash Flows; and (6) Notes to Consolidated Financial Statements.</w:t>
            </w:r>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 xml:space="preserve">104 </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Registration Statement on Form S-1 (333-177125) filed on October 3, 2011, and incorporated by reference.</w:t>
            </w:r>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Current Report on Form 8-K filed on July 10, 2013 (File No. 001-355589).</w:t>
            </w:r>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Current Report on Form 8-K filed on February 11, 2021 (File No. 001-35589).</w:t>
            </w:r>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Registration Statement on Form S-8 (333-192990) filed on December 20, 2013 and incorporated by reference.</w:t>
            </w:r>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Current Report on Form 8-K filed on February 1, 2016 (File No. 001-35589).</w:t>
            </w:r>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Registration Statement on Form S-8 (333-22513) filed on May 23, 2018.</w:t>
            </w:r>
          </w:p>
        </w:tc>
      </w:tr>
      <w:tr>
        <w:trPr/>
        <w:tc>
          <w:tcPr>
            <w:tcW w:w="5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vAlign w:val="center"/>
          </w:tcPr>
          <w:p>
            <w:pPr>
              <w:pStyle w:val="TableContents"/>
              <w:bidi w:val="0"/>
              <w:spacing w:before="0" w:after="0"/>
              <w:ind w:left="0" w:right="0" w:hanging="0"/>
              <w:jc w:val="left"/>
              <w:rPr/>
            </w:pPr>
            <w:r>
              <w:rPr/>
              <w:t>​</w:t>
            </w:r>
          </w:p>
        </w:tc>
        <w:tc>
          <w:tcPr>
            <w:tcW w:w="9353"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Filed as an exhibit to the Registrant’s Registration Statement on Form S-8 (333-265729) filed on June 21, 2022.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369" w:name="SIGNATURES_161104"/>
      <w:bookmarkStart w:id="4370" w:name="_f063635e_bd61_456f_a1d1_115003611fcb"/>
      <w:bookmarkEnd w:id="4369"/>
      <w:bookmarkEnd w:id="4370"/>
      <w:r>
        <w:rPr>
          <w:rFonts w:ascii="Times New Roman;Times;serif" w:hAnsi="Times New Roman;Times;serif"/>
          <w:b/>
          <w:sz w:val="20"/>
        </w:rPr>
        <w:t>SIGNATURES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123" w:type="dxa"/>
        <w:jc w:val="left"/>
        <w:tblInd w:w="0" w:type="dxa"/>
        <w:tblLayout w:type="fixed"/>
        <w:tblCellMar>
          <w:top w:w="0" w:type="dxa"/>
          <w:left w:w="0" w:type="dxa"/>
          <w:bottom w:w="0" w:type="dxa"/>
          <w:right w:w="0" w:type="dxa"/>
        </w:tblCellMar>
      </w:tblPr>
      <w:tblGrid>
        <w:gridCol w:w="1846"/>
        <w:gridCol w:w="406"/>
        <w:gridCol w:w="3871"/>
      </w:tblGrid>
      <w:tr>
        <w:trPr/>
        <w:tc>
          <w:tcPr>
            <w:tcW w:w="1846" w:type="dxa"/>
            <w:tcBorders/>
            <w:vAlign w:val="center"/>
          </w:tcPr>
          <w:p>
            <w:pPr>
              <w:pStyle w:val="TableContents"/>
              <w:bidi w:val="0"/>
              <w:spacing w:before="0" w:after="0"/>
              <w:ind w:left="0" w:right="0" w:hanging="0"/>
              <w:jc w:val="left"/>
              <w:rPr/>
            </w:pPr>
            <w:r>
              <w:rPr/>
              <w:t>​</w:t>
            </w:r>
          </w:p>
        </w:tc>
        <w:tc>
          <w:tcPr>
            <w:tcW w:w="4277"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200"/>
              <w:ind w:left="0" w:right="0" w:hanging="0"/>
              <w:jc w:val="both"/>
              <w:rPr/>
            </w:pPr>
            <w:r>
              <w:rPr/>
              <w:t>​</w:t>
            </w:r>
          </w:p>
        </w:tc>
        <w:tc>
          <w:tcPr>
            <w:tcW w:w="4277"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FS BANCORP, INC.</w:t>
            </w:r>
          </w:p>
        </w:tc>
      </w:tr>
      <w:tr>
        <w:trPr/>
        <w:tc>
          <w:tcPr>
            <w:tcW w:w="1846" w:type="dxa"/>
            <w:tcBorders/>
            <w:vAlign w:val="center"/>
          </w:tcPr>
          <w:p>
            <w:pPr>
              <w:pStyle w:val="TableContents"/>
              <w:bidi w:val="0"/>
              <w:spacing w:before="0" w:after="200"/>
              <w:ind w:left="0" w:right="0" w:hanging="0"/>
              <w:jc w:val="both"/>
              <w:rPr/>
            </w:pPr>
            <w:r>
              <w:rPr/>
              <w:t>​</w:t>
            </w:r>
          </w:p>
        </w:tc>
        <w:tc>
          <w:tcPr>
            <w:tcW w:w="4277" w:type="dxa"/>
            <w:gridSpan w:val="2"/>
            <w:tcBorders/>
            <w:vAlign w:val="center"/>
          </w:tcPr>
          <w:p>
            <w:pPr>
              <w:pStyle w:val="TableContents"/>
              <w:bidi w:val="0"/>
              <w:spacing w:before="0" w:after="200"/>
              <w:ind w:left="0" w:right="0" w:hanging="0"/>
              <w:jc w:val="both"/>
              <w:rPr/>
            </w:pPr>
            <w:r>
              <w:rPr/>
              <w:t>​</w:t>
            </w:r>
          </w:p>
        </w:tc>
      </w:tr>
      <w:tr>
        <w:trPr/>
        <w:tc>
          <w:tcPr>
            <w:tcW w:w="1846" w:type="dxa"/>
            <w:tcBorders/>
            <w:vAlign w:val="center"/>
          </w:tcPr>
          <w:p>
            <w:pPr>
              <w:pStyle w:val="TableContents"/>
              <w:bidi w:val="0"/>
              <w:spacing w:before="0" w:after="200"/>
              <w:ind w:left="0" w:right="0" w:hanging="0"/>
              <w:jc w:val="both"/>
              <w:rPr/>
            </w:pPr>
            <w:r>
              <w:rPr/>
              <w:t>​</w:t>
            </w:r>
          </w:p>
        </w:tc>
        <w:tc>
          <w:tcPr>
            <w:tcW w:w="4277" w:type="dxa"/>
            <w:gridSpan w:val="2"/>
            <w:tcBorders/>
            <w:vAlign w:val="center"/>
          </w:tcPr>
          <w:p>
            <w:pPr>
              <w:pStyle w:val="TableContents"/>
              <w:bidi w:val="0"/>
              <w:spacing w:before="0" w:after="200"/>
              <w:ind w:left="0" w:right="0" w:hanging="0"/>
              <w:jc w:val="both"/>
              <w:rPr/>
            </w:pPr>
            <w:r>
              <w:rPr/>
              <w:t>​</w:t>
            </w:r>
          </w:p>
        </w:tc>
      </w:tr>
      <w:tr>
        <w:trPr/>
        <w:tc>
          <w:tcPr>
            <w:tcW w:w="1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9, 2023</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/s/Joseph C. Adams</w:t>
            </w:r>
          </w:p>
        </w:tc>
      </w:tr>
      <w:tr>
        <w:trPr/>
        <w:tc>
          <w:tcPr>
            <w:tcW w:w="1846" w:type="dxa"/>
            <w:tcBorders/>
            <w:vAlign w:val="center"/>
          </w:tcPr>
          <w:p>
            <w:pPr>
              <w:pStyle w:val="TableContents"/>
              <w:bidi w:val="0"/>
              <w:spacing w:before="0" w:after="200"/>
              <w:ind w:left="0" w:right="0" w:hanging="0"/>
              <w:jc w:val="both"/>
              <w:rPr/>
            </w:pPr>
            <w:r>
              <w:rPr/>
              <w:t>​</w:t>
            </w:r>
          </w:p>
        </w:tc>
        <w:tc>
          <w:tcPr>
            <w:tcW w:w="406" w:type="dxa"/>
            <w:tcBorders/>
            <w:vAlign w:val="center"/>
          </w:tcPr>
          <w:p>
            <w:pPr>
              <w:pStyle w:val="TableContents"/>
              <w:bidi w:val="0"/>
              <w:spacing w:before="0" w:after="200"/>
              <w:ind w:left="0" w:right="0" w:hanging="0"/>
              <w:jc w:val="both"/>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C. Adams,</w:t>
            </w:r>
          </w:p>
        </w:tc>
      </w:tr>
      <w:tr>
        <w:trPr/>
        <w:tc>
          <w:tcPr>
            <w:tcW w:w="1846" w:type="dxa"/>
            <w:tcBorders/>
            <w:vAlign w:val="center"/>
          </w:tcPr>
          <w:p>
            <w:pPr>
              <w:pStyle w:val="TableContents"/>
              <w:bidi w:val="0"/>
              <w:spacing w:before="0" w:after="200"/>
              <w:ind w:left="0" w:right="0" w:hanging="0"/>
              <w:jc w:val="both"/>
              <w:rPr/>
            </w:pPr>
            <w:r>
              <w:rPr/>
              <w:t>​</w:t>
            </w:r>
          </w:p>
        </w:tc>
        <w:tc>
          <w:tcPr>
            <w:tcW w:w="406" w:type="dxa"/>
            <w:tcBorders/>
            <w:vAlign w:val="center"/>
          </w:tcPr>
          <w:p>
            <w:pPr>
              <w:pStyle w:val="TableContents"/>
              <w:bidi w:val="0"/>
              <w:spacing w:before="0" w:after="200"/>
              <w:ind w:left="0" w:right="0" w:hanging="0"/>
              <w:jc w:val="both"/>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before="0" w:after="200"/>
              <w:ind w:left="0" w:right="0" w:hanging="0"/>
              <w:jc w:val="both"/>
              <w:rPr/>
            </w:pPr>
            <w:r>
              <w:rPr/>
              <w:t>​</w:t>
            </w:r>
          </w:p>
        </w:tc>
        <w:tc>
          <w:tcPr>
            <w:tcW w:w="406" w:type="dxa"/>
            <w:tcBorders/>
            <w:vAlign w:val="center"/>
          </w:tcPr>
          <w:p>
            <w:pPr>
              <w:pStyle w:val="TableContents"/>
              <w:bidi w:val="0"/>
              <w:spacing w:before="0" w:after="200"/>
              <w:ind w:left="0" w:right="0" w:hanging="0"/>
              <w:jc w:val="both"/>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846" w:type="dxa"/>
            <w:tcBorders/>
            <w:vAlign w:val="center"/>
          </w:tcPr>
          <w:p>
            <w:pPr>
              <w:pStyle w:val="TableContents"/>
              <w:bidi w:val="0"/>
              <w:spacing w:before="0" w:after="200"/>
              <w:ind w:left="0" w:right="0" w:hanging="0"/>
              <w:jc w:val="both"/>
              <w:rPr/>
            </w:pPr>
            <w:r>
              <w:rPr/>
              <w:t>​</w:t>
            </w:r>
          </w:p>
        </w:tc>
        <w:tc>
          <w:tcPr>
            <w:tcW w:w="406" w:type="dxa"/>
            <w:tcBorders/>
            <w:vAlign w:val="center"/>
          </w:tcPr>
          <w:p>
            <w:pPr>
              <w:pStyle w:val="TableContents"/>
              <w:bidi w:val="0"/>
              <w:spacing w:before="0" w:after="200"/>
              <w:ind w:left="0" w:right="0" w:hanging="0"/>
              <w:jc w:val="both"/>
              <w:rPr/>
            </w:pPr>
            <w:r>
              <w:rPr/>
              <w:t>​</w:t>
            </w:r>
          </w:p>
        </w:tc>
        <w:tc>
          <w:tcPr>
            <w:tcW w:w="387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9, 2023</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/s/Matthew D. Mullet</w:t>
            </w:r>
          </w:p>
        </w:tc>
      </w:tr>
      <w:tr>
        <w:trPr/>
        <w:tc>
          <w:tcPr>
            <w:tcW w:w="1846" w:type="dxa"/>
            <w:tcBorders/>
            <w:vAlign w:val="center"/>
          </w:tcPr>
          <w:p>
            <w:pPr>
              <w:pStyle w:val="TableContents"/>
              <w:bidi w:val="0"/>
              <w:spacing w:before="0" w:after="200"/>
              <w:ind w:left="0" w:right="0" w:hanging="0"/>
              <w:jc w:val="both"/>
              <w:rPr/>
            </w:pPr>
            <w:r>
              <w:rPr/>
              <w:t>​</w:t>
            </w:r>
          </w:p>
        </w:tc>
        <w:tc>
          <w:tcPr>
            <w:tcW w:w="406" w:type="dxa"/>
            <w:tcBorders/>
            <w:vAlign w:val="center"/>
          </w:tcPr>
          <w:p>
            <w:pPr>
              <w:pStyle w:val="TableContents"/>
              <w:bidi w:val="0"/>
              <w:spacing w:before="0" w:after="200"/>
              <w:ind w:left="0" w:right="0" w:hanging="0"/>
              <w:jc w:val="both"/>
              <w:rPr/>
            </w:pPr>
            <w:r>
              <w:rPr/>
              <w:t>​</w:t>
            </w:r>
          </w:p>
        </w:tc>
        <w:tc>
          <w:tcPr>
            <w:tcW w:w="38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D. Mullet</w:t>
            </w:r>
          </w:p>
        </w:tc>
      </w:tr>
      <w:tr>
        <w:trPr/>
        <w:tc>
          <w:tcPr>
            <w:tcW w:w="1846" w:type="dxa"/>
            <w:tcBorders/>
            <w:vAlign w:val="center"/>
          </w:tcPr>
          <w:p>
            <w:pPr>
              <w:pStyle w:val="TableContents"/>
              <w:bidi w:val="0"/>
              <w:spacing w:before="0" w:after="200"/>
              <w:ind w:left="0" w:right="0" w:hanging="0"/>
              <w:jc w:val="both"/>
              <w:rPr/>
            </w:pPr>
            <w:r>
              <w:rPr/>
              <w:t>​</w:t>
            </w:r>
          </w:p>
        </w:tc>
        <w:tc>
          <w:tcPr>
            <w:tcW w:w="406" w:type="dxa"/>
            <w:tcBorders/>
            <w:vAlign w:val="center"/>
          </w:tcPr>
          <w:p>
            <w:pPr>
              <w:pStyle w:val="TableContents"/>
              <w:bidi w:val="0"/>
              <w:spacing w:before="0" w:after="200"/>
              <w:ind w:left="0" w:right="0" w:hanging="0"/>
              <w:jc w:val="both"/>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Secretary, Treasurer and</w:t>
            </w:r>
          </w:p>
        </w:tc>
      </w:tr>
      <w:tr>
        <w:trPr/>
        <w:tc>
          <w:tcPr>
            <w:tcW w:w="1846" w:type="dxa"/>
            <w:tcBorders/>
            <w:vAlign w:val="center"/>
          </w:tcPr>
          <w:p>
            <w:pPr>
              <w:pStyle w:val="TableContents"/>
              <w:bidi w:val="0"/>
              <w:spacing w:before="0" w:after="200"/>
              <w:ind w:left="0" w:right="0" w:hanging="0"/>
              <w:jc w:val="both"/>
              <w:rPr/>
            </w:pPr>
            <w:r>
              <w:rPr/>
              <w:t>​</w:t>
            </w:r>
          </w:p>
        </w:tc>
        <w:tc>
          <w:tcPr>
            <w:tcW w:w="406" w:type="dxa"/>
            <w:tcBorders/>
            <w:vAlign w:val="center"/>
          </w:tcPr>
          <w:p>
            <w:pPr>
              <w:pStyle w:val="TableContents"/>
              <w:bidi w:val="0"/>
              <w:spacing w:before="0" w:after="200"/>
              <w:ind w:left="0" w:right="0" w:hanging="0"/>
              <w:jc w:val="both"/>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200"/>
              <w:ind w:left="0" w:right="0" w:hanging="0"/>
              <w:jc w:val="both"/>
              <w:rPr/>
            </w:pPr>
            <w:r>
              <w:rPr/>
              <w:t>​</w:t>
            </w:r>
          </w:p>
        </w:tc>
        <w:tc>
          <w:tcPr>
            <w:tcW w:w="406" w:type="dxa"/>
            <w:tcBorders/>
            <w:vAlign w:val="center"/>
          </w:tcPr>
          <w:p>
            <w:pPr>
              <w:pStyle w:val="TableContents"/>
              <w:bidi w:val="0"/>
              <w:spacing w:before="0" w:after="200"/>
              <w:ind w:left="0" w:right="0" w:hanging="0"/>
              <w:jc w:val="both"/>
              <w:rPr/>
            </w:pPr>
            <w:r>
              <w:rPr/>
              <w:t>​</w:t>
            </w:r>
          </w:p>
        </w:tc>
        <w:tc>
          <w:tcPr>
            <w:tcW w:w="38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0"/>
        <w:ind w:left="0" w:right="0" w:hanging="0"/>
        <w:jc w:val="right"/>
        <w:rPr>
          <w:rFonts w:ascii="Times New Roman;Times;serif" w:hAnsi="Times New Roman;Times;serif"/>
          <w:b/>
          <w:sz w:val="20"/>
        </w:rPr>
      </w:pPr>
      <w:bookmarkStart w:id="4371" w:name="fsbw-20230630xex31d1.htm"/>
      <w:bookmarkStart w:id="4372" w:name="ksfsbw20230630xex31d1"/>
      <w:bookmarkEnd w:id="4371"/>
      <w:bookmarkEnd w:id="4372"/>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Joseph C. Adams, certify that:</w:t>
      </w:r>
    </w:p>
    <w:p>
      <w:pPr>
        <w:pStyle w:val="TextBody"/>
        <w:bidi w:val="0"/>
        <w:spacing w:before="0" w:after="0"/>
        <w:ind w:left="0" w:right="0" w:hanging="0"/>
        <w:jc w:val="both"/>
        <w:rPr/>
      </w:pPr>
      <w:r>
        <w:rPr/>
        <w:t>​</w:t>
      </w:r>
    </w:p>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FS Bancorp, Inc.;</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087" w:type="dxa"/>
        <w:jc w:val="center"/>
        <w:tblInd w:w="0" w:type="dxa"/>
        <w:tblLayout w:type="fixed"/>
        <w:tblCellMar>
          <w:top w:w="0" w:type="dxa"/>
          <w:left w:w="0" w:type="dxa"/>
          <w:bottom w:w="0" w:type="dxa"/>
          <w:right w:w="0" w:type="dxa"/>
        </w:tblCellMar>
      </w:tblPr>
      <w:tblGrid>
        <w:gridCol w:w="556"/>
        <w:gridCol w:w="1351"/>
        <w:gridCol w:w="109"/>
        <w:gridCol w:w="207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353060" cy="175260"/>
                      <wp:effectExtent l="0" t="0" r="0" b="0"/>
                      <wp:wrapNone/>
                      <wp:docPr id="802" name="Frame80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857885" cy="175260"/>
                      <wp:effectExtent l="0" t="0" r="0" b="0"/>
                      <wp:wrapNone/>
                      <wp:docPr id="803" name="Frame80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69215" cy="175260"/>
                      <wp:effectExtent l="0" t="0" r="0" b="0"/>
                      <wp:wrapNone/>
                      <wp:docPr id="804" name="Frame8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1315085" cy="175260"/>
                      <wp:effectExtent l="0" t="0" r="0" b="0"/>
                      <wp:wrapNone/>
                      <wp:docPr id="805" name="Frame805"/>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9, 2023</w:t>
            </w:r>
          </w:p>
        </w:tc>
        <w:tc>
          <w:tcPr>
            <w:tcW w:w="109"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/s/Joseph C. Adams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C. Adams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4373" w:name="fsbw-20230630xex31d2.htm"/>
      <w:bookmarkStart w:id="4374" w:name="ksfsbw20230630xex31d2"/>
      <w:bookmarkEnd w:id="4373"/>
      <w:bookmarkEnd w:id="4374"/>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Matthew D. Mullet, certify that:</w:t>
      </w:r>
    </w:p>
    <w:p>
      <w:pPr>
        <w:pStyle w:val="TextBody"/>
        <w:bidi w:val="0"/>
        <w:spacing w:before="0" w:after="0"/>
        <w:ind w:left="0" w:right="0" w:hanging="0"/>
        <w:jc w:val="left"/>
        <w:rPr/>
      </w:pPr>
      <w:r>
        <w:rPr/>
        <w:t>​</w:t>
      </w:r>
    </w:p>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FS Bancorp, Inc.;</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bidi w:val="0"/>
        <w:spacing w:before="0" w:after="0"/>
        <w:ind w:left="1440" w:right="0" w:hanging="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1440" w:right="0" w:hanging="720"/>
        <w:jc w:val="both"/>
        <w:rPr/>
      </w:pPr>
      <w:r>
        <w:rPr/>
        <w:t>​</w:t>
      </w:r>
    </w:p>
    <w:tbl>
      <w:tblPr>
        <w:tblW w:w="4027" w:type="dxa"/>
        <w:jc w:val="center"/>
        <w:tblInd w:w="0" w:type="dxa"/>
        <w:tblLayout w:type="fixed"/>
        <w:tblCellMar>
          <w:top w:w="0" w:type="dxa"/>
          <w:left w:w="0" w:type="dxa"/>
          <w:bottom w:w="0" w:type="dxa"/>
          <w:right w:w="0" w:type="dxa"/>
        </w:tblCellMar>
      </w:tblPr>
      <w:tblGrid>
        <w:gridCol w:w="556"/>
        <w:gridCol w:w="1351"/>
        <w:gridCol w:w="109"/>
        <w:gridCol w:w="201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353060" cy="175260"/>
                      <wp:effectExtent l="0" t="0" r="0" b="0"/>
                      <wp:wrapNone/>
                      <wp:docPr id="806" name="Frame806"/>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857885" cy="175260"/>
                      <wp:effectExtent l="0" t="0" r="0" b="0"/>
                      <wp:wrapNone/>
                      <wp:docPr id="807" name="Frame80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69215" cy="175260"/>
                      <wp:effectExtent l="0" t="0" r="0" b="0"/>
                      <wp:wrapNone/>
                      <wp:docPr id="808" name="Frame8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1276985" cy="175260"/>
                      <wp:effectExtent l="0" t="0" r="0" b="0"/>
                      <wp:wrapNone/>
                      <wp:docPr id="809" name="Frame809"/>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9, 2023</w:t>
            </w:r>
          </w:p>
        </w:tc>
        <w:tc>
          <w:tcPr>
            <w:tcW w:w="109"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/s/Matthew D. Mullet</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D. Mullet</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4375" w:name="fsbw-20230630xex32d1.htm"/>
      <w:bookmarkStart w:id="4376" w:name="ksfsbw20230630xex32d1"/>
      <w:bookmarkEnd w:id="4375"/>
      <w:bookmarkEnd w:id="4376"/>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accompanying Quarterly Report on Form 10-Q of FS Bancorp, Inc. (the “Company”) for the quarter ended June 30, 2023 (the “Report”), I, Joseph C. Adams, in my capacity as Chief Executive Officer of the Company, hereby certify pursuant to 18 U.S.C. Section 1350, as adopted pursuant to Section 906 of the Sarbanes-Oxley Act of 2002,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center"/>
        <w:rPr/>
      </w:pPr>
      <w:r>
        <w:rPr/>
        <w:t>​</w:t>
      </w:r>
    </w:p>
    <w:tbl>
      <w:tblPr>
        <w:tblW w:w="4087" w:type="dxa"/>
        <w:jc w:val="center"/>
        <w:tblInd w:w="0" w:type="dxa"/>
        <w:tblLayout w:type="fixed"/>
        <w:tblCellMar>
          <w:top w:w="0" w:type="dxa"/>
          <w:left w:w="0" w:type="dxa"/>
          <w:bottom w:w="0" w:type="dxa"/>
          <w:right w:w="0" w:type="dxa"/>
        </w:tblCellMar>
      </w:tblPr>
      <w:tblGrid>
        <w:gridCol w:w="556"/>
        <w:gridCol w:w="1351"/>
        <w:gridCol w:w="109"/>
        <w:gridCol w:w="207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353060" cy="175260"/>
                      <wp:effectExtent l="0" t="0" r="0" b="0"/>
                      <wp:wrapNone/>
                      <wp:docPr id="810" name="Frame810"/>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857885" cy="175260"/>
                      <wp:effectExtent l="0" t="0" r="0" b="0"/>
                      <wp:wrapNone/>
                      <wp:docPr id="811" name="Frame811"/>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69215" cy="175260"/>
                      <wp:effectExtent l="0" t="0" r="0" b="0"/>
                      <wp:wrapNone/>
                      <wp:docPr id="812" name="Frame8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315085" cy="175260"/>
                      <wp:effectExtent l="0" t="0" r="0" b="0"/>
                      <wp:wrapNone/>
                      <wp:docPr id="813" name="Frame813"/>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9, 2023</w:t>
            </w:r>
          </w:p>
        </w:tc>
        <w:tc>
          <w:tcPr>
            <w:tcW w:w="109"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/s/Joseph C. Adams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Joseph C. Adams</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4377" w:name="fsbw-20230630xex32d2.htm"/>
      <w:bookmarkStart w:id="4378" w:name="ksfsbw20230630xex32d2"/>
      <w:bookmarkEnd w:id="4377"/>
      <w:bookmarkEnd w:id="4378"/>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accompanying Quarterly Report on Form 10-Q of FS Bancorp, Inc. (the “Company”) for the quarter ended June 30, 2023 (the “Report”), I, Matthew D. Mullet, in my capacity as Chief Financial Officer of the Company, hereby certify pursuant to 18 U.S.C. Section 1350, as adopted pursuant to Section 906 of the Sarbanes-Oxley Act of 2002, that: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both"/>
        <w:rPr/>
      </w:pPr>
      <w:r>
        <w:rPr/>
        <w:t>​</w:t>
      </w:r>
    </w:p>
    <w:tbl>
      <w:tblPr>
        <w:tblW w:w="4027" w:type="dxa"/>
        <w:jc w:val="center"/>
        <w:tblInd w:w="0" w:type="dxa"/>
        <w:tblLayout w:type="fixed"/>
        <w:tblCellMar>
          <w:top w:w="0" w:type="dxa"/>
          <w:left w:w="0" w:type="dxa"/>
          <w:bottom w:w="0" w:type="dxa"/>
          <w:right w:w="0" w:type="dxa"/>
        </w:tblCellMar>
      </w:tblPr>
      <w:tblGrid>
        <w:gridCol w:w="556"/>
        <w:gridCol w:w="1351"/>
        <w:gridCol w:w="109"/>
        <w:gridCol w:w="2011"/>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353060" cy="175260"/>
                      <wp:effectExtent l="0" t="0" r="0" b="0"/>
                      <wp:wrapNone/>
                      <wp:docPr id="814" name="Frame814"/>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857885" cy="175260"/>
                      <wp:effectExtent l="0" t="0" r="0" b="0"/>
                      <wp:wrapNone/>
                      <wp:docPr id="815" name="Frame815"/>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69215" cy="175260"/>
                      <wp:effectExtent l="0" t="0" r="0" b="0"/>
                      <wp:wrapNone/>
                      <wp:docPr id="816" name="Frame8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1276985" cy="175260"/>
                      <wp:effectExtent l="0" t="0" r="0" b="0"/>
                      <wp:wrapNone/>
                      <wp:docPr id="817" name="Frame817"/>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w:t>
            </w:r>
          </w:p>
        </w:tc>
        <w:tc>
          <w:tcPr>
            <w:tcW w:w="13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August 9, 2023</w:t>
            </w:r>
          </w:p>
        </w:tc>
        <w:tc>
          <w:tcPr>
            <w:tcW w:w="109"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/s/Matthew D. Mullet</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D. Mullet</w:t>
            </w:r>
          </w:p>
        </w:tc>
      </w:tr>
      <w:tr>
        <w:trPr/>
        <w:tc>
          <w:tcPr>
            <w:tcW w:w="55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 w:name="Symbol">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30249/000118811211002766/ex3-1.htm" TargetMode="External"/><Relationship Id="rId3" Type="http://schemas.openxmlformats.org/officeDocument/2006/relationships/hyperlink" Target="http://www.sec.gov/Archives/edgar/data/1530249/000093905713000269/ex328k7913.htm" TargetMode="External"/><Relationship Id="rId4" Type="http://schemas.openxmlformats.org/officeDocument/2006/relationships/hyperlink" Target="http://www.sec.gov/Archives/edgar/data/1530249/000118811211002766/ex4-0.htm" TargetMode="External"/><Relationship Id="rId5" Type="http://schemas.openxmlformats.org/officeDocument/2006/relationships/hyperlink" Target="https://www.sec.gov/Archives/edgar/data/1530249/000093905721000056/fsbanc8k21021exh41.htm" TargetMode="External"/><Relationship Id="rId6" Type="http://schemas.openxmlformats.org/officeDocument/2006/relationships/hyperlink" Target="https://www.sec.gov/Archives/edgar/data/1530249/000093905721000056/fsbanc8k21021exh41.htm" TargetMode="External"/><Relationship Id="rId7" Type="http://schemas.openxmlformats.org/officeDocument/2006/relationships/hyperlink" Target="http://www.sec.gov/Archives/edgar/data/1530249/000118811211002766/ex10-1.htm" TargetMode="External"/><Relationship Id="rId8" Type="http://schemas.openxmlformats.org/officeDocument/2006/relationships/hyperlink" Target="http://www.sec.gov/Archives/edgar/data/1530249/000118811211002766/ex10-2.htm" TargetMode="External"/><Relationship Id="rId9" Type="http://schemas.openxmlformats.org/officeDocument/2006/relationships/hyperlink" Target="http://www.sec.gov/Archives/edgar/data/1530249/000093905713000311/fsbancproxy2013.htm" TargetMode="External"/><Relationship Id="rId10" Type="http://schemas.openxmlformats.org/officeDocument/2006/relationships/hyperlink" Target="http://www.sec.gov/Archives/edgar/data/1530249/000093905713000550/ex102s82013fsbancorp.htm" TargetMode="External"/><Relationship Id="rId11" Type="http://schemas.openxmlformats.org/officeDocument/2006/relationships/hyperlink" Target="http://www.sec.gov/Archives/edgar/data/1530249/000093905713000550/ex103s82013fsbancorp.htm" TargetMode="External"/><Relationship Id="rId12" Type="http://schemas.openxmlformats.org/officeDocument/2006/relationships/hyperlink" Target="http://www.sec.gov/Archives/edgar/data/1530249/000093905713000550/ex104s82013fsbancorp.htm" TargetMode="External"/><Relationship Id="rId13" Type="http://schemas.openxmlformats.org/officeDocument/2006/relationships/hyperlink" Target="http://www.sec.gov/Archives/edgar/data/1530249/000093905716000633/exhibit1012116.htm" TargetMode="External"/><Relationship Id="rId14" Type="http://schemas.openxmlformats.org/officeDocument/2006/relationships/hyperlink" Target="http://www.sec.gov/Archives/edgar/data/1530249/000155837018009146/fsbw-20180930ex10108016b.htm" TargetMode="External"/><Relationship Id="rId15" Type="http://schemas.openxmlformats.org/officeDocument/2006/relationships/hyperlink" Target="http://www.sec.gov/Archives/edgar/data/1530249/000093905718000306/fsbancs8518exh102.htm" TargetMode="External"/><Relationship Id="rId16" Type="http://schemas.openxmlformats.org/officeDocument/2006/relationships/hyperlink" Target="http://www.sec.gov/Archives/edgar/data/1530249/000093905718000306/fsbancs8518exh103.htm" TargetMode="External"/><Relationship Id="rId17" Type="http://schemas.openxmlformats.org/officeDocument/2006/relationships/hyperlink" Target="http://www.sec.gov/Archives/edgar/data/1530249/000093905718000306/fsbancs8518exh104.htm" TargetMode="External"/><Relationship Id="rId18" Type="http://schemas.openxmlformats.org/officeDocument/2006/relationships/hyperlink" Target="https://www.sec.gov/Archives/edgar/data/0001530249/000093905722000175/0000939057-22-000175-index.html" TargetMode="External"/><Relationship Id="rId19" Type="http://schemas.openxmlformats.org/officeDocument/2006/relationships/hyperlink" Target="https://www.sec.gov/Archives/edgar/data/0001530249/000093905722000175/0000939057-22-000175-index.html" TargetMode="External"/><Relationship Id="rId20" Type="http://schemas.openxmlformats.org/officeDocument/2006/relationships/hyperlink" Target="https://www.sec.gov/Archives/edgar/data/0001530249/000093905722000175/0000939057-22-000175-index.html" TargetMode="External"/><Relationship Id="rId21" Type="http://schemas.openxmlformats.org/officeDocument/2006/relationships/hyperlink" Target="https://www.sec.gov/Archives/edgar/data/0001530249/000093905722000175/ex102s8622.htm" TargetMode="External"/><Relationship Id="rId22" Type="http://schemas.openxmlformats.org/officeDocument/2006/relationships/hyperlink" Target="https://www.sec.gov/Archives/edgar/data/0001530249/000093905722000175/ex102s8622.htm" TargetMode="External"/><Relationship Id="rId23" Type="http://schemas.openxmlformats.org/officeDocument/2006/relationships/hyperlink" Target="https://www.sec.gov/Archives/edgar/data/0001530249/000093905722000175/ex102s8622.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37195</Words>
  <Characters>204294</Characters>
  <CharactersWithSpaces>247917</CharactersWithSpaces>
  <Paragraphs>17969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