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fsbw20260630_10q.htm"/>
        <w:bookmarkStart w:id="1" w:name="ksfsbw20260630_10q"/>
        <w:bookmarkEnd w:id="0"/>
        <w:bookmarkEnd w:id="1"/>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UNITED STATES</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SECURITIES AND EXCHANGE COMMISSION</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rPr>
        <w:t>FORM</w:t>
      </w:r>
      <w:r>
        <w:rPr>
          <w:rFonts w:ascii="Times New Roman" w:hAnsi="Times New Roman"/>
          <w:caps w:val="false"/>
          <w:smallCaps w:val="false"/>
          <w:sz w:val="24"/>
        </w:rPr>
        <w:t> </w:t>
      </w:r>
      <w:r>
        <w:rPr>
          <w:rFonts w:ascii="Times New Roman" w:hAnsi="Times New Roman"/>
          <w:b/>
          <w:caps w:val="false"/>
          <w:smallCaps w:val="false"/>
          <w:sz w:val="24"/>
        </w:rPr>
        <w:t>10-Q</w:t>
      </w:r>
      <w:r>
        <w:rPr>
          <w:rFonts w:ascii="Times New Roman" w:hAnsi="Times New Roman"/>
          <w:caps w:val="false"/>
          <w:smallCaps w:val="false"/>
          <w:sz w:val="24"/>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QUARTERLY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quarterly period ended June 30,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w:t>
      </w:r>
      <w:r>
        <w:rPr>
          <w:rFonts w:ascii="Times New Roman" w:hAnsi="Times New Roman"/>
          <w:caps w:val="false"/>
          <w:smallCaps w:val="false"/>
          <w:sz w:val="20"/>
          <w:u w:val="single"/>
        </w:rPr>
        <w:t xml:space="preserve">                  </w:t>
      </w:r>
      <w:r>
        <w:rPr>
          <w:rFonts w:ascii="Times New Roman" w:hAnsi="Times New Roman"/>
          <w:caps w:val="false"/>
          <w:smallCaps w:val="false"/>
          <w:sz w:val="20"/>
        </w:rPr>
        <w:t xml:space="preserve">  to </w:t>
      </w:r>
      <w:r>
        <w:rPr>
          <w:rFonts w:ascii="Times New Roman" w:hAnsi="Times New Roman"/>
          <w:caps w:val="false"/>
          <w:smallCaps w:val="false"/>
          <w:sz w:val="20"/>
          <w:u w:val="single"/>
        </w:rPr>
        <w:t xml:space="preserve">                  </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001-35589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4"/>
        </w:rPr>
      </w:pPr>
      <w:r>
        <w:rPr>
          <w:rFonts w:ascii="Times New Roman" w:hAnsi="Times New Roman"/>
          <w:b/>
          <w:caps w:val="false"/>
          <w:smallCaps w:val="false"/>
          <w:sz w:val="24"/>
          <w:u w:val="single"/>
        </w:rPr>
        <w:t>FS BANCORP,</w:t>
      </w:r>
      <w:r>
        <w:rPr>
          <w:rFonts w:ascii="Times New Roman" w:hAnsi="Times New Roman"/>
          <w:caps w:val="false"/>
          <w:smallCaps w:val="false"/>
          <w:sz w:val="24"/>
          <w:u w:val="single"/>
        </w:rPr>
        <w:t> </w:t>
      </w:r>
      <w:r>
        <w:rPr>
          <w:rFonts w:ascii="Times New Roman" w:hAnsi="Times New Roman"/>
          <w:b/>
          <w:caps w:val="false"/>
          <w:smallCaps w:val="false"/>
          <w:sz w:val="24"/>
          <w:u w:val="single"/>
        </w:rPr>
        <w:t>INC.</w:t>
      </w:r>
      <w:r>
        <w:rPr>
          <w:rFonts w:ascii="Times New Roman" w:hAnsi="Times New Roman"/>
          <w:caps w:val="false"/>
          <w:smallCaps w:val="false"/>
          <w:sz w:val="24"/>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690" w:type="dxa"/>
        <w:jc w:val="left"/>
        <w:tblInd w:w="0" w:type="dxa"/>
        <w:tblLayout w:type="fixed"/>
        <w:tblCellMar>
          <w:top w:w="0" w:type="dxa"/>
          <w:left w:w="0" w:type="dxa"/>
          <w:bottom w:w="28" w:type="dxa"/>
          <w:right w:w="0" w:type="dxa"/>
        </w:tblCellMar>
      </w:tblPr>
      <w:tblGrid>
        <w:gridCol w:w="4865"/>
        <w:gridCol w:w="60"/>
        <w:gridCol w:w="2765"/>
      </w:tblGrid>
      <w:tr>
        <w:trPr/>
        <w:tc>
          <w:tcPr>
            <w:tcW w:w="48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45-4585178</w:t>
            </w:r>
          </w:p>
        </w:tc>
      </w:tr>
      <w:tr>
        <w:trPr/>
        <w:tc>
          <w:tcPr>
            <w:tcW w:w="48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765"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6920 220th Street SW, Mountlake Terrace, Washington</w:t>
      </w:r>
      <w:r>
        <w:rPr>
          <w:rFonts w:ascii="Times New Roman" w:hAnsi="Times New Roman"/>
          <w:caps w:val="false"/>
          <w:smallCaps w:val="false"/>
          <w:sz w:val="20"/>
          <w:u w:val="single"/>
        </w:rPr>
        <w:t xml:space="preserve">  </w:t>
      </w:r>
      <w:r>
        <w:rPr>
          <w:rFonts w:ascii="Times New Roman" w:hAnsi="Times New Roman"/>
          <w:b/>
          <w:caps w:val="false"/>
          <w:smallCaps w:val="false"/>
          <w:sz w:val="20"/>
          <w:u w:val="single"/>
        </w:rPr>
        <w:t>98043</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(425) 771</w:t>
      </w:r>
      <w:r>
        <w:rPr>
          <w:rFonts w:ascii="Times New Roman" w:hAnsi="Times New Roman"/>
          <w:caps w:val="false"/>
          <w:smallCaps w:val="false"/>
          <w:sz w:val="20"/>
          <w:u w:val="single"/>
        </w:rPr>
        <w:noBreakHyphen/>
      </w:r>
      <w:r>
        <w:rPr>
          <w:rFonts w:ascii="Times New Roman" w:hAnsi="Times New Roman"/>
          <w:b/>
          <w:caps w:val="false"/>
          <w:smallCaps w:val="false"/>
          <w:sz w:val="20"/>
          <w:u w:val="single"/>
        </w:rPr>
        <w:t>5299</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None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(Former name, former address, and former fiscal year,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Securities registered pursuant to Section 12(b) of the Act:</w:t>
      </w:r>
    </w:p>
    <w:tbl>
      <w:tblPr>
        <w:tblW w:w="8400" w:type="dxa"/>
        <w:jc w:val="left"/>
        <w:tblInd w:w="0" w:type="dxa"/>
        <w:tblLayout w:type="fixed"/>
        <w:tblCellMar>
          <w:top w:w="0" w:type="dxa"/>
          <w:left w:w="0" w:type="dxa"/>
          <w:bottom w:w="28" w:type="dxa"/>
          <w:right w:w="0" w:type="dxa"/>
        </w:tblCellMar>
      </w:tblPr>
      <w:tblGrid>
        <w:gridCol w:w="3290"/>
        <w:gridCol w:w="1535"/>
        <w:gridCol w:w="3575"/>
      </w:tblGrid>
      <w:tr>
        <w:trPr/>
        <w:tc>
          <w:tcPr>
            <w:tcW w:w="3290" w:type="dxa"/>
            <w:tcBorders>
              <w:bottom w:val="single" w:sz="2" w:space="0" w:color="000000"/>
            </w:tcBorders>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bottom w:val="single" w:sz="2" w:space="0" w:color="000000"/>
            </w:tcBorders>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3290" w:type="dxa"/>
            <w:tcBorders>
              <w:bottom w:val="single" w:sz="2" w:space="0" w:color="000000"/>
            </w:tcBorders>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Common Stock, par value $.01 per share</w:t>
            </w:r>
          </w:p>
        </w:tc>
        <w:tc>
          <w:tcPr>
            <w:tcW w:w="1535" w:type="dxa"/>
            <w:tcBorders>
              <w:left w:val="single" w:sz="2" w:space="0" w:color="000000"/>
              <w:bottom w:val="single" w:sz="2" w:space="0" w:color="000000"/>
              <w:right w:val="single" w:sz="2" w:space="0" w:color="000000"/>
            </w:tcBorders>
            <w:tcMar>
              <w:left w:w="28" w:type="dxa"/>
              <w:right w:w="28" w:type="dxa"/>
            </w:tcM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FSBW</w:t>
            </w:r>
          </w:p>
        </w:tc>
        <w:tc>
          <w:tcPr>
            <w:tcW w:w="3575" w:type="dxa"/>
            <w:tcBorders>
              <w:bottom w:val="single" w:sz="2" w:space="0" w:color="000000"/>
            </w:tcBorders>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w:t>
        <w:noBreakHyphen/>
        <w:t>2 of the Exchange Act.</w:t>
      </w:r>
    </w:p>
    <w:p>
      <w:pPr>
        <w:pStyle w:val="TextBody"/>
        <w:bidi w:val="0"/>
        <w:spacing w:before="0" w:after="0"/>
        <w:ind w:left="0" w:right="0" w:hanging="0"/>
        <w:jc w:val="left"/>
        <w:rPr>
          <w:caps w:val="false"/>
          <w:smallCaps w:val="false"/>
        </w:rPr>
      </w:pPr>
      <w:r>
        <w:rPr>
          <w:caps w:val="false"/>
          <w:smallCaps w:val="false"/>
        </w:rPr>
        <w:t> </w:t>
      </w:r>
    </w:p>
    <w:tbl>
      <w:tblPr>
        <w:tblW w:w="4960" w:type="dxa"/>
        <w:jc w:val="left"/>
        <w:tblInd w:w="0" w:type="dxa"/>
        <w:tblLayout w:type="fixed"/>
        <w:tblCellMar>
          <w:top w:w="0" w:type="dxa"/>
          <w:left w:w="0" w:type="dxa"/>
          <w:bottom w:w="0" w:type="dxa"/>
          <w:right w:w="0" w:type="dxa"/>
        </w:tblCellMar>
      </w:tblPr>
      <w:tblGrid>
        <w:gridCol w:w="2450"/>
        <w:gridCol w:w="60"/>
        <w:gridCol w:w="2450"/>
      </w:tblGrid>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60" w:type="dxa"/>
            <w:tcBorders/>
            <w:vAlign w:val="center"/>
          </w:tcPr>
          <w:p>
            <w:pPr>
              <w:pStyle w:val="TableContents"/>
              <w:bidi w:val="0"/>
              <w:spacing w:before="0" w:after="0"/>
              <w:ind w:left="0" w:right="0" w:hanging="0"/>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w:t>
            </w:r>
          </w:p>
        </w:tc>
        <w:tc>
          <w:tcPr>
            <w:tcW w:w="60" w:type="dxa"/>
            <w:tcBorders/>
            <w:vAlign w:val="center"/>
          </w:tcPr>
          <w:p>
            <w:pPr>
              <w:pStyle w:val="TableContents"/>
              <w:bidi w:val="0"/>
              <w:spacing w:before="0" w:after="0"/>
              <w:ind w:left="0" w:right="0" w:hanging="0"/>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c>
          <w:tcPr>
            <w:tcW w:w="60" w:type="dxa"/>
            <w:tcBorders/>
            <w:vAlign w:val="center"/>
          </w:tcPr>
          <w:p>
            <w:pPr>
              <w:pStyle w:val="TableContents"/>
              <w:bidi w:val="0"/>
              <w:spacing w:before="0" w:after="0"/>
              <w:ind w:left="0" w:right="0" w:hanging="0"/>
              <w:jc w:val="left"/>
              <w:rPr/>
            </w:pPr>
            <w:r>
              <w:rPr/>
              <w:t> </w:t>
            </w:r>
          </w:p>
        </w:tc>
        <w:tc>
          <w:tcPr>
            <w:tcW w:w="245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w:t>
        <w:noBreakHyphen/>
        <w:t>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Indicate the number of shares outstanding of each of the issuer’s classes of common stock, as of the latest practicable date: As of August 5, 2026, there were 7,431,972 outstanding shares of the registrant’s common stock.</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2" w:name="toc"/>
      <w:bookmarkEnd w:id="2"/>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Form</w:t>
      </w:r>
      <w:r>
        <w:rPr>
          <w:rFonts w:ascii="Times New Roman" w:hAnsi="Times New Roman"/>
          <w:caps w:val="false"/>
          <w:smallCaps w:val="false"/>
          <w:sz w:val="20"/>
        </w:rPr>
        <w:t> </w:t>
      </w:r>
      <w:r>
        <w:rPr>
          <w:rFonts w:ascii="Times New Roman" w:hAnsi="Times New Roman"/>
          <w:b/>
          <w:caps w:val="false"/>
          <w:smallCaps w:val="false"/>
          <w:sz w:val="20"/>
        </w:rPr>
        <w:t>10</w:t>
      </w:r>
      <w:r>
        <w:rPr>
          <w:rFonts w:ascii="Times New Roman" w:hAnsi="Times New Roman"/>
          <w:caps w:val="false"/>
          <w:smallCaps w:val="false"/>
          <w:sz w:val="20"/>
        </w:rPr>
        <w:noBreakHyphen/>
      </w:r>
      <w:r>
        <w:rPr>
          <w:rFonts w:ascii="Times New Roman" w:hAnsi="Times New Roman"/>
          <w:b/>
          <w:caps w:val="false"/>
          <w:smallCaps w:val="false"/>
          <w:sz w:val="20"/>
        </w:rPr>
        <w:t>Q</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92"/>
        <w:gridCol w:w="60"/>
        <w:gridCol w:w="8217"/>
        <w:gridCol w:w="60"/>
        <w:gridCol w:w="1176"/>
      </w:tblGrid>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Page</w:t>
            </w:r>
            <w:r>
              <w:rPr>
                <w:rFonts w:ascii="Times New Roman" w:hAnsi="Times New Roman"/>
                <w:caps w:val="false"/>
                <w:smallCaps w:val="false"/>
                <w:sz w:val="20"/>
              </w:rPr>
              <w:t> </w:t>
            </w:r>
            <w:r>
              <w:rPr>
                <w:rFonts w:ascii="Times New Roman" w:hAnsi="Times New Roman"/>
                <w:b/>
                <w:caps w:val="false"/>
                <w:smallCaps w:val="false"/>
                <w:sz w:val="20"/>
              </w:rPr>
              <w:t>Number</w:t>
            </w:r>
          </w:p>
        </w:tc>
      </w:tr>
      <w:tr>
        <w:trPr/>
        <w:tc>
          <w:tcPr>
            <w:tcW w:w="692" w:type="dxa"/>
            <w:tcBorders/>
            <w:vAlign w:val="center"/>
          </w:tcPr>
          <w:p>
            <w:pPr>
              <w:pStyle w:val="TableContents"/>
              <w:bidi w:val="0"/>
              <w:spacing w:before="0" w:after="0"/>
              <w:ind w:left="160" w:right="0" w:hanging="160"/>
              <w:jc w:val="left"/>
              <w:rPr>
                <w:rFonts w:ascii="Times New Roman" w:hAnsi="Times New Roman"/>
                <w:caps w:val="false"/>
                <w:smallCaps w:val="false"/>
                <w:sz w:val="20"/>
              </w:rPr>
            </w:pPr>
            <w:r>
              <w:rPr>
                <w:rFonts w:ascii="Times New Roman" w:hAnsi="Times New Roman"/>
                <w:b/>
                <w:caps w:val="false"/>
                <w:smallCaps w:val="false"/>
                <w:sz w:val="20"/>
              </w:rPr>
              <w:t>PART</w:t>
            </w:r>
            <w:r>
              <w:rPr>
                <w:rFonts w:ascii="Times New Roman" w:hAnsi="Times New Roman"/>
                <w:caps w:val="false"/>
                <w:smallCaps w:val="false"/>
                <w:sz w:val="20"/>
              </w:rPr>
              <w:t> </w:t>
            </w:r>
            <w:r>
              <w:rPr>
                <w:rFonts w:ascii="Times New Roman" w:hAnsi="Times New Roman"/>
                <w:b/>
                <w:caps w:val="false"/>
                <w:smallCaps w:val="false"/>
                <w:sz w:val="20"/>
              </w:rPr>
              <w:t>I</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INFORMATION</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160" w:right="0" w:hanging="160"/>
              <w:jc w:val="left"/>
              <w:rPr/>
            </w:pPr>
            <w:hyperlink w:anchor="fs">
              <w:r>
                <w:rPr>
                  <w:rStyle w:val="InternetLink"/>
                  <w:rFonts w:ascii="Times New Roman" w:hAnsi="Times New Roman"/>
                  <w:caps w:val="false"/>
                  <w:smallCaps w:val="false"/>
                  <w:sz w:val="20"/>
                </w:rPr>
                <w:t>Item 1.</w:t>
              </w:r>
            </w:hyperlink>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hyperlink w:anchor="fs">
              <w:r>
                <w:rPr>
                  <w:rStyle w:val="InternetLink"/>
                  <w:rFonts w:ascii="Times New Roman" w:hAnsi="Times New Roman"/>
                  <w:caps w:val="false"/>
                  <w:smallCaps w:val="false"/>
                  <w:sz w:val="20"/>
                </w:rPr>
                <w:t>Financial Statements</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r>
              <w:rPr/>
              <w:t> </w:t>
            </w:r>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rPr>
                <w:t>Consolidated Balance Sheets at June 30, 2026 (Unaudited) and December 31, 2025</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hyperlink w:anchor="bs">
              <w:r>
                <w:rPr>
                  <w:rStyle w:val="InternetLink"/>
                  <w:rFonts w:ascii="Times New Roman" w:hAnsi="Times New Roman"/>
                  <w:caps w:val="false"/>
                  <w:smallCaps w:val="false"/>
                  <w:sz w:val="20"/>
                </w:rPr>
                <w:t>4</w:t>
              </w:r>
            </w:hyperlink>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hyperlink w:anchor="income">
              <w:r>
                <w:rPr>
                  <w:rStyle w:val="InternetLink"/>
                  <w:rFonts w:ascii="Times New Roman" w:hAnsi="Times New Roman"/>
                  <w:caps w:val="false"/>
                  <w:smallCaps w:val="false"/>
                  <w:sz w:val="20"/>
                </w:rPr>
                <w:t>Consolidated Statements of Income for the Three and Six Months Ended June 30, 2026 and 2025 (Unaudited)</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hyperlink w:anchor="income">
              <w:r>
                <w:rPr>
                  <w:rStyle w:val="InternetLink"/>
                  <w:rFonts w:ascii="Times New Roman" w:hAnsi="Times New Roman"/>
                  <w:caps w:val="false"/>
                  <w:smallCaps w:val="false"/>
                  <w:sz w:val="20"/>
                </w:rPr>
                <w:t>5</w:t>
              </w:r>
            </w:hyperlink>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hyperlink w:anchor="compincome">
              <w:r>
                <w:rPr>
                  <w:rStyle w:val="InternetLink"/>
                  <w:rFonts w:ascii="Times New Roman" w:hAnsi="Times New Roman"/>
                  <w:caps w:val="false"/>
                  <w:smallCaps w:val="false"/>
                  <w:sz w:val="20"/>
                </w:rPr>
                <w:t>Consolidated Statements of Comprehensive Income for the Three and Six Months Ended June 30, 2026 and 2025 (Unaudited)</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hyperlink w:anchor="compincome">
              <w:r>
                <w:rPr>
                  <w:rStyle w:val="InternetLink"/>
                  <w:rFonts w:ascii="Times New Roman" w:hAnsi="Times New Roman"/>
                  <w:caps w:val="false"/>
                  <w:smallCaps w:val="false"/>
                  <w:sz w:val="20"/>
                </w:rPr>
                <w:t>6</w:t>
              </w:r>
            </w:hyperlink>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hyperlink w:anchor="equity">
              <w:r>
                <w:rPr>
                  <w:rStyle w:val="InternetLink"/>
                  <w:rFonts w:ascii="Times New Roman" w:hAnsi="Times New Roman"/>
                  <w:caps w:val="false"/>
                  <w:smallCaps w:val="false"/>
                  <w:sz w:val="20"/>
                </w:rPr>
                <w:t>Consolidated Statements of Changes in Stockholders’ Equity for the Three and Six Months Ended June 30, 2026 and 2025 (Unaudited)</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hyperlink w:anchor="equity">
              <w:r>
                <w:rPr>
                  <w:rStyle w:val="InternetLink"/>
                  <w:rFonts w:ascii="Times New Roman" w:hAnsi="Times New Roman"/>
                  <w:caps w:val="false"/>
                  <w:smallCaps w:val="false"/>
                  <w:sz w:val="20"/>
                </w:rPr>
                <w:t>7</w:t>
              </w:r>
            </w:hyperlink>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hyperlink w:anchor="cashflow">
              <w:r>
                <w:rPr>
                  <w:rStyle w:val="InternetLink"/>
                  <w:rFonts w:ascii="Times New Roman" w:hAnsi="Times New Roman"/>
                  <w:caps w:val="false"/>
                  <w:smallCaps w:val="false"/>
                  <w:sz w:val="20"/>
                </w:rPr>
                <w:t>Consolidated Statements of Cash Flows for the Six Months Ended June 30, 2026 and 2025 (Unaudited)</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hyperlink w:anchor="cashflow">
              <w:r>
                <w:rPr>
                  <w:rStyle w:val="InternetLink"/>
                  <w:rFonts w:ascii="Times New Roman" w:hAnsi="Times New Roman"/>
                  <w:caps w:val="false"/>
                  <w:smallCaps w:val="false"/>
                  <w:sz w:val="20"/>
                </w:rPr>
                <w:t>9</w:t>
              </w:r>
            </w:hyperlink>
            <w:r>
              <w:rPr>
                <w:rFonts w:ascii="Times New Roman" w:hAnsi="Times New Roman"/>
                <w:caps w:val="false"/>
                <w:smallCaps w:val="false"/>
                <w:sz w:val="20"/>
              </w:rPr>
              <w:t> - </w:t>
            </w:r>
            <w:hyperlink w:anchor="cashflowsupp">
              <w:r>
                <w:rPr>
                  <w:rStyle w:val="InternetLink"/>
                  <w:rFonts w:ascii="Times New Roman" w:hAnsi="Times New Roman"/>
                  <w:caps w:val="false"/>
                  <w:smallCaps w:val="false"/>
                  <w:sz w:val="20"/>
                </w:rPr>
                <w:t>10</w:t>
              </w:r>
            </w:hyperlink>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rPr>
                <w:t>Notes to Consolidated Financial Statements</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hyperlink w:anchor="notes">
              <w:r>
                <w:rPr>
                  <w:rStyle w:val="InternetLink"/>
                  <w:rFonts w:ascii="Times New Roman" w:hAnsi="Times New Roman"/>
                  <w:caps w:val="false"/>
                  <w:smallCaps w:val="false"/>
                  <w:sz w:val="20"/>
                </w:rPr>
                <w:t>11</w:t>
              </w:r>
            </w:hyperlink>
            <w:r>
              <w:rPr>
                <w:rFonts w:ascii="Times New Roman" w:hAnsi="Times New Roman"/>
                <w:caps w:val="false"/>
                <w:smallCaps w:val="false"/>
                <w:sz w:val="20"/>
              </w:rPr>
              <w:t> - </w:t>
            </w:r>
            <w:hyperlink w:anchor="Notes_end">
              <w:r>
                <w:rPr>
                  <w:rStyle w:val="InternetLink"/>
                  <w:rFonts w:ascii="Times New Roman" w:hAnsi="Times New Roman"/>
                  <w:caps w:val="false"/>
                  <w:smallCaps w:val="false"/>
                  <w:sz w:val="20"/>
                </w:rPr>
                <w:t>50</w:t>
              </w:r>
            </w:hyperlink>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160" w:right="0" w:hanging="160"/>
              <w:jc w:val="left"/>
              <w:rPr/>
            </w:pPr>
            <w:hyperlink w:anchor="mda">
              <w:r>
                <w:rPr>
                  <w:rStyle w:val="InternetLink"/>
                  <w:rFonts w:ascii="Times New Roman" w:hAnsi="Times New Roman"/>
                  <w:caps w:val="false"/>
                  <w:smallCaps w:val="false"/>
                  <w:sz w:val="20"/>
                </w:rPr>
                <w:t>Item 2.</w:t>
              </w:r>
            </w:hyperlink>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hyperlink w:anchor="mda">
              <w:r>
                <w:rPr>
                  <w:rStyle w:val="InternetLink"/>
                  <w:rFonts w:ascii="Times New Roman" w:hAnsi="Times New Roman"/>
                  <w:caps w:val="false"/>
                  <w:smallCaps w:val="false"/>
                  <w:sz w:val="20"/>
                </w:rPr>
                <w:t>Management’s Discussion and Analysis of Financial Condition and Results of Operations</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hyperlink w:anchor="mda">
              <w:r>
                <w:rPr>
                  <w:rStyle w:val="InternetLink"/>
                  <w:rFonts w:ascii="Times New Roman" w:hAnsi="Times New Roman"/>
                  <w:caps w:val="false"/>
                  <w:smallCaps w:val="false"/>
                  <w:sz w:val="20"/>
                </w:rPr>
                <w:t>52</w:t>
              </w:r>
            </w:hyperlink>
            <w:r>
              <w:rPr>
                <w:rFonts w:ascii="Times New Roman" w:hAnsi="Times New Roman"/>
                <w:caps w:val="false"/>
                <w:smallCaps w:val="false"/>
                <w:sz w:val="20"/>
              </w:rPr>
              <w:t> - </w:t>
            </w:r>
            <w:hyperlink w:anchor="mdaend">
              <w:r>
                <w:rPr>
                  <w:rStyle w:val="InternetLink"/>
                  <w:rFonts w:ascii="Times New Roman" w:hAnsi="Times New Roman"/>
                  <w:caps w:val="false"/>
                  <w:smallCaps w:val="false"/>
                  <w:sz w:val="20"/>
                </w:rPr>
                <w:t>66</w:t>
              </w:r>
            </w:hyperlink>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160" w:right="0" w:hanging="160"/>
              <w:jc w:val="left"/>
              <w:rPr/>
            </w:pPr>
            <w:hyperlink w:anchor="qqd">
              <w:r>
                <w:rPr>
                  <w:rStyle w:val="InternetLink"/>
                  <w:rFonts w:ascii="Times New Roman" w:hAnsi="Times New Roman"/>
                  <w:caps w:val="false"/>
                  <w:smallCaps w:val="false"/>
                  <w:sz w:val="20"/>
                </w:rPr>
                <w:t>Item 3.</w:t>
              </w:r>
            </w:hyperlink>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hyperlink w:anchor="qqd">
              <w:r>
                <w:rPr>
                  <w:rStyle w:val="InternetLink"/>
                  <w:rFonts w:ascii="Times New Roman" w:hAnsi="Times New Roman"/>
                  <w:caps w:val="false"/>
                  <w:smallCaps w:val="false"/>
                  <w:sz w:val="20"/>
                </w:rPr>
                <w:t>Quantitative and Qualitative Disclosures About Market Risk</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hyperlink w:anchor="qqd">
              <w:r>
                <w:rPr>
                  <w:rStyle w:val="InternetLink"/>
                  <w:rFonts w:ascii="Times New Roman" w:hAnsi="Times New Roman"/>
                  <w:caps w:val="false"/>
                  <w:smallCaps w:val="false"/>
                  <w:sz w:val="20"/>
                </w:rPr>
                <w:t>67</w:t>
              </w:r>
            </w:hyperlink>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160" w:right="0" w:hanging="160"/>
              <w:jc w:val="left"/>
              <w:rPr/>
            </w:pPr>
            <w:hyperlink w:anchor="controls">
              <w:r>
                <w:rPr>
                  <w:rStyle w:val="InternetLink"/>
                  <w:rFonts w:ascii="Times New Roman" w:hAnsi="Times New Roman"/>
                  <w:caps w:val="false"/>
                  <w:smallCaps w:val="false"/>
                  <w:sz w:val="20"/>
                </w:rPr>
                <w:t>Item 4.</w:t>
              </w:r>
            </w:hyperlink>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hyperlink w:anchor="controls">
              <w:r>
                <w:rPr>
                  <w:rStyle w:val="InternetLink"/>
                  <w:rFonts w:ascii="Times New Roman" w:hAnsi="Times New Roman"/>
                  <w:caps w:val="false"/>
                  <w:smallCaps w:val="false"/>
                  <w:sz w:val="20"/>
                </w:rPr>
                <w:t>Controls and Procedures</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hyperlink w:anchor="controls">
              <w:r>
                <w:rPr>
                  <w:rStyle w:val="InternetLink"/>
                  <w:rFonts w:ascii="Times New Roman" w:hAnsi="Times New Roman"/>
                  <w:caps w:val="false"/>
                  <w:smallCaps w:val="false"/>
                  <w:sz w:val="20"/>
                </w:rPr>
                <w:t>67</w:t>
              </w:r>
            </w:hyperlink>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160" w:right="0" w:hanging="160"/>
              <w:jc w:val="left"/>
              <w:rPr/>
            </w:pPr>
            <w:hyperlink w:anchor="part2other">
              <w:r>
                <w:rPr>
                  <w:rStyle w:val="InternetLink"/>
                  <w:rFonts w:ascii="Times New Roman" w:hAnsi="Times New Roman"/>
                  <w:b/>
                  <w:caps w:val="false"/>
                  <w:smallCaps w:val="false"/>
                  <w:sz w:val="20"/>
                </w:rPr>
                <w:t>PART</w:t>
              </w:r>
            </w:hyperlink>
            <w:hyperlink w:anchor="part2other">
              <w:r>
                <w:rPr>
                  <w:rStyle w:val="InternetLink"/>
                  <w:rFonts w:ascii="Times New Roman" w:hAnsi="Times New Roman"/>
                  <w:caps w:val="false"/>
                  <w:smallCaps w:val="false"/>
                  <w:sz w:val="20"/>
                </w:rPr>
                <w:t> </w:t>
              </w:r>
            </w:hyperlink>
            <w:hyperlink w:anchor="part2other">
              <w:r>
                <w:rPr>
                  <w:rStyle w:val="InternetLink"/>
                  <w:rFonts w:ascii="Times New Roman" w:hAnsi="Times New Roman"/>
                  <w:b/>
                  <w:caps w:val="false"/>
                  <w:smallCaps w:val="false"/>
                  <w:sz w:val="20"/>
                </w:rPr>
                <w:t>II</w:t>
              </w:r>
            </w:hyperlink>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hyperlink w:anchor="part2other">
              <w:r>
                <w:rPr>
                  <w:rStyle w:val="InternetLink"/>
                  <w:rFonts w:ascii="Times New Roman" w:hAnsi="Times New Roman"/>
                  <w:b/>
                  <w:caps w:val="false"/>
                  <w:smallCaps w:val="false"/>
                  <w:sz w:val="20"/>
                </w:rPr>
                <w:t>OTHER INFORMATION</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hyperlink w:anchor="part2other">
              <w:r>
                <w:rPr>
                  <w:rStyle w:val="InternetLink"/>
                  <w:rFonts w:ascii="Times New Roman" w:hAnsi="Times New Roman"/>
                  <w:caps w:val="false"/>
                  <w:smallCaps w:val="false"/>
                  <w:sz w:val="20"/>
                </w:rPr>
                <w:t>67</w:t>
              </w:r>
            </w:hyperlink>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160" w:right="0" w:hanging="160"/>
              <w:jc w:val="left"/>
              <w:rPr/>
            </w:pPr>
            <w:hyperlink w:anchor="legal">
              <w:r>
                <w:rPr>
                  <w:rStyle w:val="InternetLink"/>
                  <w:rFonts w:ascii="Times New Roman" w:hAnsi="Times New Roman"/>
                  <w:caps w:val="false"/>
                  <w:smallCaps w:val="false"/>
                  <w:sz w:val="20"/>
                </w:rPr>
                <w:t>Item 1.</w:t>
              </w:r>
            </w:hyperlink>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hyperlink w:anchor="legal">
              <w:r>
                <w:rPr>
                  <w:rStyle w:val="InternetLink"/>
                  <w:rFonts w:ascii="Times New Roman" w:hAnsi="Times New Roman"/>
                  <w:caps w:val="false"/>
                  <w:smallCaps w:val="false"/>
                  <w:sz w:val="20"/>
                </w:rPr>
                <w:t>Legal Proceedings</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hyperlink w:anchor="legal">
              <w:r>
                <w:rPr>
                  <w:rStyle w:val="InternetLink"/>
                  <w:rFonts w:ascii="Times New Roman" w:hAnsi="Times New Roman"/>
                  <w:caps w:val="false"/>
                  <w:smallCaps w:val="false"/>
                  <w:sz w:val="20"/>
                </w:rPr>
                <w:t>67</w:t>
              </w:r>
            </w:hyperlink>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160" w:right="0" w:hanging="160"/>
              <w:jc w:val="left"/>
              <w:rPr/>
            </w:pPr>
            <w:hyperlink w:anchor="risk">
              <w:r>
                <w:rPr>
                  <w:rStyle w:val="InternetLink"/>
                  <w:rFonts w:ascii="Times New Roman" w:hAnsi="Times New Roman"/>
                  <w:caps w:val="false"/>
                  <w:smallCaps w:val="false"/>
                  <w:sz w:val="20"/>
                </w:rPr>
                <w:t>Item 1A.</w:t>
              </w:r>
            </w:hyperlink>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hyperlink w:anchor="risk">
              <w:r>
                <w:rPr>
                  <w:rStyle w:val="InternetLink"/>
                  <w:rFonts w:ascii="Times New Roman" w:hAnsi="Times New Roman"/>
                  <w:caps w:val="false"/>
                  <w:smallCaps w:val="false"/>
                  <w:sz w:val="20"/>
                </w:rPr>
                <w:t>Risk Factors</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hyperlink w:anchor="risk">
              <w:r>
                <w:rPr>
                  <w:rStyle w:val="InternetLink"/>
                  <w:rFonts w:ascii="Times New Roman" w:hAnsi="Times New Roman"/>
                  <w:caps w:val="false"/>
                  <w:smallCaps w:val="false"/>
                  <w:sz w:val="20"/>
                </w:rPr>
                <w:t>67</w:t>
              </w:r>
            </w:hyperlink>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160" w:right="0" w:hanging="160"/>
              <w:jc w:val="left"/>
              <w:rPr/>
            </w:pPr>
            <w:hyperlink w:anchor="unregistered">
              <w:r>
                <w:rPr>
                  <w:rStyle w:val="InternetLink"/>
                  <w:rFonts w:ascii="Times New Roman" w:hAnsi="Times New Roman"/>
                  <w:caps w:val="false"/>
                  <w:smallCaps w:val="false"/>
                  <w:sz w:val="20"/>
                </w:rPr>
                <w:t>Item 2.</w:t>
              </w:r>
            </w:hyperlink>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hyperlink w:anchor="unregistered">
              <w:r>
                <w:rPr>
                  <w:rStyle w:val="InternetLink"/>
                  <w:rFonts w:ascii="Times New Roman" w:hAnsi="Times New Roman"/>
                  <w:caps w:val="false"/>
                  <w:smallCaps w:val="false"/>
                  <w:sz w:val="20"/>
                </w:rPr>
                <w:t>Unregistered Sales of Equity Securities and Use of Proceeds</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hyperlink w:anchor="unregistered">
              <w:r>
                <w:rPr>
                  <w:rStyle w:val="InternetLink"/>
                  <w:rFonts w:ascii="Times New Roman" w:hAnsi="Times New Roman"/>
                  <w:caps w:val="false"/>
                  <w:smallCaps w:val="false"/>
                  <w:sz w:val="20"/>
                </w:rPr>
                <w:t>68</w:t>
              </w:r>
            </w:hyperlink>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160" w:right="0" w:hanging="160"/>
              <w:jc w:val="left"/>
              <w:rPr/>
            </w:pPr>
            <w:hyperlink w:anchor="defaults">
              <w:r>
                <w:rPr>
                  <w:rStyle w:val="InternetLink"/>
                  <w:rFonts w:ascii="Times New Roman" w:hAnsi="Times New Roman"/>
                  <w:caps w:val="false"/>
                  <w:smallCaps w:val="false"/>
                  <w:sz w:val="20"/>
                </w:rPr>
                <w:t>Item 3.</w:t>
              </w:r>
            </w:hyperlink>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hyperlink w:anchor="defaults">
              <w:r>
                <w:rPr>
                  <w:rStyle w:val="InternetLink"/>
                  <w:rFonts w:ascii="Times New Roman" w:hAnsi="Times New Roman"/>
                  <w:caps w:val="false"/>
                  <w:smallCaps w:val="false"/>
                  <w:sz w:val="20"/>
                </w:rPr>
                <w:t>Defaults Upon Senior Securities</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hyperlink w:anchor="defaults">
              <w:r>
                <w:rPr>
                  <w:rStyle w:val="InternetLink"/>
                  <w:rFonts w:ascii="Times New Roman" w:hAnsi="Times New Roman"/>
                  <w:caps w:val="false"/>
                  <w:smallCaps w:val="false"/>
                  <w:sz w:val="20"/>
                </w:rPr>
                <w:t>68</w:t>
              </w:r>
            </w:hyperlink>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160" w:right="0" w:hanging="160"/>
              <w:jc w:val="left"/>
              <w:rPr/>
            </w:pPr>
            <w:hyperlink w:anchor="mine">
              <w:r>
                <w:rPr>
                  <w:rStyle w:val="InternetLink"/>
                  <w:rFonts w:ascii="Times New Roman" w:hAnsi="Times New Roman"/>
                  <w:caps w:val="false"/>
                  <w:smallCaps w:val="false"/>
                  <w:sz w:val="20"/>
                </w:rPr>
                <w:t>Item 4.</w:t>
              </w:r>
            </w:hyperlink>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hyperlink w:anchor="mine">
              <w:r>
                <w:rPr>
                  <w:rStyle w:val="InternetLink"/>
                  <w:rFonts w:ascii="Times New Roman" w:hAnsi="Times New Roman"/>
                  <w:caps w:val="false"/>
                  <w:smallCaps w:val="false"/>
                  <w:sz w:val="20"/>
                </w:rPr>
                <w:t>Mine Safety Disclosures</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hyperlink w:anchor="mine">
              <w:r>
                <w:rPr>
                  <w:rStyle w:val="InternetLink"/>
                  <w:rFonts w:ascii="Times New Roman" w:hAnsi="Times New Roman"/>
                  <w:caps w:val="false"/>
                  <w:smallCaps w:val="false"/>
                  <w:sz w:val="20"/>
                </w:rPr>
                <w:t>68</w:t>
              </w:r>
            </w:hyperlink>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160" w:right="0" w:hanging="160"/>
              <w:jc w:val="left"/>
              <w:rPr/>
            </w:pPr>
            <w:hyperlink w:anchor="otheritem5">
              <w:r>
                <w:rPr>
                  <w:rStyle w:val="InternetLink"/>
                  <w:rFonts w:ascii="Times New Roman" w:hAnsi="Times New Roman"/>
                  <w:caps w:val="false"/>
                  <w:smallCaps w:val="false"/>
                  <w:sz w:val="20"/>
                </w:rPr>
                <w:t>Item 5.</w:t>
              </w:r>
            </w:hyperlink>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hyperlink w:anchor="otheritem5">
              <w:r>
                <w:rPr>
                  <w:rStyle w:val="InternetLink"/>
                  <w:rFonts w:ascii="Times New Roman" w:hAnsi="Times New Roman"/>
                  <w:caps w:val="false"/>
                  <w:smallCaps w:val="false"/>
                  <w:sz w:val="20"/>
                </w:rPr>
                <w:t>Other Information</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hyperlink w:anchor="otheritem5">
              <w:r>
                <w:rPr>
                  <w:rStyle w:val="InternetLink"/>
                  <w:rFonts w:ascii="Times New Roman" w:hAnsi="Times New Roman"/>
                  <w:caps w:val="false"/>
                  <w:smallCaps w:val="false"/>
                  <w:sz w:val="20"/>
                </w:rPr>
                <w:t>68</w:t>
              </w:r>
            </w:hyperlink>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692" w:type="dxa"/>
            <w:tcBorders/>
            <w:vAlign w:val="center"/>
          </w:tcPr>
          <w:p>
            <w:pPr>
              <w:pStyle w:val="TableContents"/>
              <w:bidi w:val="0"/>
              <w:spacing w:before="0" w:after="0"/>
              <w:ind w:left="160" w:right="0" w:hanging="160"/>
              <w:jc w:val="left"/>
              <w:rPr/>
            </w:pPr>
            <w:hyperlink w:anchor="exhibits">
              <w:r>
                <w:rPr>
                  <w:rStyle w:val="InternetLink"/>
                  <w:rFonts w:ascii="Times New Roman" w:hAnsi="Times New Roman"/>
                  <w:caps w:val="false"/>
                  <w:smallCaps w:val="false"/>
                  <w:sz w:val="20"/>
                </w:rPr>
                <w:t>Item 6.</w:t>
              </w:r>
            </w:hyperlink>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hyperlink w:anchor="exhibits">
              <w:r>
                <w:rPr>
                  <w:rStyle w:val="InternetLink"/>
                  <w:rFonts w:ascii="Times New Roman" w:hAnsi="Times New Roman"/>
                  <w:caps w:val="false"/>
                  <w:smallCaps w:val="false"/>
                  <w:sz w:val="20"/>
                </w:rPr>
                <w:t>Exhibits</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hyperlink w:anchor="exhibits">
              <w:r>
                <w:rPr>
                  <w:rStyle w:val="InternetLink"/>
                  <w:rFonts w:ascii="Times New Roman" w:hAnsi="Times New Roman"/>
                  <w:caps w:val="false"/>
                  <w:smallCaps w:val="false"/>
                  <w:sz w:val="20"/>
                </w:rPr>
                <w:t>69</w:t>
              </w:r>
            </w:hyperlink>
          </w:p>
        </w:tc>
      </w:tr>
      <w:tr>
        <w:trPr/>
        <w:tc>
          <w:tcPr>
            <w:tcW w:w="692"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217"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left"/>
              <w:rPr/>
            </w:pPr>
            <w:r>
              <w:rPr/>
              <w:t> </w:t>
            </w:r>
          </w:p>
        </w:tc>
      </w:tr>
      <w:tr>
        <w:trPr/>
        <w:tc>
          <w:tcPr>
            <w:tcW w:w="8969" w:type="dxa"/>
            <w:gridSpan w:val="3"/>
            <w:tcBorders/>
            <w:vAlign w:val="center"/>
          </w:tcPr>
          <w:p>
            <w:pPr>
              <w:pStyle w:val="TableContents"/>
              <w:bidi w:val="0"/>
              <w:spacing w:before="0" w:after="0"/>
              <w:ind w:left="160" w:right="0" w:hanging="160"/>
              <w:jc w:val="left"/>
              <w:rPr/>
            </w:pPr>
            <w:hyperlink w:anchor="signatures">
              <w:r>
                <w:rPr>
                  <w:rStyle w:val="InternetLink"/>
                  <w:rFonts w:ascii="Times New Roman" w:hAnsi="Times New Roman"/>
                  <w:b/>
                  <w:caps w:val="false"/>
                  <w:smallCaps w:val="false"/>
                  <w:sz w:val="20"/>
                </w:rPr>
                <w:t>SIGNATURES</w:t>
              </w:r>
            </w:hyperlink>
          </w:p>
        </w:tc>
        <w:tc>
          <w:tcPr>
            <w:tcW w:w="60" w:type="dxa"/>
            <w:tcBorders/>
            <w:vAlign w:val="center"/>
          </w:tcPr>
          <w:p>
            <w:pPr>
              <w:pStyle w:val="TableContents"/>
              <w:bidi w:val="0"/>
              <w:spacing w:before="0" w:after="0"/>
              <w:ind w:left="0" w:right="0" w:hanging="0"/>
              <w:jc w:val="left"/>
              <w:rPr/>
            </w:pPr>
            <w:r>
              <w:rPr/>
              <w:t> </w:t>
            </w:r>
          </w:p>
        </w:tc>
        <w:tc>
          <w:tcPr>
            <w:tcW w:w="1176" w:type="dxa"/>
            <w:tcBorders/>
            <w:vAlign w:val="center"/>
          </w:tcPr>
          <w:p>
            <w:pPr>
              <w:pStyle w:val="TableContents"/>
              <w:bidi w:val="0"/>
              <w:spacing w:before="0" w:after="0"/>
              <w:ind w:left="0" w:right="0" w:hanging="0"/>
              <w:jc w:val="right"/>
              <w:rPr/>
            </w:pPr>
            <w:hyperlink w:anchor="signatures">
              <w:r>
                <w:rPr>
                  <w:rStyle w:val="InternetLink"/>
                  <w:rFonts w:ascii="Times New Roman" w:hAnsi="Times New Roman"/>
                  <w:caps w:val="false"/>
                  <w:smallCaps w:val="false"/>
                  <w:sz w:val="20"/>
                </w:rPr>
                <w:t>70</w:t>
              </w:r>
            </w:hyperlink>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When we refer to “FS Bancorp” in this report, we are referring to FS Bancorp, Inc. When we refer to “Bank” or “1st Security Bank” in this report, we are referring to 1st Security Bank of Washington, the wholly owned subsidiary of FS Bancorp. As used in this report, the terms “we,” “our,” “us,” and “Company” refer to FS Bancorp, Inc. and its consolidated subsidiary, 1st Security Bank of Washington, unless the context indicates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3" w:name="fs"/>
      <w:bookmarkEnd w:id="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 Financial Statements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4" w:name="bs"/>
      <w:bookmarkEnd w:id="4"/>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 AND SUBSIDIARY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BALANCE SHEETS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(In thousands, except shares and per share amounts) (Unaudited)</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977"/>
        <w:gridCol w:w="23"/>
        <w:gridCol w:w="125"/>
        <w:gridCol w:w="845"/>
        <w:gridCol w:w="80"/>
        <w:gridCol w:w="23"/>
        <w:gridCol w:w="135"/>
        <w:gridCol w:w="915"/>
        <w:gridCol w:w="82"/>
      </w:tblGrid>
      <w:tr>
        <w:trPr/>
        <w:tc>
          <w:tcPr>
            <w:tcW w:w="7977"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5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w:t>
            </w:r>
          </w:p>
        </w:tc>
        <w:tc>
          <w:tcPr>
            <w:tcW w:w="82" w:type="dxa"/>
            <w:tcBorders/>
            <w:vAlign w:val="center"/>
          </w:tcPr>
          <w:p>
            <w:pPr>
              <w:pStyle w:val="TableContents"/>
              <w:bidi w:val="0"/>
              <w:spacing w:before="0" w:after="0"/>
              <w:ind w:left="0" w:right="0" w:hanging="0"/>
              <w:jc w:val="left"/>
              <w:rPr/>
            </w:pPr>
            <w:r>
              <w:rPr/>
              <w:t>​</w:t>
            </w:r>
          </w:p>
        </w:tc>
      </w:tr>
      <w:tr>
        <w:trPr/>
        <w:tc>
          <w:tcPr>
            <w:tcW w:w="7977"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due from banks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12,835</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13,504</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Interest-bearing deposits at other financial institutions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16,875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14,715</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cash and cash equivalents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29,710</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28,219</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Securities available-for-sale, at fair value (amortized cost of $291,317 and $310,097, net of allowance for credit losses of $0 and $0, respectively)</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269,460</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9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288,667</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Securities held-to-maturity, at amortized cost (fair value of $35,183 and $34,396, net of allowance for credit losses of $277 and $277, respectively)</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34,845</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33,224</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held for sale, at fair value</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30,548</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9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43,705</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receivable, net of allowance for credit losses of $31,165 and $31,937 (includes loans of $13,159 and $13,183, at fair value, respectively)</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2,628,992</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2,623,172</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receivable</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14,263</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9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14,614</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Premises and equipment, net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43,455</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44,065</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Long-lived assets held for sale</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3,258</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9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3,258</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right-of-use (“ROU”) assets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6,655</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5,789</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Home Loan Bank (“FHLB”) stock, at cost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14,420</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9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7,971</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Deferred tax asset, net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6,441</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6,993</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Bank owned life insurance (“BOLI”), net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36,771</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9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36,249</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 servicing rights (“MSRs”), held at the lower of cost or fair value</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8,912</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8,608</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Goodwill</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3,592</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9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3,592</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Core deposit intangible, net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9,052</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10,518</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38,706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38,203</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3,179,080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3,196,847</w:t>
            </w:r>
          </w:p>
        </w:tc>
        <w:tc>
          <w:tcPr>
            <w:tcW w:w="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915" w:type="dxa"/>
            <w:tcBorders/>
            <w:shd w:fill="FFFFFF" w:val="clear"/>
            <w:vAlign w:val="center"/>
          </w:tcPr>
          <w:p>
            <w:pPr>
              <w:pStyle w:val="TableContents"/>
              <w:bidi w:val="0"/>
              <w:spacing w:before="0" w:after="0"/>
              <w:ind w:left="0" w:right="0" w:hanging="0"/>
              <w:jc w:val="left"/>
              <w:rPr/>
            </w:pPr>
            <w:r>
              <w:rPr/>
              <w:t>​</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Deposits: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left"/>
              <w:rPr/>
            </w:pPr>
            <w:r>
              <w:rPr/>
              <w:t>​</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Noninterest-bearing accounts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641,856</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658,123</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Interest-bearing accounts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1,807,026</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2,015,519</w:t>
            </w:r>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deposits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2,448,882</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9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2,673,642</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Borrowings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324,500</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129,305</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Subordinated notes: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915" w:type="dxa"/>
            <w:tcBorders/>
            <w:shd w:fill="FFFFFF" w:val="clear"/>
            <w:vAlign w:val="center"/>
          </w:tcPr>
          <w:p>
            <w:pPr>
              <w:pStyle w:val="TableContents"/>
              <w:bidi w:val="0"/>
              <w:spacing w:before="0" w:after="0"/>
              <w:ind w:left="0" w:right="0" w:hanging="0"/>
              <w:jc w:val="left"/>
              <w:rPr/>
            </w:pPr>
            <w:r>
              <w:rPr/>
              <w:t>​</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283"/>
              <w:ind w:left="360" w:right="0" w:hanging="0"/>
              <w:jc w:val="left"/>
              <w:rPr>
                <w:rFonts w:ascii="Times New Roman" w:hAnsi="Times New Roman"/>
                <w:caps w:val="false"/>
                <w:smallCaps w:val="false"/>
                <w:sz w:val="20"/>
              </w:rPr>
            </w:pPr>
            <w:r>
              <w:rPr>
                <w:rFonts w:ascii="Times New Roman" w:hAnsi="Times New Roman"/>
                <w:caps w:val="false"/>
                <w:smallCaps w:val="false"/>
                <w:sz w:val="20"/>
              </w:rPr>
              <w:t>Principal amount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50,000</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50,000</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Unamortized debt issuance costs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(339</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977"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subordinated notes less unamortized debt issuance costs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49,694</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49,661</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6,753</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9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5,889</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30,291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30,656</w:t>
            </w:r>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2,860,120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2,889,153</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COMMITMENTS AND CONTINGENCIES (NOTE 8)</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STOCKHOLDERS’ EQUITY</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915" w:type="dxa"/>
            <w:tcBorders/>
            <w:shd w:fill="FFFFFF" w:val="clear"/>
            <w:vAlign w:val="center"/>
          </w:tcPr>
          <w:p>
            <w:pPr>
              <w:pStyle w:val="TableContents"/>
              <w:bidi w:val="0"/>
              <w:spacing w:before="0" w:after="0"/>
              <w:ind w:left="0" w:right="0" w:hanging="0"/>
              <w:jc w:val="left"/>
              <w:rPr/>
            </w:pPr>
            <w:r>
              <w:rPr/>
              <w:t>​</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Preferred stock, $.01 par value; 5,000,000 shares authorized; none issued or outstanding</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pPr>
            <w:r>
              <w:rPr/>
              <w:t>—</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$.01 par value; 45,000,000 shares authorized; 7,423,772 and 7,507,519 shares issued and outstanding at June 30, 2026 and December 31, 2025, respectively</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9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Additional paid-in capital</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40,886</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9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43,251</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797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Retained earnings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291,635</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9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280,197</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Accumulated other comprehensive loss, net of tax</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(13,635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(15,829</w:t>
            </w:r>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977"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stockholders’ equity</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318,960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307,694</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7977"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TOTAL LIABILITIES AND STOCKHOLDERS’ EQUITY</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3,179,080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3,196,847</w:t>
            </w:r>
          </w:p>
        </w:tc>
        <w:tc>
          <w:tcPr>
            <w:tcW w:w="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See accompanying notes to these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5" w:name="income"/>
      <w:bookmarkEnd w:id="5"/>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 AND SUBSIDIARY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INCOME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(In thousands, except shares and per share amounts) (Unaudited)</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218"/>
        <w:gridCol w:w="23"/>
        <w:gridCol w:w="162"/>
        <w:gridCol w:w="768"/>
        <w:gridCol w:w="103"/>
        <w:gridCol w:w="29"/>
        <w:gridCol w:w="162"/>
        <w:gridCol w:w="768"/>
        <w:gridCol w:w="23"/>
        <w:gridCol w:w="23"/>
        <w:gridCol w:w="154"/>
        <w:gridCol w:w="730"/>
        <w:gridCol w:w="98"/>
        <w:gridCol w:w="28"/>
        <w:gridCol w:w="154"/>
        <w:gridCol w:w="730"/>
        <w:gridCol w:w="32"/>
      </w:tblGrid>
      <w:tr>
        <w:trPr/>
        <w:tc>
          <w:tcPr>
            <w:tcW w:w="6218"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99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Three Months Ended June 30,</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89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Six Months Ended June 30,</w:t>
            </w:r>
          </w:p>
        </w:tc>
        <w:tc>
          <w:tcPr>
            <w:tcW w:w="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218"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INTEREST INCOME</w:t>
            </w:r>
          </w:p>
        </w:tc>
        <w:tc>
          <w:tcPr>
            <w:tcW w:w="23" w:type="dxa"/>
            <w:tcBorders/>
            <w:vAlign w:val="center"/>
          </w:tcPr>
          <w:p>
            <w:pPr>
              <w:pStyle w:val="TableContents"/>
              <w:bidi w:val="0"/>
              <w:spacing w:before="0" w:after="0"/>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10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9" w:type="dxa"/>
            <w:tcBorders/>
            <w:vAlign w:val="center"/>
          </w:tcPr>
          <w:p>
            <w:pPr>
              <w:pStyle w:val="TableContents"/>
              <w:bidi w:val="0"/>
              <w:spacing w:before="0" w:after="0"/>
              <w:ind w:left="0" w:right="0" w:hanging="0"/>
              <w:jc w:val="left"/>
              <w:rPr/>
            </w:pPr>
            <w:r>
              <w:rPr/>
              <w:t>​</w:t>
            </w:r>
          </w:p>
        </w:tc>
        <w:tc>
          <w:tcPr>
            <w:tcW w:w="9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9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8" w:type="dxa"/>
            <w:tcBorders/>
            <w:vAlign w:val="center"/>
          </w:tcPr>
          <w:p>
            <w:pPr>
              <w:pStyle w:val="TableContents"/>
              <w:bidi w:val="0"/>
              <w:spacing w:before="0" w:after="0"/>
              <w:ind w:left="0" w:right="0" w:hanging="0"/>
              <w:jc w:val="left"/>
              <w:rPr/>
            </w:pPr>
            <w:r>
              <w:rPr/>
              <w:t>​</w:t>
            </w:r>
          </w:p>
        </w:tc>
        <w:tc>
          <w:tcPr>
            <w:tcW w:w="8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3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621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Loans receivable, including fees</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46,202</w:t>
            </w:r>
          </w:p>
        </w:tc>
        <w:tc>
          <w:tcPr>
            <w:tcW w:w="10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45,038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92,214</w:t>
            </w:r>
          </w:p>
        </w:tc>
        <w:tc>
          <w:tcPr>
            <w:tcW w:w="98"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88,340</w:t>
            </w:r>
          </w:p>
        </w:tc>
        <w:tc>
          <w:tcPr>
            <w:tcW w:w="32" w:type="dxa"/>
            <w:tcBorders/>
            <w:shd w:fill="CCEEFF" w:val="clear"/>
            <w:vAlign w:val="center"/>
          </w:tcPr>
          <w:p>
            <w:pPr>
              <w:pStyle w:val="TableContents"/>
              <w:bidi w:val="0"/>
              <w:spacing w:before="0" w:after="0"/>
              <w:ind w:left="0" w:right="0" w:hanging="0"/>
              <w:jc w:val="left"/>
              <w:rPr/>
            </w:pPr>
            <w:r>
              <w:rPr/>
              <w:t>​</w:t>
            </w:r>
          </w:p>
        </w:tc>
      </w:tr>
      <w:tr>
        <w:trPr/>
        <w:tc>
          <w:tcPr>
            <w:tcW w:w="621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and dividends on investment securities, cash and cash equivalents, and interest-bearing deposits at other financial institutions</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3,460</w:t>
            </w:r>
          </w:p>
        </w:tc>
        <w:tc>
          <w:tcPr>
            <w:tcW w:w="1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3,665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6,781</w:t>
            </w:r>
          </w:p>
        </w:tc>
        <w:tc>
          <w:tcPr>
            <w:tcW w:w="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7,150</w:t>
            </w:r>
          </w:p>
        </w:tc>
        <w:tc>
          <w:tcPr>
            <w:tcW w:w="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621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interest and dividend income</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49,662</w:t>
            </w:r>
          </w:p>
        </w:tc>
        <w:tc>
          <w:tcPr>
            <w:tcW w:w="1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48,703</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98,995</w:t>
            </w:r>
          </w:p>
        </w:tc>
        <w:tc>
          <w:tcPr>
            <w:tcW w:w="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95,490</w:t>
            </w:r>
          </w:p>
        </w:tc>
        <w:tc>
          <w:tcPr>
            <w:tcW w:w="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621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INTEREST EXPENSE</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left"/>
              <w:rPr/>
            </w:pPr>
            <w:r>
              <w:rPr/>
              <w:t>​</w:t>
            </w:r>
          </w:p>
        </w:tc>
        <w:tc>
          <w:tcPr>
            <w:tcW w:w="10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left"/>
              <w:rPr/>
            </w:pPr>
            <w:r>
              <w:rPr/>
              <w:t>​</w:t>
            </w:r>
          </w:p>
        </w:tc>
        <w:tc>
          <w:tcPr>
            <w:tcW w:w="98" w:type="dxa"/>
            <w:tcBorders/>
            <w:shd w:fill="FFFFFF" w:val="cle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left"/>
              <w:rPr/>
            </w:pPr>
            <w:r>
              <w:rPr/>
              <w:t>​</w:t>
            </w:r>
          </w:p>
        </w:tc>
        <w:tc>
          <w:tcPr>
            <w:tcW w:w="32" w:type="dxa"/>
            <w:tcBorders/>
            <w:shd w:fill="FFFFFF" w:val="clear"/>
            <w:vAlign w:val="center"/>
          </w:tcPr>
          <w:p>
            <w:pPr>
              <w:pStyle w:val="TableContents"/>
              <w:bidi w:val="0"/>
              <w:spacing w:before="0" w:after="0"/>
              <w:ind w:left="0" w:right="0" w:hanging="0"/>
              <w:jc w:val="left"/>
              <w:rPr/>
            </w:pPr>
            <w:r>
              <w:rPr/>
              <w:t>​</w:t>
            </w:r>
          </w:p>
        </w:tc>
      </w:tr>
      <w:tr>
        <w:trPr/>
        <w:tc>
          <w:tcPr>
            <w:tcW w:w="621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Deposits</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13,908</w:t>
            </w:r>
          </w:p>
        </w:tc>
        <w:tc>
          <w:tcPr>
            <w:tcW w:w="10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14,520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28,621</w:t>
            </w:r>
          </w:p>
        </w:tc>
        <w:tc>
          <w:tcPr>
            <w:tcW w:w="98"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27,578</w:t>
            </w:r>
          </w:p>
        </w:tc>
        <w:tc>
          <w:tcPr>
            <w:tcW w:w="32" w:type="dxa"/>
            <w:tcBorders/>
            <w:shd w:fill="CCEEFF" w:val="clear"/>
            <w:vAlign w:val="center"/>
          </w:tcPr>
          <w:p>
            <w:pPr>
              <w:pStyle w:val="TableContents"/>
              <w:bidi w:val="0"/>
              <w:spacing w:before="0" w:after="0"/>
              <w:ind w:left="0" w:right="0" w:hanging="0"/>
              <w:jc w:val="left"/>
              <w:rPr/>
            </w:pPr>
            <w:r>
              <w:rPr/>
              <w:t>​</w:t>
            </w:r>
          </w:p>
        </w:tc>
      </w:tr>
      <w:tr>
        <w:trPr/>
        <w:tc>
          <w:tcPr>
            <w:tcW w:w="621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Borrowings</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2,197</w:t>
            </w:r>
          </w:p>
        </w:tc>
        <w:tc>
          <w:tcPr>
            <w:tcW w:w="10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3,581</w:t>
            </w:r>
          </w:p>
        </w:tc>
        <w:tc>
          <w:tcPr>
            <w:tcW w:w="98" w:type="dxa"/>
            <w:tcBorders/>
            <w:shd w:fill="FFFFFF" w:val="cle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3,848</w:t>
            </w:r>
          </w:p>
        </w:tc>
        <w:tc>
          <w:tcPr>
            <w:tcW w:w="32" w:type="dxa"/>
            <w:tcBorders/>
            <w:shd w:fill="FFFFFF" w:val="clear"/>
            <w:vAlign w:val="center"/>
          </w:tcPr>
          <w:p>
            <w:pPr>
              <w:pStyle w:val="TableContents"/>
              <w:bidi w:val="0"/>
              <w:spacing w:before="0" w:after="0"/>
              <w:ind w:left="0" w:right="0" w:hanging="0"/>
              <w:jc w:val="left"/>
              <w:rPr/>
            </w:pPr>
            <w:r>
              <w:rPr/>
              <w:t>​</w:t>
            </w:r>
          </w:p>
        </w:tc>
      </w:tr>
      <w:tr>
        <w:trPr/>
        <w:tc>
          <w:tcPr>
            <w:tcW w:w="621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Subordinated notes</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909</w:t>
            </w:r>
          </w:p>
        </w:tc>
        <w:tc>
          <w:tcPr>
            <w:tcW w:w="1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1,600</w:t>
            </w:r>
          </w:p>
        </w:tc>
        <w:tc>
          <w:tcPr>
            <w:tcW w:w="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971</w:t>
            </w:r>
          </w:p>
        </w:tc>
        <w:tc>
          <w:tcPr>
            <w:tcW w:w="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621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interest expense</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17,014</w:t>
            </w:r>
          </w:p>
        </w:tc>
        <w:tc>
          <w:tcPr>
            <w:tcW w:w="1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16,591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33,802</w:t>
            </w:r>
          </w:p>
        </w:tc>
        <w:tc>
          <w:tcPr>
            <w:tcW w:w="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32,397</w:t>
            </w:r>
          </w:p>
        </w:tc>
        <w:tc>
          <w:tcPr>
            <w:tcW w:w="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6218"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INTEREST INCOME</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32,648</w:t>
            </w:r>
          </w:p>
        </w:tc>
        <w:tc>
          <w:tcPr>
            <w:tcW w:w="10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32,112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65,193</w:t>
            </w:r>
          </w:p>
        </w:tc>
        <w:tc>
          <w:tcPr>
            <w:tcW w:w="98"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63,093</w:t>
            </w:r>
          </w:p>
        </w:tc>
        <w:tc>
          <w:tcPr>
            <w:tcW w:w="32" w:type="dxa"/>
            <w:tcBorders/>
            <w:shd w:fill="CCEEFF" w:val="clear"/>
            <w:vAlign w:val="center"/>
          </w:tcPr>
          <w:p>
            <w:pPr>
              <w:pStyle w:val="TableContents"/>
              <w:bidi w:val="0"/>
              <w:spacing w:before="0" w:after="0"/>
              <w:ind w:left="0" w:right="0" w:hanging="0"/>
              <w:jc w:val="left"/>
              <w:rPr/>
            </w:pPr>
            <w:r>
              <w:rPr/>
              <w:t>​</w:t>
            </w:r>
          </w:p>
        </w:tc>
      </w:tr>
      <w:tr>
        <w:trPr/>
        <w:tc>
          <w:tcPr>
            <w:tcW w:w="621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PROVISION FOR CREDIT LOSSES</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2,641</w:t>
            </w:r>
          </w:p>
        </w:tc>
        <w:tc>
          <w:tcPr>
            <w:tcW w:w="1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5,170</w:t>
            </w:r>
          </w:p>
        </w:tc>
        <w:tc>
          <w:tcPr>
            <w:tcW w:w="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3,613</w:t>
            </w:r>
          </w:p>
        </w:tc>
        <w:tc>
          <w:tcPr>
            <w:tcW w:w="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6218"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INTEREST INCOME AFTER PROVISION FOR CREDIT LOSSES</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30,007</w:t>
            </w:r>
          </w:p>
        </w:tc>
        <w:tc>
          <w:tcPr>
            <w:tcW w:w="1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30,091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60,023</w:t>
            </w:r>
          </w:p>
        </w:tc>
        <w:tc>
          <w:tcPr>
            <w:tcW w:w="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59,480</w:t>
            </w:r>
          </w:p>
        </w:tc>
        <w:tc>
          <w:tcPr>
            <w:tcW w:w="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621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NONINTEREST INCOME</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left"/>
              <w:rPr/>
            </w:pPr>
            <w:r>
              <w:rPr/>
              <w:t>​</w:t>
            </w:r>
          </w:p>
        </w:tc>
        <w:tc>
          <w:tcPr>
            <w:tcW w:w="10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left"/>
              <w:rPr/>
            </w:pPr>
            <w:r>
              <w:rPr/>
              <w:t>​</w:t>
            </w:r>
          </w:p>
        </w:tc>
        <w:tc>
          <w:tcPr>
            <w:tcW w:w="98" w:type="dxa"/>
            <w:tcBorders/>
            <w:shd w:fill="FFFFFF" w:val="cle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left"/>
              <w:rPr/>
            </w:pPr>
            <w:r>
              <w:rPr/>
              <w:t>​</w:t>
            </w:r>
          </w:p>
        </w:tc>
        <w:tc>
          <w:tcPr>
            <w:tcW w:w="32" w:type="dxa"/>
            <w:tcBorders/>
            <w:shd w:fill="FFFFFF" w:val="clear"/>
            <w:vAlign w:val="center"/>
          </w:tcPr>
          <w:p>
            <w:pPr>
              <w:pStyle w:val="TableContents"/>
              <w:bidi w:val="0"/>
              <w:spacing w:before="0" w:after="0"/>
              <w:ind w:left="0" w:right="0" w:hanging="0"/>
              <w:jc w:val="left"/>
              <w:rPr/>
            </w:pPr>
            <w:r>
              <w:rPr/>
              <w:t>​</w:t>
            </w:r>
          </w:p>
        </w:tc>
      </w:tr>
      <w:tr>
        <w:trPr/>
        <w:tc>
          <w:tcPr>
            <w:tcW w:w="621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Service charges and fee income</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2,281</w:t>
            </w:r>
          </w:p>
        </w:tc>
        <w:tc>
          <w:tcPr>
            <w:tcW w:w="10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2,323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4,354</w:t>
            </w:r>
          </w:p>
        </w:tc>
        <w:tc>
          <w:tcPr>
            <w:tcW w:w="98"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4,567</w:t>
            </w:r>
          </w:p>
        </w:tc>
        <w:tc>
          <w:tcPr>
            <w:tcW w:w="32" w:type="dxa"/>
            <w:tcBorders/>
            <w:shd w:fill="CCEEFF" w:val="clear"/>
            <w:vAlign w:val="center"/>
          </w:tcPr>
          <w:p>
            <w:pPr>
              <w:pStyle w:val="TableContents"/>
              <w:bidi w:val="0"/>
              <w:spacing w:before="0" w:after="0"/>
              <w:ind w:left="0" w:right="0" w:hanging="0"/>
              <w:jc w:val="left"/>
              <w:rPr/>
            </w:pPr>
            <w:r>
              <w:rPr/>
              <w:t>​</w:t>
            </w:r>
          </w:p>
        </w:tc>
      </w:tr>
      <w:tr>
        <w:trPr/>
        <w:tc>
          <w:tcPr>
            <w:tcW w:w="621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Gain on sale of loans</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2,581</w:t>
            </w:r>
          </w:p>
        </w:tc>
        <w:tc>
          <w:tcPr>
            <w:tcW w:w="10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4,965</w:t>
            </w:r>
          </w:p>
        </w:tc>
        <w:tc>
          <w:tcPr>
            <w:tcW w:w="98" w:type="dxa"/>
            <w:tcBorders/>
            <w:shd w:fill="FFFFFF" w:val="cle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3,672</w:t>
            </w:r>
          </w:p>
        </w:tc>
        <w:tc>
          <w:tcPr>
            <w:tcW w:w="32" w:type="dxa"/>
            <w:tcBorders/>
            <w:shd w:fill="FFFFFF" w:val="clear"/>
            <w:vAlign w:val="center"/>
          </w:tcPr>
          <w:p>
            <w:pPr>
              <w:pStyle w:val="TableContents"/>
              <w:bidi w:val="0"/>
              <w:spacing w:before="0" w:after="0"/>
              <w:ind w:left="0" w:right="0" w:hanging="0"/>
              <w:jc w:val="left"/>
              <w:rPr/>
            </w:pPr>
            <w:r>
              <w:rPr/>
              <w:t>​</w:t>
            </w:r>
          </w:p>
        </w:tc>
      </w:tr>
      <w:tr>
        <w:trPr/>
        <w:tc>
          <w:tcPr>
            <w:tcW w:w="621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Earnings on cash surrender value of BOLI</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263</w:t>
            </w:r>
          </w:p>
        </w:tc>
        <w:tc>
          <w:tcPr>
            <w:tcW w:w="10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522</w:t>
            </w:r>
          </w:p>
        </w:tc>
        <w:tc>
          <w:tcPr>
            <w:tcW w:w="98"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505</w:t>
            </w:r>
          </w:p>
        </w:tc>
        <w:tc>
          <w:tcPr>
            <w:tcW w:w="32" w:type="dxa"/>
            <w:tcBorders/>
            <w:shd w:fill="CCEEFF" w:val="clear"/>
            <w:vAlign w:val="center"/>
          </w:tcPr>
          <w:p>
            <w:pPr>
              <w:pStyle w:val="TableContents"/>
              <w:bidi w:val="0"/>
              <w:spacing w:before="0" w:after="0"/>
              <w:ind w:left="0" w:right="0" w:hanging="0"/>
              <w:jc w:val="left"/>
              <w:rPr/>
            </w:pPr>
            <w:r>
              <w:rPr/>
              <w:t>​</w:t>
            </w:r>
          </w:p>
        </w:tc>
      </w:tr>
      <w:tr>
        <w:trPr/>
        <w:tc>
          <w:tcPr>
            <w:tcW w:w="621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noninterest income</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1,025</w:t>
            </w:r>
          </w:p>
        </w:tc>
        <w:tc>
          <w:tcPr>
            <w:tcW w:w="1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1,710</w:t>
            </w:r>
          </w:p>
        </w:tc>
        <w:tc>
          <w:tcPr>
            <w:tcW w:w="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1,552</w:t>
            </w:r>
          </w:p>
        </w:tc>
        <w:tc>
          <w:tcPr>
            <w:tcW w:w="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621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noninterest income</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6,150</w:t>
            </w:r>
          </w:p>
        </w:tc>
        <w:tc>
          <w:tcPr>
            <w:tcW w:w="1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5,170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11,551</w:t>
            </w:r>
          </w:p>
        </w:tc>
        <w:tc>
          <w:tcPr>
            <w:tcW w:w="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10,296</w:t>
            </w:r>
          </w:p>
        </w:tc>
        <w:tc>
          <w:tcPr>
            <w:tcW w:w="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621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NONINTEREST EXPENSE</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left"/>
              <w:rPr/>
            </w:pPr>
            <w:r>
              <w:rPr/>
              <w:t>​</w:t>
            </w:r>
          </w:p>
        </w:tc>
        <w:tc>
          <w:tcPr>
            <w:tcW w:w="10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left"/>
              <w:rPr/>
            </w:pPr>
            <w:r>
              <w:rPr/>
              <w:t>​</w:t>
            </w:r>
          </w:p>
        </w:tc>
        <w:tc>
          <w:tcPr>
            <w:tcW w:w="98" w:type="dxa"/>
            <w:tcBorders/>
            <w:shd w:fill="FFFFFF" w:val="cle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left"/>
              <w:rPr/>
            </w:pPr>
            <w:r>
              <w:rPr/>
              <w:t>​</w:t>
            </w:r>
          </w:p>
        </w:tc>
        <w:tc>
          <w:tcPr>
            <w:tcW w:w="32" w:type="dxa"/>
            <w:tcBorders/>
            <w:shd w:fill="FFFFFF" w:val="clear"/>
            <w:vAlign w:val="center"/>
          </w:tcPr>
          <w:p>
            <w:pPr>
              <w:pStyle w:val="TableContents"/>
              <w:bidi w:val="0"/>
              <w:spacing w:before="0" w:after="0"/>
              <w:ind w:left="0" w:right="0" w:hanging="0"/>
              <w:jc w:val="left"/>
              <w:rPr/>
            </w:pPr>
            <w:r>
              <w:rPr/>
              <w:t>​</w:t>
            </w:r>
          </w:p>
        </w:tc>
      </w:tr>
      <w:tr>
        <w:trPr/>
        <w:tc>
          <w:tcPr>
            <w:tcW w:w="621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Salaries and benefits</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15,570</w:t>
            </w:r>
          </w:p>
        </w:tc>
        <w:tc>
          <w:tcPr>
            <w:tcW w:w="10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14,088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30,424</w:t>
            </w:r>
          </w:p>
        </w:tc>
        <w:tc>
          <w:tcPr>
            <w:tcW w:w="98"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28,621</w:t>
            </w:r>
          </w:p>
        </w:tc>
        <w:tc>
          <w:tcPr>
            <w:tcW w:w="32" w:type="dxa"/>
            <w:tcBorders/>
            <w:shd w:fill="CCEEFF" w:val="clear"/>
            <w:vAlign w:val="center"/>
          </w:tcPr>
          <w:p>
            <w:pPr>
              <w:pStyle w:val="TableContents"/>
              <w:bidi w:val="0"/>
              <w:spacing w:before="0" w:after="0"/>
              <w:ind w:left="0" w:right="0" w:hanging="0"/>
              <w:jc w:val="left"/>
              <w:rPr/>
            </w:pPr>
            <w:r>
              <w:rPr/>
              <w:t>​</w:t>
            </w:r>
          </w:p>
        </w:tc>
      </w:tr>
      <w:tr>
        <w:trPr/>
        <w:tc>
          <w:tcPr>
            <w:tcW w:w="621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Operations</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2,699</w:t>
            </w:r>
          </w:p>
        </w:tc>
        <w:tc>
          <w:tcPr>
            <w:tcW w:w="10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3,824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6,079</w:t>
            </w:r>
          </w:p>
        </w:tc>
        <w:tc>
          <w:tcPr>
            <w:tcW w:w="98" w:type="dxa"/>
            <w:tcBorders/>
            <w:shd w:fill="FFFFFF" w:val="cle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7,269</w:t>
            </w:r>
          </w:p>
        </w:tc>
        <w:tc>
          <w:tcPr>
            <w:tcW w:w="32" w:type="dxa"/>
            <w:tcBorders/>
            <w:shd w:fill="FFFFFF" w:val="clear"/>
            <w:vAlign w:val="center"/>
          </w:tcPr>
          <w:p>
            <w:pPr>
              <w:pStyle w:val="TableContents"/>
              <w:bidi w:val="0"/>
              <w:spacing w:before="0" w:after="0"/>
              <w:ind w:left="0" w:right="0" w:hanging="0"/>
              <w:jc w:val="left"/>
              <w:rPr/>
            </w:pPr>
            <w:r>
              <w:rPr/>
              <w:t>​</w:t>
            </w:r>
          </w:p>
        </w:tc>
      </w:tr>
      <w:tr>
        <w:trPr/>
        <w:tc>
          <w:tcPr>
            <w:tcW w:w="621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Occupancy</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1,938</w:t>
            </w:r>
          </w:p>
        </w:tc>
        <w:tc>
          <w:tcPr>
            <w:tcW w:w="10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1,780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3,814</w:t>
            </w:r>
          </w:p>
        </w:tc>
        <w:tc>
          <w:tcPr>
            <w:tcW w:w="98"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3,496</w:t>
            </w:r>
          </w:p>
        </w:tc>
        <w:tc>
          <w:tcPr>
            <w:tcW w:w="32" w:type="dxa"/>
            <w:tcBorders/>
            <w:shd w:fill="CCEEFF" w:val="clear"/>
            <w:vAlign w:val="center"/>
          </w:tcPr>
          <w:p>
            <w:pPr>
              <w:pStyle w:val="TableContents"/>
              <w:bidi w:val="0"/>
              <w:spacing w:before="0" w:after="0"/>
              <w:ind w:left="0" w:right="0" w:hanging="0"/>
              <w:jc w:val="left"/>
              <w:rPr/>
            </w:pPr>
            <w:r>
              <w:rPr/>
              <w:t>​</w:t>
            </w:r>
          </w:p>
        </w:tc>
      </w:tr>
      <w:tr>
        <w:trPr/>
        <w:tc>
          <w:tcPr>
            <w:tcW w:w="621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Data processing</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1,826</w:t>
            </w:r>
          </w:p>
        </w:tc>
        <w:tc>
          <w:tcPr>
            <w:tcW w:w="10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3,420</w:t>
            </w:r>
          </w:p>
        </w:tc>
        <w:tc>
          <w:tcPr>
            <w:tcW w:w="98" w:type="dxa"/>
            <w:tcBorders/>
            <w:shd w:fill="FFFFFF" w:val="cle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4,182</w:t>
            </w:r>
          </w:p>
        </w:tc>
        <w:tc>
          <w:tcPr>
            <w:tcW w:w="32" w:type="dxa"/>
            <w:tcBorders/>
            <w:shd w:fill="FFFFFF" w:val="clear"/>
            <w:vAlign w:val="center"/>
          </w:tcPr>
          <w:p>
            <w:pPr>
              <w:pStyle w:val="TableContents"/>
              <w:bidi w:val="0"/>
              <w:spacing w:before="0" w:after="0"/>
              <w:ind w:left="0" w:right="0" w:hanging="0"/>
              <w:jc w:val="left"/>
              <w:rPr/>
            </w:pPr>
            <w:r>
              <w:rPr/>
              <w:t>​</w:t>
            </w:r>
          </w:p>
        </w:tc>
      </w:tr>
      <w:tr>
        <w:trPr/>
        <w:tc>
          <w:tcPr>
            <w:tcW w:w="621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Loan costs</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900</w:t>
            </w:r>
          </w:p>
        </w:tc>
        <w:tc>
          <w:tcPr>
            <w:tcW w:w="10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1,782</w:t>
            </w:r>
          </w:p>
        </w:tc>
        <w:tc>
          <w:tcPr>
            <w:tcW w:w="98"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1,267</w:t>
            </w:r>
          </w:p>
        </w:tc>
        <w:tc>
          <w:tcPr>
            <w:tcW w:w="32" w:type="dxa"/>
            <w:tcBorders/>
            <w:shd w:fill="CCEEFF" w:val="clear"/>
            <w:vAlign w:val="center"/>
          </w:tcPr>
          <w:p>
            <w:pPr>
              <w:pStyle w:val="TableContents"/>
              <w:bidi w:val="0"/>
              <w:spacing w:before="0" w:after="0"/>
              <w:ind w:left="0" w:right="0" w:hanging="0"/>
              <w:jc w:val="left"/>
              <w:rPr/>
            </w:pPr>
            <w:r>
              <w:rPr/>
              <w:t>​</w:t>
            </w:r>
          </w:p>
        </w:tc>
      </w:tr>
      <w:tr>
        <w:trPr/>
        <w:tc>
          <w:tcPr>
            <w:tcW w:w="621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Professional and board fees</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1,060</w:t>
            </w:r>
          </w:p>
        </w:tc>
        <w:tc>
          <w:tcPr>
            <w:tcW w:w="10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2,074</w:t>
            </w:r>
          </w:p>
        </w:tc>
        <w:tc>
          <w:tcPr>
            <w:tcW w:w="98" w:type="dxa"/>
            <w:tcBorders/>
            <w:shd w:fill="FFFFFF" w:val="cle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2,342</w:t>
            </w:r>
          </w:p>
        </w:tc>
        <w:tc>
          <w:tcPr>
            <w:tcW w:w="32" w:type="dxa"/>
            <w:tcBorders/>
            <w:shd w:fill="FFFFFF" w:val="clear"/>
            <w:vAlign w:val="center"/>
          </w:tcPr>
          <w:p>
            <w:pPr>
              <w:pStyle w:val="TableContents"/>
              <w:bidi w:val="0"/>
              <w:spacing w:before="0" w:after="0"/>
              <w:ind w:left="0" w:right="0" w:hanging="0"/>
              <w:jc w:val="left"/>
              <w:rPr/>
            </w:pPr>
            <w:r>
              <w:rPr/>
              <w:t>​</w:t>
            </w:r>
          </w:p>
        </w:tc>
      </w:tr>
      <w:tr>
        <w:trPr/>
        <w:tc>
          <w:tcPr>
            <w:tcW w:w="621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Federal Deposit Insurance Corporation (“FDIC”) insurance</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531</w:t>
            </w:r>
          </w:p>
        </w:tc>
        <w:tc>
          <w:tcPr>
            <w:tcW w:w="10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1,158</w:t>
            </w:r>
          </w:p>
        </w:tc>
        <w:tc>
          <w:tcPr>
            <w:tcW w:w="98"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1,092</w:t>
            </w:r>
          </w:p>
        </w:tc>
        <w:tc>
          <w:tcPr>
            <w:tcW w:w="32" w:type="dxa"/>
            <w:tcBorders/>
            <w:shd w:fill="CCEEFF" w:val="clear"/>
            <w:vAlign w:val="center"/>
          </w:tcPr>
          <w:p>
            <w:pPr>
              <w:pStyle w:val="TableContents"/>
              <w:bidi w:val="0"/>
              <w:spacing w:before="0" w:after="0"/>
              <w:ind w:left="0" w:right="0" w:hanging="0"/>
              <w:jc w:val="left"/>
              <w:rPr/>
            </w:pPr>
            <w:r>
              <w:rPr/>
              <w:t>​</w:t>
            </w:r>
          </w:p>
        </w:tc>
      </w:tr>
      <w:tr>
        <w:trPr/>
        <w:tc>
          <w:tcPr>
            <w:tcW w:w="621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Marketing and advertising</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445</w:t>
            </w:r>
          </w:p>
        </w:tc>
        <w:tc>
          <w:tcPr>
            <w:tcW w:w="10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754</w:t>
            </w:r>
          </w:p>
        </w:tc>
        <w:tc>
          <w:tcPr>
            <w:tcW w:w="98" w:type="dxa"/>
            <w:tcBorders/>
            <w:shd w:fill="FFFFFF" w:val="cle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619</w:t>
            </w:r>
          </w:p>
        </w:tc>
        <w:tc>
          <w:tcPr>
            <w:tcW w:w="32" w:type="dxa"/>
            <w:tcBorders/>
            <w:shd w:fill="FFFFFF" w:val="clear"/>
            <w:vAlign w:val="center"/>
          </w:tcPr>
          <w:p>
            <w:pPr>
              <w:pStyle w:val="TableContents"/>
              <w:bidi w:val="0"/>
              <w:spacing w:before="0" w:after="0"/>
              <w:ind w:left="0" w:right="0" w:hanging="0"/>
              <w:jc w:val="left"/>
              <w:rPr/>
            </w:pPr>
            <w:r>
              <w:rPr/>
              <w:t>​</w:t>
            </w:r>
          </w:p>
        </w:tc>
      </w:tr>
      <w:tr>
        <w:trPr/>
        <w:tc>
          <w:tcPr>
            <w:tcW w:w="621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Acquisition costs</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417</w:t>
            </w:r>
          </w:p>
        </w:tc>
        <w:tc>
          <w:tcPr>
            <w:tcW w:w="10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712</w:t>
            </w:r>
          </w:p>
        </w:tc>
        <w:tc>
          <w:tcPr>
            <w:tcW w:w="98"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pPr>
            <w:r>
              <w:rPr/>
              <w:t>—</w:t>
            </w:r>
          </w:p>
        </w:tc>
        <w:tc>
          <w:tcPr>
            <w:tcW w:w="32" w:type="dxa"/>
            <w:tcBorders/>
            <w:shd w:fill="CCEEFF" w:val="clear"/>
            <w:vAlign w:val="center"/>
          </w:tcPr>
          <w:p>
            <w:pPr>
              <w:pStyle w:val="TableContents"/>
              <w:bidi w:val="0"/>
              <w:spacing w:before="0" w:after="0"/>
              <w:ind w:left="0" w:right="0" w:hanging="0"/>
              <w:jc w:val="left"/>
              <w:rPr/>
            </w:pPr>
            <w:r>
              <w:rPr/>
              <w:t>​</w:t>
            </w:r>
          </w:p>
        </w:tc>
      </w:tr>
      <w:tr>
        <w:trPr/>
        <w:tc>
          <w:tcPr>
            <w:tcW w:w="621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Amortization of core deposit intangible</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722</w:t>
            </w:r>
          </w:p>
        </w:tc>
        <w:tc>
          <w:tcPr>
            <w:tcW w:w="10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76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1,466</w:t>
            </w:r>
          </w:p>
        </w:tc>
        <w:tc>
          <w:tcPr>
            <w:tcW w:w="98" w:type="dxa"/>
            <w:tcBorders/>
            <w:shd w:fill="FFFFFF" w:val="cle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7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1,639</w:t>
            </w:r>
          </w:p>
        </w:tc>
        <w:tc>
          <w:tcPr>
            <w:tcW w:w="32" w:type="dxa"/>
            <w:tcBorders/>
            <w:shd w:fill="FFFFFF" w:val="clear"/>
            <w:vAlign w:val="center"/>
          </w:tcPr>
          <w:p>
            <w:pPr>
              <w:pStyle w:val="TableContents"/>
              <w:bidi w:val="0"/>
              <w:spacing w:before="0" w:after="0"/>
              <w:ind w:left="0" w:right="0" w:hanging="0"/>
              <w:jc w:val="left"/>
              <w:rPr/>
            </w:pPr>
            <w:r>
              <w:rPr/>
              <w:t>​</w:t>
            </w:r>
          </w:p>
        </w:tc>
      </w:tr>
      <w:tr>
        <w:trPr/>
        <w:tc>
          <w:tcPr>
            <w:tcW w:w="621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(Recovery) impairment of MSRs</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10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w:t>
            </w:r>
          </w:p>
        </w:tc>
        <w:tc>
          <w:tcPr>
            <w:tcW w:w="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8" w:type="dxa"/>
            <w:tcBorders/>
            <w:shd w:fill="CCEE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c>
          <w:tcPr>
            <w:tcW w:w="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621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noninterest expense</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26,104</w:t>
            </w:r>
          </w:p>
        </w:tc>
        <w:tc>
          <w:tcPr>
            <w:tcW w:w="1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25,502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51,624</w:t>
            </w:r>
          </w:p>
        </w:tc>
        <w:tc>
          <w:tcPr>
            <w:tcW w:w="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50,556</w:t>
            </w:r>
          </w:p>
        </w:tc>
        <w:tc>
          <w:tcPr>
            <w:tcW w:w="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6218"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INCOME BEFORE PROVISION FOR INCOME TAXES</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10,053</w:t>
            </w:r>
          </w:p>
        </w:tc>
        <w:tc>
          <w:tcPr>
            <w:tcW w:w="10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c>
          <w:tcPr>
            <w:tcW w:w="76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9,759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19,950</w:t>
            </w:r>
          </w:p>
        </w:tc>
        <w:tc>
          <w:tcPr>
            <w:tcW w:w="98"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7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19,220</w:t>
            </w:r>
          </w:p>
        </w:tc>
        <w:tc>
          <w:tcPr>
            <w:tcW w:w="32" w:type="dxa"/>
            <w:tcBorders/>
            <w:shd w:fill="CCEEFF" w:val="clear"/>
            <w:vAlign w:val="center"/>
          </w:tcPr>
          <w:p>
            <w:pPr>
              <w:pStyle w:val="TableContents"/>
              <w:bidi w:val="0"/>
              <w:spacing w:before="0" w:after="0"/>
              <w:ind w:left="0" w:right="0" w:hanging="0"/>
              <w:jc w:val="left"/>
              <w:rPr/>
            </w:pPr>
            <w:r>
              <w:rPr/>
              <w:t>​</w:t>
            </w:r>
          </w:p>
        </w:tc>
      </w:tr>
      <w:tr>
        <w:trPr/>
        <w:tc>
          <w:tcPr>
            <w:tcW w:w="621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PROVISION FOR INCOME TAXES</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2,117</w:t>
            </w:r>
          </w:p>
        </w:tc>
        <w:tc>
          <w:tcPr>
            <w:tcW w:w="10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6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2,031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4,184</w:t>
            </w:r>
          </w:p>
        </w:tc>
        <w:tc>
          <w:tcPr>
            <w:tcW w:w="9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3,471</w:t>
            </w:r>
          </w:p>
        </w:tc>
        <w:tc>
          <w:tcPr>
            <w:tcW w:w="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6218"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INCOME</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7,936</w:t>
            </w:r>
          </w:p>
        </w:tc>
        <w:tc>
          <w:tcPr>
            <w:tcW w:w="1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7,728</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15,766</w:t>
            </w:r>
          </w:p>
        </w:tc>
        <w:tc>
          <w:tcPr>
            <w:tcW w:w="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1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15,749</w:t>
            </w:r>
          </w:p>
        </w:tc>
        <w:tc>
          <w:tcPr>
            <w:tcW w:w="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621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Basic earnings per share</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6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w:t>
            </w:r>
          </w:p>
        </w:tc>
        <w:tc>
          <w:tcPr>
            <w:tcW w:w="10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6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3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w:t>
            </w:r>
          </w:p>
        </w:tc>
        <w:tc>
          <w:tcPr>
            <w:tcW w:w="9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15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3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w:t>
            </w:r>
          </w:p>
        </w:tc>
        <w:tc>
          <w:tcPr>
            <w:tcW w:w="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6218"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Diluted earnings per share</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w:t>
            </w:r>
          </w:p>
        </w:tc>
        <w:tc>
          <w:tcPr>
            <w:tcW w:w="10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6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0.99</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w:t>
            </w:r>
          </w:p>
        </w:tc>
        <w:tc>
          <w:tcPr>
            <w:tcW w:w="9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1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w:t>
            </w:r>
          </w:p>
        </w:tc>
        <w:tc>
          <w:tcPr>
            <w:tcW w:w="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See accompanying notes to these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6" w:name="compincome"/>
      <w:bookmarkEnd w:id="6"/>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 AND SUBSIDIARY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COMPREHENSIVE INCOME</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(In thousands</w:t>
      </w:r>
      <w:r>
        <w:rPr>
          <w:rFonts w:ascii="Times New Roman" w:hAnsi="Times New Roman"/>
          <w:caps w:val="false"/>
          <w:smallCaps w:val="false"/>
          <w:sz w:val="20"/>
        </w:rPr>
        <w:t xml:space="preserve">) </w:t>
      </w:r>
      <w:r>
        <w:rPr>
          <w:rFonts w:ascii="Times New Roman" w:hAnsi="Times New Roman"/>
          <w:i/>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center"/>
        <w:rPr>
          <w:caps w:val="false"/>
          <w:smallCaps w:val="false"/>
        </w:rPr>
      </w:pPr>
      <w:r>
        <w:rPr>
          <w:caps w:val="false"/>
          <w:smallCaps w:val="false"/>
        </w:rPr>
        <w:t> </w:t>
      </w:r>
    </w:p>
    <w:tbl>
      <w:tblPr>
        <w:tblW w:w="9411" w:type="dxa"/>
        <w:jc w:val="left"/>
        <w:tblInd w:w="0" w:type="dxa"/>
        <w:tblLayout w:type="fixed"/>
        <w:tblCellMar>
          <w:top w:w="0" w:type="dxa"/>
          <w:left w:w="0" w:type="dxa"/>
          <w:bottom w:w="0" w:type="dxa"/>
          <w:right w:w="0" w:type="dxa"/>
        </w:tblCellMar>
      </w:tblPr>
      <w:tblGrid>
        <w:gridCol w:w="5945"/>
        <w:gridCol w:w="23"/>
        <w:gridCol w:w="145"/>
        <w:gridCol w:w="685"/>
        <w:gridCol w:w="93"/>
        <w:gridCol w:w="26"/>
        <w:gridCol w:w="145"/>
        <w:gridCol w:w="633"/>
        <w:gridCol w:w="80"/>
        <w:gridCol w:w="23"/>
        <w:gridCol w:w="125"/>
        <w:gridCol w:w="590"/>
        <w:gridCol w:w="80"/>
        <w:gridCol w:w="23"/>
        <w:gridCol w:w="125"/>
        <w:gridCol w:w="590"/>
        <w:gridCol w:w="80"/>
      </w:tblGrid>
      <w:tr>
        <w:trPr/>
        <w:tc>
          <w:tcPr>
            <w:tcW w:w="59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727" w:type="dxa"/>
            <w:gridSpan w:val="6"/>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Three Months Ended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33" w:type="dxa"/>
            <w:gridSpan w:val="6"/>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Six Months Ended</w:t>
            </w:r>
          </w:p>
        </w:tc>
        <w:tc>
          <w:tcPr>
            <w:tcW w:w="80" w:type="dxa"/>
            <w:tcBorders/>
            <w:vAlign w:val="center"/>
          </w:tcPr>
          <w:p>
            <w:pPr>
              <w:pStyle w:val="TableContents"/>
              <w:bidi w:val="0"/>
              <w:spacing w:before="0" w:after="0"/>
              <w:ind w:left="0" w:right="0" w:hanging="0"/>
              <w:jc w:val="left"/>
              <w:rPr/>
            </w:pPr>
            <w:r>
              <w:rPr/>
              <w:t>​</w:t>
            </w:r>
          </w:p>
        </w:tc>
      </w:tr>
      <w:tr>
        <w:trPr/>
        <w:tc>
          <w:tcPr>
            <w:tcW w:w="59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7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3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9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9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 w:type="dxa"/>
            <w:tcBorders/>
            <w:vAlign w:val="center"/>
          </w:tcPr>
          <w:p>
            <w:pPr>
              <w:pStyle w:val="TableContents"/>
              <w:bidi w:val="0"/>
              <w:spacing w:before="0" w:after="0"/>
              <w:ind w:left="0" w:right="0" w:hanging="0"/>
              <w:jc w:val="left"/>
              <w:rPr/>
            </w:pPr>
            <w:r>
              <w:rPr/>
              <w:t>​</w:t>
            </w:r>
          </w:p>
        </w:tc>
        <w:tc>
          <w:tcPr>
            <w:tcW w:w="7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94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income</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7,936</w:t>
            </w:r>
          </w:p>
        </w:tc>
        <w:tc>
          <w:tcPr>
            <w:tcW w:w="93"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7,728</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15,766</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15,749</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94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Other comprehensive income:</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685" w:type="dxa"/>
            <w:tcBorders/>
            <w:shd w:fill="FFFFFF" w:val="clear"/>
            <w:vAlign w:val="center"/>
          </w:tcPr>
          <w:p>
            <w:pPr>
              <w:pStyle w:val="TableContents"/>
              <w:bidi w:val="0"/>
              <w:spacing w:before="0" w:after="0"/>
              <w:ind w:left="0" w:right="0" w:hanging="0"/>
              <w:jc w:val="left"/>
              <w:rPr/>
            </w:pPr>
            <w:r>
              <w:rPr/>
              <w:t>​</w:t>
            </w:r>
          </w:p>
        </w:tc>
        <w:tc>
          <w:tcPr>
            <w:tcW w:w="93"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633"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9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Securities available-for-sale:</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left"/>
              <w:rPr/>
            </w:pPr>
            <w:r>
              <w:rPr/>
              <w:t>​</w:t>
            </w:r>
          </w:p>
        </w:tc>
        <w:tc>
          <w:tcPr>
            <w:tcW w:w="93"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Unrealized gain (loss) during period</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6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980</w:t>
            </w:r>
          </w:p>
        </w:tc>
        <w:tc>
          <w:tcPr>
            <w:tcW w:w="93"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6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1,959</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 (provision) benefit related to unrealized gain (loss)</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w:t>
            </w:r>
          </w:p>
        </w:tc>
        <w:tc>
          <w:tcPr>
            <w:tcW w:w="9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331</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9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Derivative financial instruments:</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685" w:type="dxa"/>
            <w:tcBorders/>
            <w:shd w:fill="FFFFFF" w:val="clear"/>
            <w:vAlign w:val="center"/>
          </w:tcPr>
          <w:p>
            <w:pPr>
              <w:pStyle w:val="TableContents"/>
              <w:bidi w:val="0"/>
              <w:spacing w:before="0" w:after="0"/>
              <w:ind w:left="0" w:right="0" w:hanging="0"/>
              <w:jc w:val="left"/>
              <w:rPr/>
            </w:pPr>
            <w:r>
              <w:rPr/>
              <w:t>​</w:t>
            </w:r>
          </w:p>
        </w:tc>
        <w:tc>
          <w:tcPr>
            <w:tcW w:w="93"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633"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Unrealized derivative gain (loss) during period</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1,920</w:t>
            </w:r>
          </w:p>
        </w:tc>
        <w:tc>
          <w:tcPr>
            <w:tcW w:w="93"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3,670</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(3,516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 (provision) benefit related to unrealized derivative gain (loss)</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6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(409</w:t>
            </w:r>
          </w:p>
        </w:tc>
        <w:tc>
          <w:tcPr>
            <w:tcW w:w="9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6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237</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(785</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751</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59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Reclassification adjustment for realized gain, net included in net income</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6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(217</w:t>
            </w:r>
          </w:p>
        </w:tc>
        <w:tc>
          <w:tcPr>
            <w:tcW w:w="9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6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94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Income tax provision related to reclassification, net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p>
        </w:tc>
        <w:tc>
          <w:tcPr>
            <w:tcW w:w="9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3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594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Other comprehensive income (loss), net of tax</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2,110</w:t>
            </w:r>
          </w:p>
        </w:tc>
        <w:tc>
          <w:tcPr>
            <w:tcW w:w="9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2,194</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(2,660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94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COMPREHENSIVE INCOME</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10,046</w:t>
            </w:r>
          </w:p>
        </w:tc>
        <w:tc>
          <w:tcPr>
            <w:tcW w:w="9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14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4,916</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17,960</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13,089</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See accompanying notes to these consolidated financial statements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7" w:name="equity"/>
      <w:bookmarkEnd w:id="7"/>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 AND SUBSIDIARY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CHANGES IN STOCKHOLDERS</w:t>
      </w:r>
      <w:r>
        <w:rPr>
          <w:rFonts w:ascii="Times New Roman" w:hAnsi="Times New Roman"/>
          <w:caps w:val="false"/>
          <w:smallCaps w:val="false"/>
          <w:sz w:val="20"/>
        </w:rPr>
        <w:t xml:space="preserve">’ </w:t>
      </w:r>
      <w:r>
        <w:rPr>
          <w:rFonts w:ascii="Times New Roman" w:hAnsi="Times New Roman"/>
          <w:b/>
          <w:caps w:val="false"/>
          <w:smallCaps w:val="false"/>
          <w:sz w:val="20"/>
        </w:rPr>
        <w:t>EQUITY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(Dollars in thousands, except per share amounts) (Unaudited)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Three Months Ended June 30, 2026 and 2025</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8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58"/>
        <w:gridCol w:w="23"/>
        <w:gridCol w:w="23"/>
        <w:gridCol w:w="845"/>
        <w:gridCol w:w="80"/>
        <w:gridCol w:w="23"/>
        <w:gridCol w:w="211"/>
        <w:gridCol w:w="439"/>
        <w:gridCol w:w="80"/>
        <w:gridCol w:w="23"/>
        <w:gridCol w:w="158"/>
        <w:gridCol w:w="747"/>
        <w:gridCol w:w="80"/>
        <w:gridCol w:w="23"/>
        <w:gridCol w:w="125"/>
        <w:gridCol w:w="695"/>
        <w:gridCol w:w="80"/>
        <w:gridCol w:w="23"/>
        <w:gridCol w:w="205"/>
        <w:gridCol w:w="1075"/>
        <w:gridCol w:w="80"/>
        <w:gridCol w:w="23"/>
        <w:gridCol w:w="167"/>
        <w:gridCol w:w="937"/>
        <w:gridCol w:w="82"/>
      </w:tblGrid>
      <w:tr>
        <w:trPr/>
        <w:tc>
          <w:tcPr>
            <w:tcW w:w="3958"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8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Accumulated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67"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center"/>
              <w:rPr/>
            </w:pPr>
            <w:r>
              <w:rPr/>
              <w:t>​</w:t>
            </w:r>
          </w:p>
        </w:tc>
        <w:tc>
          <w:tcPr>
            <w:tcW w:w="82" w:type="dxa"/>
            <w:tcBorders/>
            <w:vAlign w:val="center"/>
          </w:tcPr>
          <w:p>
            <w:pPr>
              <w:pStyle w:val="TableContents"/>
              <w:bidi w:val="0"/>
              <w:spacing w:before="0" w:after="0"/>
              <w:ind w:left="0" w:right="0" w:hanging="0"/>
              <w:jc w:val="left"/>
              <w:rPr/>
            </w:pPr>
            <w:r>
              <w:rPr/>
              <w:t>​</w:t>
            </w:r>
          </w:p>
        </w:tc>
      </w:tr>
      <w:tr>
        <w:trPr/>
        <w:tc>
          <w:tcPr>
            <w:tcW w:w="3958"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8" w:type="dxa"/>
            <w:tcBorders/>
            <w:vAlign w:val="center"/>
          </w:tcPr>
          <w:p>
            <w:pPr>
              <w:pStyle w:val="TableContents"/>
              <w:bidi w:val="0"/>
              <w:spacing w:before="0" w:after="0"/>
              <w:ind w:left="0" w:right="0" w:hanging="0"/>
              <w:jc w:val="left"/>
              <w:rPr/>
            </w:pPr>
            <w:r>
              <w:rPr/>
              <w:t>​</w:t>
            </w:r>
          </w:p>
        </w:tc>
        <w:tc>
          <w:tcPr>
            <w:tcW w:w="747"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8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Other</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67" w:type="dxa"/>
            <w:tcBorders/>
            <w:vAlign w:val="center"/>
          </w:tcPr>
          <w:p>
            <w:pPr>
              <w:pStyle w:val="TableContents"/>
              <w:bidi w:val="0"/>
              <w:spacing w:before="0" w:after="0"/>
              <w:ind w:left="0" w:right="0" w:hanging="0"/>
              <w:jc w:val="left"/>
              <w:rPr/>
            </w:pPr>
            <w:r>
              <w:rPr/>
              <w:t>​</w:t>
            </w:r>
          </w:p>
        </w:tc>
        <w:tc>
          <w:tcPr>
            <w:tcW w:w="937" w:type="dxa"/>
            <w:tcBorders/>
            <w:vAlign w:val="center"/>
          </w:tcPr>
          <w:p>
            <w:pPr>
              <w:pStyle w:val="TableContents"/>
              <w:bidi w:val="0"/>
              <w:spacing w:before="0" w:after="0"/>
              <w:ind w:left="0" w:right="0" w:hanging="0"/>
              <w:jc w:val="center"/>
              <w:rPr/>
            </w:pPr>
            <w:r>
              <w:rPr/>
              <w:t>​</w:t>
            </w:r>
          </w:p>
        </w:tc>
        <w:tc>
          <w:tcPr>
            <w:tcW w:w="82" w:type="dxa"/>
            <w:tcBorders/>
            <w:vAlign w:val="center"/>
          </w:tcPr>
          <w:p>
            <w:pPr>
              <w:pStyle w:val="TableContents"/>
              <w:bidi w:val="0"/>
              <w:spacing w:before="0" w:after="0"/>
              <w:ind w:left="0" w:right="0" w:hanging="0"/>
              <w:jc w:val="left"/>
              <w:rPr/>
            </w:pPr>
            <w:r>
              <w:rPr/>
              <w:t>​</w:t>
            </w:r>
          </w:p>
        </w:tc>
      </w:tr>
      <w:tr>
        <w:trPr/>
        <w:tc>
          <w:tcPr>
            <w:tcW w:w="3958"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center"/>
              <w:rPr/>
            </w:pPr>
            <w:r>
              <w:rPr>
                <w:rStyle w:val="Emphasis"/>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11" w:type="dxa"/>
            <w:tcBorders/>
            <w:vAlign w:val="center"/>
          </w:tcPr>
          <w:p>
            <w:pPr>
              <w:pStyle w:val="TableContents"/>
              <w:bidi w:val="0"/>
              <w:spacing w:before="0" w:after="0"/>
              <w:ind w:left="0" w:right="0" w:hanging="0"/>
              <w:jc w:val="left"/>
              <w:rPr/>
            </w:pPr>
            <w:r>
              <w:rPr/>
              <w:t>​</w:t>
            </w:r>
          </w:p>
        </w:tc>
        <w:tc>
          <w:tcPr>
            <w:tcW w:w="439" w:type="dxa"/>
            <w:tcBorders/>
            <w:vAlign w:val="center"/>
          </w:tcPr>
          <w:p>
            <w:pPr>
              <w:pStyle w:val="TableContents"/>
              <w:bidi w:val="0"/>
              <w:spacing w:before="0" w:after="0"/>
              <w:ind w:left="0" w:right="0" w:hanging="0"/>
              <w:jc w:val="center"/>
              <w:rPr/>
            </w:pPr>
            <w:r>
              <w:rPr>
                <w:rStyle w:val="Emphasis"/>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0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Additional</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695" w:type="dxa"/>
            <w:tcBorders/>
            <w:vAlign w:val="center"/>
          </w:tcPr>
          <w:p>
            <w:pPr>
              <w:pStyle w:val="TableContents"/>
              <w:bidi w:val="0"/>
              <w:spacing w:before="0" w:after="0"/>
              <w:ind w:left="0" w:right="0" w:hanging="0"/>
              <w:jc w:val="center"/>
              <w:rPr/>
            </w:pPr>
            <w:r>
              <w:rPr>
                <w:rStyle w:val="Emphasis"/>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8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Comprehensive</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4"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2" w:type="dxa"/>
            <w:tcBorders/>
            <w:vAlign w:val="center"/>
          </w:tcPr>
          <w:p>
            <w:pPr>
              <w:pStyle w:val="TableContents"/>
              <w:bidi w:val="0"/>
              <w:spacing w:before="0" w:after="0"/>
              <w:ind w:left="0" w:right="0" w:hanging="0"/>
              <w:jc w:val="left"/>
              <w:rPr/>
            </w:pPr>
            <w:r>
              <w:rPr/>
              <w:t>​</w:t>
            </w:r>
          </w:p>
        </w:tc>
      </w:tr>
      <w:tr>
        <w:trPr/>
        <w:tc>
          <w:tcPr>
            <w:tcW w:w="3958"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621" w:type="dxa"/>
            <w:gridSpan w:val="6"/>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Common Stock</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0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Paid-in</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Retained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8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Loss,</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4"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Stockholders'</w:t>
            </w:r>
          </w:p>
        </w:tc>
        <w:tc>
          <w:tcPr>
            <w:tcW w:w="82" w:type="dxa"/>
            <w:tcBorders/>
            <w:vAlign w:val="center"/>
          </w:tcPr>
          <w:p>
            <w:pPr>
              <w:pStyle w:val="TableContents"/>
              <w:bidi w:val="0"/>
              <w:spacing w:before="0" w:after="0"/>
              <w:ind w:left="0" w:right="0" w:hanging="0"/>
              <w:jc w:val="left"/>
              <w:rPr/>
            </w:pPr>
            <w:r>
              <w:rPr/>
              <w:t>​</w:t>
            </w:r>
          </w:p>
        </w:tc>
      </w:tr>
      <w:tr>
        <w:trPr/>
        <w:tc>
          <w:tcPr>
            <w:tcW w:w="3958"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868"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Shares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Earnings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8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Net of Tax</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Equity</w:t>
            </w:r>
          </w:p>
        </w:tc>
        <w:tc>
          <w:tcPr>
            <w:tcW w:w="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958"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April 1, 2025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7,742,907</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52,806</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262,945</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(16,988</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298,840</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395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1" w:type="dxa"/>
            <w:tcBorders/>
            <w:shd w:fill="FFFFFF" w:val="clear"/>
            <w:vAlign w:val="center"/>
          </w:tcPr>
          <w:p>
            <w:pPr>
              <w:pStyle w:val="TableContents"/>
              <w:bidi w:val="0"/>
              <w:spacing w:before="0" w:after="0"/>
              <w:ind w:left="0" w:right="0" w:hanging="0"/>
              <w:jc w:val="left"/>
              <w:rPr/>
            </w:pPr>
            <w:r>
              <w:rPr/>
              <w:t>​</w:t>
            </w:r>
          </w:p>
        </w:tc>
        <w:tc>
          <w:tcPr>
            <w:tcW w:w="43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8" w:type="dxa"/>
            <w:tcBorders/>
            <w:shd w:fill="FFFFFF" w:val="clear"/>
            <w:vAlign w:val="center"/>
          </w:tcPr>
          <w:p>
            <w:pPr>
              <w:pStyle w:val="TableContents"/>
              <w:bidi w:val="0"/>
              <w:spacing w:before="0" w:after="0"/>
              <w:ind w:left="0" w:right="0" w:hanging="0"/>
              <w:jc w:val="left"/>
              <w:rPr/>
            </w:pPr>
            <w:r>
              <w:rPr/>
              <w:t>​</w:t>
            </w:r>
          </w:p>
        </w:tc>
        <w:tc>
          <w:tcPr>
            <w:tcW w:w="74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7,728</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5" w:type="dxa"/>
            <w:tcBorders/>
            <w:shd w:fill="FFFFFF" w:val="clear"/>
            <w:vAlign w:val="center"/>
          </w:tcPr>
          <w:p>
            <w:pPr>
              <w:pStyle w:val="TableContents"/>
              <w:bidi w:val="0"/>
              <w:spacing w:before="0" w:after="0"/>
              <w:ind w:left="0" w:right="0" w:hanging="0"/>
              <w:jc w:val="left"/>
              <w:rPr/>
            </w:pPr>
            <w:r>
              <w:rPr/>
              <w:t>​</w:t>
            </w:r>
          </w:p>
        </w:tc>
        <w:tc>
          <w:tcPr>
            <w:tcW w:w="107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shd w:fill="FFFFFF" w:val="clear"/>
            <w:vAlign w:val="center"/>
          </w:tcPr>
          <w:p>
            <w:pPr>
              <w:pStyle w:val="TableContents"/>
              <w:bidi w:val="0"/>
              <w:spacing w:before="0" w:after="0"/>
              <w:ind w:left="0" w:right="0" w:hanging="0"/>
              <w:jc w:val="left"/>
              <w:rPr/>
            </w:pPr>
            <w:r>
              <w:rPr/>
              <w:t>​</w:t>
            </w:r>
          </w:p>
        </w:tc>
        <w:tc>
          <w:tcPr>
            <w:tcW w:w="9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7,728</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395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Dividends paid ($0.28 per share)</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(2,164</w:t>
            </w:r>
          </w:p>
        </w:tc>
        <w:tc>
          <w:tcPr>
            <w:tcW w:w="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95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1" w:type="dxa"/>
            <w:tcBorders/>
            <w:shd w:fill="FFFFFF" w:val="clear"/>
            <w:vAlign w:val="center"/>
          </w:tcPr>
          <w:p>
            <w:pPr>
              <w:pStyle w:val="TableContents"/>
              <w:bidi w:val="0"/>
              <w:spacing w:before="0" w:after="0"/>
              <w:ind w:left="0" w:right="0" w:hanging="0"/>
              <w:jc w:val="left"/>
              <w:rPr/>
            </w:pPr>
            <w:r>
              <w:rPr/>
              <w:t>​</w:t>
            </w:r>
          </w:p>
        </w:tc>
        <w:tc>
          <w:tcPr>
            <w:tcW w:w="43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8" w:type="dxa"/>
            <w:tcBorders/>
            <w:shd w:fill="FFFFFF" w:val="clear"/>
            <w:vAlign w:val="center"/>
          </w:tcPr>
          <w:p>
            <w:pPr>
              <w:pStyle w:val="TableContents"/>
              <w:bidi w:val="0"/>
              <w:spacing w:before="0" w:after="0"/>
              <w:ind w:left="0" w:right="0" w:hanging="0"/>
              <w:jc w:val="left"/>
              <w:rPr/>
            </w:pPr>
            <w:r>
              <w:rPr/>
              <w:t>​</w:t>
            </w:r>
          </w:p>
        </w:tc>
        <w:tc>
          <w:tcPr>
            <w:tcW w:w="74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526</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5" w:type="dxa"/>
            <w:tcBorders/>
            <w:shd w:fill="FFFFFF" w:val="clear"/>
            <w:vAlign w:val="center"/>
          </w:tcPr>
          <w:p>
            <w:pPr>
              <w:pStyle w:val="TableContents"/>
              <w:bidi w:val="0"/>
              <w:spacing w:before="0" w:after="0"/>
              <w:ind w:left="0" w:right="0" w:hanging="0"/>
              <w:jc w:val="left"/>
              <w:rPr/>
            </w:pPr>
            <w:r>
              <w:rPr/>
              <w:t>​</w:t>
            </w:r>
          </w:p>
        </w:tc>
        <w:tc>
          <w:tcPr>
            <w:tcW w:w="107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shd w:fill="FFFFFF" w:val="clear"/>
            <w:vAlign w:val="center"/>
          </w:tcPr>
          <w:p>
            <w:pPr>
              <w:pStyle w:val="TableContents"/>
              <w:bidi w:val="0"/>
              <w:spacing w:before="0" w:after="0"/>
              <w:ind w:left="0" w:right="0" w:hanging="0"/>
              <w:jc w:val="left"/>
              <w:rPr/>
            </w:pPr>
            <w:r>
              <w:rPr/>
              <w:t>​</w:t>
            </w:r>
          </w:p>
        </w:tc>
        <w:tc>
          <w:tcPr>
            <w:tcW w:w="9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526</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395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 employee stock purchase plan</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7,918</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314</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314</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395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repurchased – repurchase plan</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(132,282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1" w:type="dxa"/>
            <w:tcBorders/>
            <w:shd w:fill="FFFFFF" w:val="clear"/>
            <w:vAlign w:val="center"/>
          </w:tcPr>
          <w:p>
            <w:pPr>
              <w:pStyle w:val="TableContents"/>
              <w:bidi w:val="0"/>
              <w:spacing w:before="0" w:after="0"/>
              <w:ind w:left="0" w:right="0" w:hanging="0"/>
              <w:jc w:val="left"/>
              <w:rPr/>
            </w:pPr>
            <w:r>
              <w:rPr/>
              <w:t>​</w:t>
            </w:r>
          </w:p>
        </w:tc>
        <w:tc>
          <w:tcPr>
            <w:tcW w:w="4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8" w:type="dxa"/>
            <w:tcBorders/>
            <w:shd w:fill="FFFFFF" w:val="clear"/>
            <w:vAlign w:val="center"/>
          </w:tcPr>
          <w:p>
            <w:pPr>
              <w:pStyle w:val="TableContents"/>
              <w:bidi w:val="0"/>
              <w:spacing w:before="0" w:after="0"/>
              <w:ind w:left="0" w:right="0" w:hanging="0"/>
              <w:jc w:val="left"/>
              <w:rPr/>
            </w:pPr>
            <w:r>
              <w:rPr/>
              <w:t>​</w:t>
            </w:r>
          </w:p>
        </w:tc>
        <w:tc>
          <w:tcPr>
            <w:tcW w:w="74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(5,228</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5" w:type="dxa"/>
            <w:tcBorders/>
            <w:shd w:fill="FFFFFF" w:val="clear"/>
            <w:vAlign w:val="center"/>
          </w:tcPr>
          <w:p>
            <w:pPr>
              <w:pStyle w:val="TableContents"/>
              <w:bidi w:val="0"/>
              <w:spacing w:before="0" w:after="0"/>
              <w:ind w:left="0" w:right="0" w:hanging="0"/>
              <w:jc w:val="left"/>
              <w:rPr/>
            </w:pPr>
            <w:r>
              <w:rPr/>
              <w:t>​</w:t>
            </w:r>
          </w:p>
        </w:tc>
        <w:tc>
          <w:tcPr>
            <w:tcW w:w="107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shd w:fill="FFFFFF" w:val="clear"/>
            <w:vAlign w:val="center"/>
          </w:tcPr>
          <w:p>
            <w:pPr>
              <w:pStyle w:val="TableContents"/>
              <w:bidi w:val="0"/>
              <w:spacing w:before="0" w:after="0"/>
              <w:ind w:left="0" w:right="0" w:hanging="0"/>
              <w:jc w:val="left"/>
              <w:rPr/>
            </w:pPr>
            <w:r>
              <w:rPr/>
              <w:t>​</w:t>
            </w:r>
          </w:p>
        </w:tc>
        <w:tc>
          <w:tcPr>
            <w:tcW w:w="9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(5,229</w:t>
            </w:r>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95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 net of tax</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(2,812</w:t>
            </w:r>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95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June 30, 2025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7,618,543</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3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4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48,418</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268,509</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(19,800</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297,203</w:t>
            </w:r>
          </w:p>
        </w:tc>
        <w:tc>
          <w:tcPr>
            <w:tcW w:w="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958" w:type="dxa"/>
            <w:tcBorders/>
            <w:shd w:fill="CCEEFF" w:val="clear"/>
            <w:vAlign w:val="center"/>
          </w:tcPr>
          <w:p>
            <w:pPr>
              <w:pStyle w:val="TableContents"/>
              <w:bidi w:val="0"/>
              <w:spacing w:before="0" w:after="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left"/>
              <w:rPr/>
            </w:pPr>
            <w:r>
              <w:rPr/>
              <w:t>​</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395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April 1, 2026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7,501,542</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4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43,668</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285,854</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(15,745</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313,852</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395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7,936</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7,936</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395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Dividends paid ($0.29 per share)</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1" w:type="dxa"/>
            <w:tcBorders/>
            <w:shd w:fill="FFFFFF" w:val="clear"/>
            <w:vAlign w:val="center"/>
          </w:tcPr>
          <w:p>
            <w:pPr>
              <w:pStyle w:val="TableContents"/>
              <w:bidi w:val="0"/>
              <w:spacing w:before="0" w:after="0"/>
              <w:ind w:left="0" w:right="0" w:hanging="0"/>
              <w:jc w:val="left"/>
              <w:rPr/>
            </w:pPr>
            <w:r>
              <w:rPr/>
              <w:t>​</w:t>
            </w:r>
          </w:p>
        </w:tc>
        <w:tc>
          <w:tcPr>
            <w:tcW w:w="43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8" w:type="dxa"/>
            <w:tcBorders/>
            <w:shd w:fill="FFFFFF" w:val="clear"/>
            <w:vAlign w:val="center"/>
          </w:tcPr>
          <w:p>
            <w:pPr>
              <w:pStyle w:val="TableContents"/>
              <w:bidi w:val="0"/>
              <w:spacing w:before="0" w:after="0"/>
              <w:ind w:left="0" w:right="0" w:hanging="0"/>
              <w:jc w:val="left"/>
              <w:rPr/>
            </w:pPr>
            <w:r>
              <w:rPr/>
              <w:t>​</w:t>
            </w:r>
          </w:p>
        </w:tc>
        <w:tc>
          <w:tcPr>
            <w:tcW w:w="74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(2,155</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5" w:type="dxa"/>
            <w:tcBorders/>
            <w:shd w:fill="FFFFFF" w:val="clear"/>
            <w:vAlign w:val="center"/>
          </w:tcPr>
          <w:p>
            <w:pPr>
              <w:pStyle w:val="TableContents"/>
              <w:bidi w:val="0"/>
              <w:spacing w:before="0" w:after="0"/>
              <w:ind w:left="0" w:right="0" w:hanging="0"/>
              <w:jc w:val="left"/>
              <w:rPr/>
            </w:pPr>
            <w:r>
              <w:rPr/>
              <w:t>​</w:t>
            </w:r>
          </w:p>
        </w:tc>
        <w:tc>
          <w:tcPr>
            <w:tcW w:w="107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shd w:fill="FFFFFF" w:val="clear"/>
            <w:vAlign w:val="center"/>
          </w:tcPr>
          <w:p>
            <w:pPr>
              <w:pStyle w:val="TableContents"/>
              <w:bidi w:val="0"/>
              <w:spacing w:before="0" w:after="0"/>
              <w:ind w:left="0" w:right="0" w:hanging="0"/>
              <w:jc w:val="left"/>
              <w:rPr/>
            </w:pPr>
            <w:r>
              <w:rPr/>
              <w:t>​</w:t>
            </w:r>
          </w:p>
        </w:tc>
        <w:tc>
          <w:tcPr>
            <w:tcW w:w="9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(2,155</w:t>
            </w:r>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95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643</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395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 employee stock purchase plan</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9,230</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1" w:type="dxa"/>
            <w:tcBorders/>
            <w:shd w:fill="FFFFFF" w:val="clear"/>
            <w:vAlign w:val="center"/>
          </w:tcPr>
          <w:p>
            <w:pPr>
              <w:pStyle w:val="TableContents"/>
              <w:bidi w:val="0"/>
              <w:spacing w:before="0" w:after="0"/>
              <w:ind w:left="0" w:right="0" w:hanging="0"/>
              <w:jc w:val="left"/>
              <w:rPr/>
            </w:pPr>
            <w:r>
              <w:rPr/>
              <w:t>​</w:t>
            </w:r>
          </w:p>
        </w:tc>
        <w:tc>
          <w:tcPr>
            <w:tcW w:w="43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8" w:type="dxa"/>
            <w:tcBorders/>
            <w:shd w:fill="FFFFFF" w:val="clear"/>
            <w:vAlign w:val="center"/>
          </w:tcPr>
          <w:p>
            <w:pPr>
              <w:pStyle w:val="TableContents"/>
              <w:bidi w:val="0"/>
              <w:spacing w:before="0" w:after="0"/>
              <w:ind w:left="0" w:right="0" w:hanging="0"/>
              <w:jc w:val="left"/>
              <w:rPr/>
            </w:pPr>
            <w:r>
              <w:rPr/>
              <w:t>​</w:t>
            </w:r>
          </w:p>
        </w:tc>
        <w:tc>
          <w:tcPr>
            <w:tcW w:w="74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382</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5" w:type="dxa"/>
            <w:tcBorders/>
            <w:shd w:fill="FFFFFF" w:val="clear"/>
            <w:vAlign w:val="center"/>
          </w:tcPr>
          <w:p>
            <w:pPr>
              <w:pStyle w:val="TableContents"/>
              <w:bidi w:val="0"/>
              <w:spacing w:before="0" w:after="0"/>
              <w:ind w:left="0" w:right="0" w:hanging="0"/>
              <w:jc w:val="left"/>
              <w:rPr/>
            </w:pPr>
            <w:r>
              <w:rPr/>
              <w:t>​</w:t>
            </w:r>
          </w:p>
        </w:tc>
        <w:tc>
          <w:tcPr>
            <w:tcW w:w="107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shd w:fill="FFFFFF" w:val="clear"/>
            <w:vAlign w:val="center"/>
          </w:tcPr>
          <w:p>
            <w:pPr>
              <w:pStyle w:val="TableContents"/>
              <w:bidi w:val="0"/>
              <w:spacing w:before="0" w:after="0"/>
              <w:ind w:left="0" w:right="0" w:hanging="0"/>
              <w:jc w:val="left"/>
              <w:rPr/>
            </w:pPr>
            <w:r>
              <w:rPr/>
              <w:t>​</w:t>
            </w:r>
          </w:p>
        </w:tc>
        <w:tc>
          <w:tcPr>
            <w:tcW w:w="9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382</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3958"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Common stock repurchased for employee/director taxes paid on restricted stock awards</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(14,560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pPr>
            <w:r>
              <w:rPr/>
              <w:t>—</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395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repurchased - repurchase plan</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(87,000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1" w:type="dxa"/>
            <w:tcBorders/>
            <w:shd w:fill="FFFFFF" w:val="clear"/>
            <w:vAlign w:val="center"/>
          </w:tcPr>
          <w:p>
            <w:pPr>
              <w:pStyle w:val="TableContents"/>
              <w:bidi w:val="0"/>
              <w:spacing w:before="0" w:after="0"/>
              <w:ind w:left="0" w:right="0" w:hanging="0"/>
              <w:jc w:val="left"/>
              <w:rPr/>
            </w:pPr>
            <w:r>
              <w:rPr/>
              <w:t>​</w:t>
            </w:r>
          </w:p>
        </w:tc>
        <w:tc>
          <w:tcPr>
            <w:tcW w:w="4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8" w:type="dxa"/>
            <w:tcBorders/>
            <w:shd w:fill="FFFFFF" w:val="clear"/>
            <w:vAlign w:val="center"/>
          </w:tcPr>
          <w:p>
            <w:pPr>
              <w:pStyle w:val="TableContents"/>
              <w:bidi w:val="0"/>
              <w:spacing w:before="0" w:after="0"/>
              <w:ind w:left="0" w:right="0" w:hanging="0"/>
              <w:jc w:val="left"/>
              <w:rPr/>
            </w:pPr>
            <w:r>
              <w:rPr/>
              <w:t>​</w:t>
            </w:r>
          </w:p>
        </w:tc>
        <w:tc>
          <w:tcPr>
            <w:tcW w:w="74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(3,637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5" w:type="dxa"/>
            <w:tcBorders/>
            <w:shd w:fill="FFFFFF" w:val="clear"/>
            <w:vAlign w:val="center"/>
          </w:tcPr>
          <w:p>
            <w:pPr>
              <w:pStyle w:val="TableContents"/>
              <w:bidi w:val="0"/>
              <w:spacing w:before="0" w:after="0"/>
              <w:ind w:left="0" w:right="0" w:hanging="0"/>
              <w:jc w:val="left"/>
              <w:rPr/>
            </w:pPr>
            <w:r>
              <w:rPr/>
              <w:t>​</w:t>
            </w:r>
          </w:p>
        </w:tc>
        <w:tc>
          <w:tcPr>
            <w:tcW w:w="107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shd w:fill="FFFFFF" w:val="clear"/>
            <w:vAlign w:val="center"/>
          </w:tcPr>
          <w:p>
            <w:pPr>
              <w:pStyle w:val="TableContents"/>
              <w:bidi w:val="0"/>
              <w:spacing w:before="0" w:after="0"/>
              <w:ind w:left="0" w:right="0" w:hanging="0"/>
              <w:jc w:val="left"/>
              <w:rPr/>
            </w:pPr>
            <w:r>
              <w:rPr/>
              <w:t>​</w:t>
            </w:r>
          </w:p>
        </w:tc>
        <w:tc>
          <w:tcPr>
            <w:tcW w:w="93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(3,638</w:t>
            </w:r>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95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 options exercised, net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14,560</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1" w:type="dxa"/>
            <w:tcBorders/>
            <w:shd w:fill="CCEEFF" w:val="clear"/>
            <w:vAlign w:val="center"/>
          </w:tcPr>
          <w:p>
            <w:pPr>
              <w:pStyle w:val="TableContents"/>
              <w:bidi w:val="0"/>
              <w:spacing w:before="0" w:after="0"/>
              <w:ind w:left="0" w:right="0" w:hanging="0"/>
              <w:jc w:val="left"/>
              <w:rPr/>
            </w:pPr>
            <w:r>
              <w:rPr/>
              <w:t>​</w:t>
            </w:r>
          </w:p>
        </w:tc>
        <w:tc>
          <w:tcPr>
            <w:tcW w:w="43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8" w:type="dxa"/>
            <w:tcBorders/>
            <w:shd w:fill="CCEEFF" w:val="clear"/>
            <w:vAlign w:val="center"/>
          </w:tcPr>
          <w:p>
            <w:pPr>
              <w:pStyle w:val="TableContents"/>
              <w:bidi w:val="0"/>
              <w:spacing w:before="0" w:after="0"/>
              <w:ind w:left="0" w:right="0" w:hanging="0"/>
              <w:jc w:val="left"/>
              <w:rPr/>
            </w:pPr>
            <w:r>
              <w:rPr/>
              <w:t>​</w:t>
            </w:r>
          </w:p>
        </w:tc>
        <w:tc>
          <w:tcPr>
            <w:tcW w:w="7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93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w:t>
            </w:r>
          </w:p>
        </w:tc>
        <w:tc>
          <w:tcPr>
            <w:tcW w:w="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95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net of tax</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7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3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2,110</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958"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June 30, 2026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7,423,772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40,886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291,635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(13,635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318,960</w:t>
            </w:r>
          </w:p>
        </w:tc>
        <w:tc>
          <w:tcPr>
            <w:tcW w:w="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u w:val="single"/>
        </w:rPr>
        <w:t>Six Months Ended June 30, 2026 and 2025</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01"/>
        <w:gridCol w:w="60"/>
        <w:gridCol w:w="60"/>
        <w:gridCol w:w="845"/>
        <w:gridCol w:w="80"/>
        <w:gridCol w:w="60"/>
        <w:gridCol w:w="211"/>
        <w:gridCol w:w="439"/>
        <w:gridCol w:w="80"/>
        <w:gridCol w:w="60"/>
        <w:gridCol w:w="158"/>
        <w:gridCol w:w="747"/>
        <w:gridCol w:w="80"/>
        <w:gridCol w:w="60"/>
        <w:gridCol w:w="125"/>
        <w:gridCol w:w="695"/>
        <w:gridCol w:w="80"/>
        <w:gridCol w:w="60"/>
        <w:gridCol w:w="206"/>
        <w:gridCol w:w="1074"/>
        <w:gridCol w:w="80"/>
        <w:gridCol w:w="60"/>
        <w:gridCol w:w="167"/>
        <w:gridCol w:w="936"/>
        <w:gridCol w:w="81"/>
      </w:tblGrid>
      <w:tr>
        <w:trPr/>
        <w:tc>
          <w:tcPr>
            <w:tcW w:w="370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439"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747"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Accumulated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p>
        </w:tc>
        <w:tc>
          <w:tcPr>
            <w:tcW w:w="936" w:type="dxa"/>
            <w:tcBorders/>
            <w:shd w:fill="FFFFFF" w:val="clear"/>
            <w:vAlign w:val="center"/>
          </w:tcPr>
          <w:p>
            <w:pPr>
              <w:pStyle w:val="TableContents"/>
              <w:bidi w:val="0"/>
              <w:spacing w:before="0" w:after="0"/>
              <w:ind w:left="0" w:right="0" w:hanging="0"/>
              <w:jc w:val="left"/>
              <w:rPr/>
            </w:pPr>
            <w:r>
              <w:rPr>
                <w:rStyle w:val="Emphasis"/>
              </w:rPr>
              <w:t> </w:t>
            </w:r>
          </w:p>
        </w:tc>
        <w:tc>
          <w:tcPr>
            <w:tcW w:w="81" w:type="dxa"/>
            <w:tcBorders/>
            <w:shd w:fill="FFFFFF" w:val="clear"/>
            <w:vAlign w:val="center"/>
          </w:tcPr>
          <w:p>
            <w:pPr>
              <w:pStyle w:val="TableContents"/>
              <w:bidi w:val="0"/>
              <w:spacing w:before="0" w:after="0"/>
              <w:ind w:left="0" w:right="0" w:hanging="0"/>
              <w:jc w:val="left"/>
              <w:rPr/>
            </w:pPr>
            <w:r>
              <w:rPr/>
              <w:t>​</w:t>
            </w:r>
          </w:p>
        </w:tc>
      </w:tr>
      <w:tr>
        <w:trPr/>
        <w:tc>
          <w:tcPr>
            <w:tcW w:w="370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439"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747"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Other</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p>
        </w:tc>
        <w:tc>
          <w:tcPr>
            <w:tcW w:w="936" w:type="dxa"/>
            <w:tcBorders/>
            <w:shd w:fill="FFFFFF" w:val="clear"/>
            <w:vAlign w:val="center"/>
          </w:tcPr>
          <w:p>
            <w:pPr>
              <w:pStyle w:val="TableContents"/>
              <w:bidi w:val="0"/>
              <w:spacing w:before="0" w:after="0"/>
              <w:ind w:left="0" w:right="0" w:hanging="0"/>
              <w:jc w:val="left"/>
              <w:rPr/>
            </w:pPr>
            <w:r>
              <w:rPr>
                <w:rStyle w:val="Emphasis"/>
              </w:rPr>
              <w:t> </w:t>
            </w:r>
          </w:p>
        </w:tc>
        <w:tc>
          <w:tcPr>
            <w:tcW w:w="81" w:type="dxa"/>
            <w:tcBorders/>
            <w:shd w:fill="FFFFFF" w:val="clear"/>
            <w:vAlign w:val="center"/>
          </w:tcPr>
          <w:p>
            <w:pPr>
              <w:pStyle w:val="TableContents"/>
              <w:bidi w:val="0"/>
              <w:spacing w:before="0" w:after="0"/>
              <w:ind w:left="0" w:right="0" w:hanging="0"/>
              <w:jc w:val="left"/>
              <w:rPr/>
            </w:pPr>
            <w:r>
              <w:rPr/>
              <w:t>​</w:t>
            </w:r>
          </w:p>
        </w:tc>
      </w:tr>
      <w:tr>
        <w:trPr/>
        <w:tc>
          <w:tcPr>
            <w:tcW w:w="370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439"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Additional</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Comprehensive</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370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Common Stock</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Paid-in</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Retained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Loss,</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3"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Stockholders'</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370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Amount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Capital</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Earnings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Net of Tax</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Equity</w:t>
            </w:r>
          </w:p>
        </w:tc>
        <w:tc>
          <w:tcPr>
            <w:tcW w:w="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70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January 1, 2025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7,833,014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55,716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257,113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(17,140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295,767</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370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43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74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15,749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shd w:fill="FFFFFF" w:val="clear"/>
            <w:vAlign w:val="center"/>
          </w:tcPr>
          <w:p>
            <w:pPr>
              <w:pStyle w:val="TableContents"/>
              <w:bidi w:val="0"/>
              <w:spacing w:before="0" w:after="0"/>
              <w:ind w:left="0" w:right="0" w:hanging="0"/>
              <w:jc w:val="left"/>
              <w:rPr/>
            </w:pPr>
            <w:r>
              <w:rPr/>
              <w:t> </w:t>
            </w:r>
          </w:p>
        </w:tc>
        <w:tc>
          <w:tcPr>
            <w:tcW w:w="107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p>
        </w:tc>
        <w:tc>
          <w:tcPr>
            <w:tcW w:w="9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15,749</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370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Dividends paid ($.56 per share)</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(4,353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(4,353</w:t>
            </w:r>
          </w:p>
        </w:tc>
        <w:tc>
          <w:tcPr>
            <w:tcW w:w="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70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43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74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shd w:fill="FFFFFF" w:val="clear"/>
            <w:vAlign w:val="center"/>
          </w:tcPr>
          <w:p>
            <w:pPr>
              <w:pStyle w:val="TableContents"/>
              <w:bidi w:val="0"/>
              <w:spacing w:before="0" w:after="0"/>
              <w:ind w:left="0" w:right="0" w:hanging="0"/>
              <w:jc w:val="left"/>
              <w:rPr/>
            </w:pPr>
            <w:r>
              <w:rPr/>
              <w:t> </w:t>
            </w:r>
          </w:p>
        </w:tc>
        <w:tc>
          <w:tcPr>
            <w:tcW w:w="107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p>
        </w:tc>
        <w:tc>
          <w:tcPr>
            <w:tcW w:w="9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1,038</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370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employee stock purchase plan</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16,128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650</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370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repurchased - repurchase plan</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(230,599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4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74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(8,986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shd w:fill="FFFFFF" w:val="clear"/>
            <w:vAlign w:val="center"/>
          </w:tcPr>
          <w:p>
            <w:pPr>
              <w:pStyle w:val="TableContents"/>
              <w:bidi w:val="0"/>
              <w:spacing w:before="0" w:after="0"/>
              <w:ind w:left="0" w:right="0" w:hanging="0"/>
              <w:jc w:val="left"/>
              <w:rPr/>
            </w:pPr>
            <w:r>
              <w:rPr/>
              <w:t> </w:t>
            </w:r>
          </w:p>
        </w:tc>
        <w:tc>
          <w:tcPr>
            <w:tcW w:w="107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p>
        </w:tc>
        <w:tc>
          <w:tcPr>
            <w:tcW w:w="9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(8,988</w:t>
            </w:r>
          </w:p>
        </w:tc>
        <w:tc>
          <w:tcPr>
            <w:tcW w:w="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70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loss, net of tax</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(2,660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(2,660</w:t>
            </w:r>
          </w:p>
        </w:tc>
        <w:tc>
          <w:tcPr>
            <w:tcW w:w="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701"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June 30, 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7,618,543</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3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4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48,418</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268,509</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(19,800</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297,203</w:t>
            </w:r>
          </w:p>
        </w:tc>
        <w:tc>
          <w:tcPr>
            <w:tcW w:w="8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70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w:t>
            </w:r>
          </w:p>
        </w:tc>
      </w:tr>
      <w:tr>
        <w:trPr/>
        <w:tc>
          <w:tcPr>
            <w:tcW w:w="3701"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January 1,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7,507,519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4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43,251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280,197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(15,829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307,694</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370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15,766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15,766</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370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Dividends paid ($0.58 per share)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pPr>
            <w:r>
              <w:rPr>
                <w:rStyle w:val="Emphasis"/>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43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74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(4,328</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shd w:fill="FFFFFF" w:val="clear"/>
            <w:vAlign w:val="center"/>
          </w:tcPr>
          <w:p>
            <w:pPr>
              <w:pStyle w:val="TableContents"/>
              <w:bidi w:val="0"/>
              <w:spacing w:before="0" w:after="0"/>
              <w:ind w:left="0" w:right="0" w:hanging="0"/>
              <w:jc w:val="left"/>
              <w:rPr/>
            </w:pPr>
            <w:r>
              <w:rPr/>
              <w:t> </w:t>
            </w:r>
          </w:p>
        </w:tc>
        <w:tc>
          <w:tcPr>
            <w:tcW w:w="107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p>
        </w:tc>
        <w:tc>
          <w:tcPr>
            <w:tcW w:w="9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(4,328</w:t>
            </w:r>
          </w:p>
        </w:tc>
        <w:tc>
          <w:tcPr>
            <w:tcW w:w="8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70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pPr>
            <w:r>
              <w:rPr>
                <w:rStyle w:val="Emphasis"/>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1,270</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370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 employee stock purchase plan</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18,278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43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74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shd w:fill="FFFFFF" w:val="clear"/>
            <w:vAlign w:val="center"/>
          </w:tcPr>
          <w:p>
            <w:pPr>
              <w:pStyle w:val="TableContents"/>
              <w:bidi w:val="0"/>
              <w:spacing w:before="0" w:after="0"/>
              <w:ind w:left="0" w:right="0" w:hanging="0"/>
              <w:jc w:val="left"/>
              <w:rPr/>
            </w:pPr>
            <w:r>
              <w:rPr/>
              <w:t> </w:t>
            </w:r>
          </w:p>
        </w:tc>
        <w:tc>
          <w:tcPr>
            <w:tcW w:w="1074"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p>
        </w:tc>
        <w:tc>
          <w:tcPr>
            <w:tcW w:w="9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764</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370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repurchased - repurchase plan</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(102,025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(4,257</w:t>
            </w:r>
          </w:p>
        </w:tc>
        <w:tc>
          <w:tcPr>
            <w:tcW w:w="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70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Common stock repurchased for employee/director taxes paid on restricted stock awards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(14,560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11" w:type="dxa"/>
            <w:tcBorders/>
            <w:shd w:fill="FFFFFF" w:val="clear"/>
            <w:vAlign w:val="center"/>
          </w:tcPr>
          <w:p>
            <w:pPr>
              <w:pStyle w:val="TableContents"/>
              <w:bidi w:val="0"/>
              <w:spacing w:before="0" w:after="0"/>
              <w:ind w:left="0" w:right="0" w:hanging="0"/>
              <w:jc w:val="left"/>
              <w:rPr/>
            </w:pPr>
            <w:r>
              <w:rPr/>
              <w:t> </w:t>
            </w:r>
          </w:p>
        </w:tc>
        <w:tc>
          <w:tcPr>
            <w:tcW w:w="439"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shd w:fill="FFFFFF" w:val="clear"/>
            <w:vAlign w:val="center"/>
          </w:tcPr>
          <w:p>
            <w:pPr>
              <w:pStyle w:val="TableContents"/>
              <w:bidi w:val="0"/>
              <w:spacing w:before="0" w:after="0"/>
              <w:ind w:left="0" w:right="0" w:hanging="0"/>
              <w:jc w:val="left"/>
              <w:rPr/>
            </w:pPr>
            <w:r>
              <w:rPr/>
              <w:t> </w:t>
            </w:r>
          </w:p>
        </w:tc>
        <w:tc>
          <w:tcPr>
            <w:tcW w:w="747"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shd w:fill="FFFFFF" w:val="clear"/>
            <w:vAlign w:val="center"/>
          </w:tcPr>
          <w:p>
            <w:pPr>
              <w:pStyle w:val="TableContents"/>
              <w:bidi w:val="0"/>
              <w:spacing w:before="0" w:after="0"/>
              <w:ind w:left="0" w:right="0" w:hanging="0"/>
              <w:jc w:val="left"/>
              <w:rPr/>
            </w:pPr>
            <w:r>
              <w:rPr/>
              <w:t> </w:t>
            </w:r>
          </w:p>
        </w:tc>
        <w:tc>
          <w:tcPr>
            <w:tcW w:w="107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shd w:fill="FFFFFF" w:val="clear"/>
            <w:vAlign w:val="center"/>
          </w:tcPr>
          <w:p>
            <w:pPr>
              <w:pStyle w:val="TableContents"/>
              <w:bidi w:val="0"/>
              <w:spacing w:before="0" w:after="0"/>
              <w:ind w:left="0" w:right="0" w:hanging="0"/>
              <w:jc w:val="left"/>
              <w:rPr/>
            </w:pPr>
            <w:r>
              <w:rPr/>
              <w:t> </w:t>
            </w:r>
          </w:p>
        </w:tc>
        <w:tc>
          <w:tcPr>
            <w:tcW w:w="936" w:type="dxa"/>
            <w:tcBorders/>
            <w:shd w:fill="FFFFFF" w:val="clear"/>
            <w:vAlign w:val="center"/>
          </w:tcPr>
          <w:p>
            <w:pPr>
              <w:pStyle w:val="TableContents"/>
              <w:bidi w:val="0"/>
              <w:spacing w:before="0" w:after="0"/>
              <w:ind w:left="0" w:right="0" w:hanging="0"/>
              <w:jc w:val="right"/>
              <w:rPr/>
            </w:pPr>
            <w:r>
              <w:rPr/>
              <w:t>—</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370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Stock options exercised, net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14,560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1" w:type="dxa"/>
            <w:tcBorders/>
            <w:shd w:fill="CCEEFF" w:val="clear"/>
            <w:vAlign w:val="center"/>
          </w:tcPr>
          <w:p>
            <w:pPr>
              <w:pStyle w:val="TableContents"/>
              <w:bidi w:val="0"/>
              <w:spacing w:before="0" w:after="0"/>
              <w:ind w:left="0" w:right="0" w:hanging="0"/>
              <w:jc w:val="left"/>
              <w:rPr/>
            </w:pPr>
            <w:r>
              <w:rPr/>
              <w:t> </w:t>
            </w:r>
          </w:p>
        </w:tc>
        <w:tc>
          <w:tcPr>
            <w:tcW w:w="43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0"/>
              <w:ind w:left="0" w:right="0" w:hanging="0"/>
              <w:jc w:val="left"/>
              <w:rPr/>
            </w:pPr>
            <w:r>
              <w:rPr/>
              <w:t> </w:t>
            </w:r>
          </w:p>
        </w:tc>
        <w:tc>
          <w:tcPr>
            <w:tcW w:w="7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107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shd w:fill="CCEEFF" w:val="clear"/>
            <w:vAlign w:val="center"/>
          </w:tcPr>
          <w:p>
            <w:pPr>
              <w:pStyle w:val="TableContents"/>
              <w:bidi w:val="0"/>
              <w:spacing w:before="0" w:after="0"/>
              <w:ind w:left="0" w:right="0" w:hanging="0"/>
              <w:jc w:val="left"/>
              <w:rPr/>
            </w:pPr>
            <w:r>
              <w:rPr/>
              <w:t> </w:t>
            </w:r>
          </w:p>
        </w:tc>
        <w:tc>
          <w:tcPr>
            <w:tcW w:w="9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(143</w:t>
            </w:r>
          </w:p>
        </w:tc>
        <w:tc>
          <w:tcPr>
            <w:tcW w:w="8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70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comprehensive income, net of tax</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2,194</w:t>
            </w:r>
          </w:p>
        </w:tc>
        <w:tc>
          <w:tcPr>
            <w:tcW w:w="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70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BALANCE,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7,423,772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40,886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291,635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(13,635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318,960</w:t>
            </w:r>
          </w:p>
        </w:tc>
        <w:tc>
          <w:tcPr>
            <w:tcW w:w="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See accompanying notes to these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8" w:name="cashflow"/>
      <w:bookmarkEnd w:id="8"/>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 AND SUBSIDIARY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CASH FLOWS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(In thousands) (Unaudited)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8561" w:type="dxa"/>
        <w:jc w:val="left"/>
        <w:tblInd w:w="0" w:type="dxa"/>
        <w:tblLayout w:type="fixed"/>
        <w:tblCellMar>
          <w:top w:w="0" w:type="dxa"/>
          <w:left w:w="0" w:type="dxa"/>
          <w:bottom w:w="0" w:type="dxa"/>
          <w:right w:w="0" w:type="dxa"/>
        </w:tblCellMar>
      </w:tblPr>
      <w:tblGrid>
        <w:gridCol w:w="6185"/>
        <w:gridCol w:w="60"/>
        <w:gridCol w:w="136"/>
        <w:gridCol w:w="988"/>
        <w:gridCol w:w="87"/>
        <w:gridCol w:w="65"/>
        <w:gridCol w:w="136"/>
        <w:gridCol w:w="824"/>
        <w:gridCol w:w="80"/>
      </w:tblGrid>
      <w:tr>
        <w:trPr/>
        <w:tc>
          <w:tcPr>
            <w:tcW w:w="6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sz w:val="20"/>
              </w:rPr>
              <w:t>Six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18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1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2026</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9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1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15,766</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15,749</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185" w:type="dxa"/>
            <w:tcBorders/>
            <w:shd w:fill="FFFFFF" w:val="clear"/>
            <w:vAlign w:val="center"/>
          </w:tcPr>
          <w:p>
            <w:pPr>
              <w:pStyle w:val="TableContents"/>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t>Adjustments to reconcile net income to net cash from operating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1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credit losses</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9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5,170</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3,613</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1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amortization and accretion</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4,718</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6,256</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1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Compensation expense related to stock options and restricted stock awards</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9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1,270</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1,038</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18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Earnings on cash surrender value of BOLI</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(522</w:t>
            </w:r>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(505</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Gain on sale of loans held for sale</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9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(4,965</w:t>
            </w:r>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8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Change in fair value on portfolio loans measured under the fair value option</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Origination of loans held for sale</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9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(276,998</w:t>
            </w:r>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(225,320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sale of loans held for sale</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313,645</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221,880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18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Gain on purchase of tax credits</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988" w:type="dxa"/>
            <w:tcBorders/>
            <w:shd w:fill="CCEEFF" w:val="clear"/>
            <w:vAlign w:val="center"/>
          </w:tcPr>
          <w:p>
            <w:pPr>
              <w:pStyle w:val="TableContents"/>
              <w:bidi w:val="0"/>
              <w:spacing w:before="0" w:after="0"/>
              <w:ind w:left="0" w:right="0" w:hanging="0"/>
              <w:jc w:val="right"/>
              <w:rPr/>
            </w:pPr>
            <w:r>
              <w:rPr/>
              <w:t>—</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8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Purchase of tax credits</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right"/>
              <w:rPr/>
            </w:pPr>
            <w:r>
              <w:rPr/>
              <w:t>—</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(7,587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(Recovery) impairment of MSRs</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9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w:t>
            </w:r>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185" w:type="dxa"/>
            <w:tcBorders/>
            <w:shd w:fill="FFFFFF" w:val="clear"/>
            <w:vAlign w:val="center"/>
          </w:tcPr>
          <w:p>
            <w:pPr>
              <w:pStyle w:val="TableContents"/>
              <w:bidi w:val="0"/>
              <w:spacing w:before="0" w:after="0"/>
              <w:jc w:val="left"/>
              <w:rPr>
                <w:rFonts w:ascii="Times New Roman" w:hAnsi="Times New Roman"/>
                <w:i/>
                <w:caps w:val="false"/>
                <w:smallCaps w:val="false"/>
                <w:sz w:val="20"/>
              </w:rPr>
            </w:pPr>
            <w:r>
              <w:rPr>
                <w:rFonts w:ascii="Times New Roman" w:hAnsi="Times New Roman"/>
                <w:i/>
                <w:caps w:val="false"/>
                <w:smallCaps w:val="false"/>
                <w:sz w:val="20"/>
              </w:rPr>
              <w:t>Changes in operating assets and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1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Accrued interest receivable</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9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351</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assets</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1,636</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5,458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1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642</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8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from operating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60,710</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15,322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18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CASH FLOWS USED BY INVESTING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988"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1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Activity in securities available-for-sale:</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18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Maturities, prepayments, and calls</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9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35,614</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26,174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185"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Purchases</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(17,663</w:t>
            </w:r>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(46,540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8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Activity in securities held-to-maturity:</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988"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618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Purchases</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(4,366</w:t>
            </w:r>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(23,235</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85"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Maturities, prepayments, and calls</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9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1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Maturities of certificates of deposit at other financial institutions</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right"/>
              <w:rPr/>
            </w:pPr>
            <w:r>
              <w:rPr/>
              <w:t>—</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1,479</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1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Portfolio loan originations and principal collections, net</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9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(29,983</w:t>
            </w:r>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(98,600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Purchase of portfolio loans</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(383</w:t>
            </w:r>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(3,956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Purchase of premises and equipment</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9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(847</w:t>
            </w:r>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8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Proceeds from bank owned life insurance death benefits</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right"/>
              <w:rPr/>
            </w:pPr>
            <w:r>
              <w:rPr/>
              <w:t>—</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771</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1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Change in FHLB stock, net</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9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(6,449</w:t>
            </w:r>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4,042</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1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Capital contributions to affordable housing tax credit investments</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(600</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18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cash used by investing activities</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(21,677</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(141,507</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8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CASH FLOWS (USED BY) FROM FINANCING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1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(decrease) increase in deposits</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9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(224,773</w:t>
            </w:r>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213,937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1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Proceeds from borrowings</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1,820,850</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614,000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1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Repayments of borrowings</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9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(1,625,655</w:t>
            </w:r>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(687,501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Dividends paid on common stock</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(4,328</w:t>
            </w:r>
          </w:p>
        </w:tc>
        <w:tc>
          <w:tcPr>
            <w:tcW w:w="8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(4,353</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Disbursements from stock options exercised, net</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9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(143</w:t>
            </w:r>
          </w:p>
        </w:tc>
        <w:tc>
          <w:tcPr>
            <w:tcW w:w="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shd w:fill="CCEEFF" w:val="clear"/>
            <w:vAlign w:val="center"/>
          </w:tcPr>
          <w:p>
            <w:pPr>
              <w:pStyle w:val="TableContents"/>
              <w:bidi w:val="0"/>
              <w:spacing w:before="0" w:after="0"/>
              <w:ind w:left="0" w:right="0" w:hanging="0"/>
              <w:jc w:val="left"/>
              <w:rPr/>
            </w:pPr>
            <w:r>
              <w:rPr/>
              <w:t> </w:t>
            </w:r>
          </w:p>
        </w:tc>
        <w:tc>
          <w:tcPr>
            <w:tcW w:w="82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61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Issuance of common stock - employee stock purchase plan</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764</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618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Common stock repurchased</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(4,257</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(8,988</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618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cash (used by) from financing activities</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(37,542</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127,745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618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INCREASE IN CASH AND CASH EQUIVALENTS</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1,491</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6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988"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shd w:fill="FFFFFF" w:val="clear"/>
            <w:vAlign w:val="center"/>
          </w:tcPr>
          <w:p>
            <w:pPr>
              <w:pStyle w:val="TableContents"/>
              <w:bidi w:val="0"/>
              <w:spacing w:before="0" w:after="0"/>
              <w:ind w:left="0" w:right="0" w:hanging="0"/>
              <w:jc w:val="left"/>
              <w:rPr/>
            </w:pPr>
            <w:r>
              <w:rPr/>
              <w:t> </w:t>
            </w:r>
          </w:p>
        </w:tc>
        <w:tc>
          <w:tcPr>
            <w:tcW w:w="824"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6185"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CASH AND CASH EQUIVALENTS, beginning of period</w:t>
            </w:r>
          </w:p>
        </w:tc>
        <w:tc>
          <w:tcPr>
            <w:tcW w:w="60"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28,219</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31,635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618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CASH AND CASH EQUIVALENTS, end of period</w:t>
            </w:r>
          </w:p>
        </w:tc>
        <w:tc>
          <w:tcPr>
            <w:tcW w:w="60" w:type="dxa"/>
            <w:tcBorders/>
            <w:shd w:fill="FFFFFF" w:val="clear"/>
            <w:vAlign w:val="center"/>
          </w:tcPr>
          <w:p>
            <w:pPr>
              <w:pStyle w:val="TableContents"/>
              <w:bidi w:val="0"/>
              <w:spacing w:before="0" w:after="0"/>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29,710</w:t>
            </w:r>
          </w:p>
        </w:tc>
        <w:tc>
          <w:tcPr>
            <w:tcW w:w="8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2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33,195</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9" w:name="cashflowsupp"/>
      <w:bookmarkEnd w:id="9"/>
      <w:r>
        <w:rPr>
          <w:rFonts w:ascii="Times New Roman" w:hAnsi="Times New Roman"/>
          <w:b/>
          <w:caps w:val="false"/>
          <w:smallCaps w:val="false"/>
          <w:sz w:val="20"/>
        </w:rPr>
        <w:t>FS BANCORP,</w:t>
      </w:r>
      <w:r>
        <w:rPr>
          <w:rFonts w:ascii="Times New Roman" w:hAnsi="Times New Roman"/>
          <w:caps w:val="false"/>
          <w:smallCaps w:val="false"/>
          <w:sz w:val="20"/>
        </w:rPr>
        <w:t> </w:t>
      </w:r>
      <w:r>
        <w:rPr>
          <w:rFonts w:ascii="Times New Roman" w:hAnsi="Times New Roman"/>
          <w:b/>
          <w:caps w:val="false"/>
          <w:smallCaps w:val="false"/>
          <w:sz w:val="20"/>
        </w:rPr>
        <w:t>INC. AND SUBSIDIARY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CONSOLIDATED STATEMENTS OF CASH FLOWS (Continued)</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(In thousands) (Unaudited)</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569"/>
        <w:gridCol w:w="23"/>
        <w:gridCol w:w="125"/>
        <w:gridCol w:w="590"/>
        <w:gridCol w:w="80"/>
        <w:gridCol w:w="23"/>
        <w:gridCol w:w="125"/>
        <w:gridCol w:w="590"/>
        <w:gridCol w:w="80"/>
      </w:tblGrid>
      <w:tr>
        <w:trPr/>
        <w:tc>
          <w:tcPr>
            <w:tcW w:w="8569"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SUPPLEMENTARY DISCLOSURES OF CASH FLOW INFORMATION</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left"/>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left"/>
              <w:rPr/>
            </w:pPr>
            <w:r>
              <w:rPr/>
              <w:t>​</w:t>
            </w:r>
          </w:p>
        </w:tc>
        <w:tc>
          <w:tcPr>
            <w:tcW w:w="80" w:type="dxa"/>
            <w:tcBorders/>
            <w:vAlign w:val="center"/>
          </w:tcPr>
          <w:p>
            <w:pPr>
              <w:pStyle w:val="TableContents"/>
              <w:bidi w:val="0"/>
              <w:spacing w:before="0" w:after="0"/>
              <w:ind w:left="0" w:right="0" w:hanging="0"/>
              <w:jc w:val="left"/>
              <w:rPr/>
            </w:pPr>
            <w:r>
              <w:rPr/>
              <w:t>​</w:t>
            </w:r>
          </w:p>
        </w:tc>
      </w:tr>
      <w:tr>
        <w:trPr/>
        <w:tc>
          <w:tcPr>
            <w:tcW w:w="856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paid during the period for:</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856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on deposits and borrowings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32,645</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31,234</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856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taxes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3,725</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8569" w:type="dxa"/>
            <w:tcBorders/>
            <w:shd w:fill="FFFFFF" w:val="clear"/>
            <w:vAlign w:val="center"/>
          </w:tcPr>
          <w:p>
            <w:pPr>
              <w:pStyle w:val="TableContents"/>
              <w:bidi w:val="0"/>
              <w:spacing w:before="0" w:after="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8569"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SUPPLEMENTARY DISCLOSURES OF NONCASH OPERATING, INVESTING AND FINANCING ACTIVITIES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8569"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Change in fair value on available-for-sale investment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1,959</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8569"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Change in fair value on fair value and cash flow hedges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3,260</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(5,343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8569"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Retention of gross MSRs from loan sales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1,815</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1,255</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8569"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ROU assets in exchange for lease liabilities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See accompanying notes to these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10" w:name="notes"/>
      <w:bookmarkEnd w:id="10"/>
      <w:r>
        <w:rPr>
          <w:rFonts w:ascii="Times New Roman" w:hAnsi="Times New Roman"/>
          <w:b/>
          <w:caps w:val="false"/>
          <w:smallCaps w:val="false"/>
          <w:sz w:val="20"/>
        </w:rPr>
        <w:t>FS BANCORP, INC. AND SUBSIDIARY</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NOTES TO CONSOLIDATED FINANCIAL STATEMENTS</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(Table Dollar Amounts in Thousands, Except Per Share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w:t>
      </w:r>
      <w:r>
        <w:rPr>
          <w:rFonts w:ascii="Times New Roman" w:hAnsi="Times New Roman"/>
          <w:caps w:val="false"/>
          <w:smallCaps w:val="false"/>
          <w:sz w:val="20"/>
        </w:rPr>
        <w:t xml:space="preserve"> – </w:t>
      </w:r>
      <w:r>
        <w:rPr>
          <w:rFonts w:ascii="Times New Roman" w:hAnsi="Times New Roman"/>
          <w:b/>
          <w:caps w:val="false"/>
          <w:smallCaps w:val="false"/>
          <w:sz w:val="20"/>
        </w:rPr>
        <w:t>BASIS OF PRESENTATION AND SUMMARY OF SIGNIFICANT ACCOUNTING POLICIES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Nature of Operations</w:t>
      </w:r>
      <w:r>
        <w:rPr>
          <w:rFonts w:ascii="Times New Roman" w:hAnsi="Times New Roman"/>
          <w:caps w:val="false"/>
          <w:smallCaps w:val="false"/>
          <w:sz w:val="20"/>
        </w:rPr>
        <w:t xml:space="preserve"> – FS Bancorp, Inc. (the “Company”) was incorporated in </w:t>
      </w:r>
      <w:r>
        <w:rPr>
          <w:rStyle w:val="Emphasis"/>
          <w:rFonts w:ascii="Times New Roman" w:hAnsi="Times New Roman"/>
          <w:caps w:val="false"/>
          <w:smallCaps w:val="false"/>
          <w:sz w:val="20"/>
        </w:rPr>
        <w:t>September 2011</w:t>
      </w:r>
      <w:r>
        <w:rPr>
          <w:rFonts w:ascii="Times New Roman" w:hAnsi="Times New Roman"/>
          <w:caps w:val="false"/>
          <w:smallCaps w:val="false"/>
          <w:sz w:val="20"/>
        </w:rPr>
        <w:t xml:space="preserve"> as the holding company for </w:t>
      </w:r>
      <w:r>
        <w:rPr>
          <w:rStyle w:val="Emphasis"/>
          <w:rFonts w:ascii="Times New Roman" w:hAnsi="Times New Roman"/>
          <w:caps w:val="false"/>
          <w:smallCaps w:val="false"/>
          <w:sz w:val="20"/>
        </w:rPr>
        <w:t>1st</w:t>
      </w:r>
      <w:r>
        <w:rPr>
          <w:rFonts w:ascii="Times New Roman" w:hAnsi="Times New Roman"/>
          <w:caps w:val="false"/>
          <w:smallCaps w:val="false"/>
          <w:sz w:val="20"/>
        </w:rPr>
        <w:t xml:space="preserve"> Security Bank of Washington (the “Bank” or </w:t>
      </w:r>
      <w:r>
        <w:rPr>
          <w:rStyle w:val="Emphasis"/>
          <w:rFonts w:ascii="Times New Roman" w:hAnsi="Times New Roman"/>
          <w:caps w:val="false"/>
          <w:smallCaps w:val="false"/>
          <w:sz w:val="20"/>
        </w:rPr>
        <w:t>“1st</w:t>
      </w:r>
      <w:r>
        <w:rPr>
          <w:rFonts w:ascii="Times New Roman" w:hAnsi="Times New Roman"/>
          <w:caps w:val="false"/>
          <w:smallCaps w:val="false"/>
          <w:sz w:val="20"/>
        </w:rPr>
        <w:t xml:space="preserve"> Security Bank”) in connection with the Bank’s conversion from the mutual to stock form of ownership which was completed on </w:t>
      </w:r>
      <w:r>
        <w:rPr>
          <w:rStyle w:val="Emphasis"/>
          <w:rFonts w:ascii="Times New Roman" w:hAnsi="Times New Roman"/>
          <w:caps w:val="false"/>
          <w:smallCaps w:val="false"/>
          <w:sz w:val="20"/>
        </w:rPr>
        <w:t xml:space="preserve">July 9, 2012. </w:t>
      </w:r>
      <w:r>
        <w:rPr>
          <w:rFonts w:ascii="Times New Roman" w:hAnsi="Times New Roman"/>
          <w:caps w:val="false"/>
          <w:smallCaps w:val="false"/>
          <w:sz w:val="20"/>
        </w:rPr>
        <w:t xml:space="preserve">The Bank is a community-based savings bank with </w:t>
      </w:r>
      <w:r>
        <w:rPr>
          <w:rStyle w:val="Emphasis"/>
          <w:rFonts w:ascii="Times New Roman" w:hAnsi="Times New Roman"/>
          <w:caps w:val="false"/>
          <w:smallCaps w:val="false"/>
          <w:sz w:val="20"/>
        </w:rPr>
        <w:t>29</w:t>
      </w:r>
      <w:r>
        <w:rPr>
          <w:rFonts w:ascii="Times New Roman" w:hAnsi="Times New Roman"/>
          <w:caps w:val="false"/>
          <w:smallCaps w:val="false"/>
          <w:sz w:val="20"/>
        </w:rPr>
        <w:t xml:space="preserve"> full-service bank branches, a headquarters that also originates loans and accepts deposits, and loan production offices in suburban communities in the greater Puget Sound area, the Kennewick-Pasco-Richland metropolitan area of Washington, also known as the Tri-Cities, Goldendale, Vancouver, and White Salmon, Washington and Manzanita, Newport, Ontario, Tillamook, and Waldport, Oregon. The Bank provides loan and deposit services to customers who are predominantly small- and middle-market businesses and individuals. The Company and its subsidiary are subject to regulation by certain federal and state agencies and undergo periodic examination by these regulatory agencies.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Financial Statement Presentation</w:t>
      </w:r>
      <w:r>
        <w:rPr>
          <w:rFonts w:ascii="Times New Roman" w:hAnsi="Times New Roman"/>
          <w:caps w:val="false"/>
          <w:smallCaps w:val="false"/>
          <w:sz w:val="20"/>
        </w:rPr>
        <w:t> – The accompanying unaudited interim consolidated financial statements have been prepared in accordance with accounting principles generally accepted in the United States (“U.S. GAAP”) for interim financial information and in accordance with the instructions to Form </w:t>
      </w:r>
      <w:r>
        <w:rPr>
          <w:rStyle w:val="Emphasis"/>
          <w:rFonts w:ascii="Times New Roman" w:hAnsi="Times New Roman"/>
          <w:caps w:val="false"/>
          <w:smallCaps w:val="false"/>
          <w:sz w:val="20"/>
        </w:rPr>
        <w:t>10</w:t>
        <w:noBreakHyphen/>
        <w:t>Q</w:t>
      </w:r>
      <w:r>
        <w:rPr>
          <w:rFonts w:ascii="Times New Roman" w:hAnsi="Times New Roman"/>
          <w:caps w:val="false"/>
          <w:smallCaps w:val="false"/>
          <w:sz w:val="20"/>
        </w:rPr>
        <w:t xml:space="preserve"> and Article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Regulation S-</w:t>
      </w:r>
      <w:r>
        <w:rPr>
          <w:rStyle w:val="Emphasis"/>
          <w:rFonts w:ascii="Times New Roman" w:hAnsi="Times New Roman"/>
          <w:caps w:val="false"/>
          <w:smallCaps w:val="false"/>
          <w:sz w:val="20"/>
        </w:rPr>
        <w:t>X</w:t>
      </w:r>
      <w:r>
        <w:rPr>
          <w:rFonts w:ascii="Times New Roman" w:hAnsi="Times New Roman"/>
          <w:caps w:val="false"/>
          <w:smallCaps w:val="false"/>
          <w:sz w:val="20"/>
        </w:rPr>
        <w:t xml:space="preserve"> as promulgated by the Securities and Exchange Commission (“SEC”). These unaudited interim consolidated financial statements should be read in conjunction with the Company’s Annual Report on Form </w:t>
      </w:r>
      <w:r>
        <w:rPr>
          <w:rStyle w:val="Emphasis"/>
          <w:rFonts w:ascii="Times New Roman" w:hAnsi="Times New Roman"/>
          <w:caps w:val="false"/>
          <w:smallCaps w:val="false"/>
          <w:sz w:val="20"/>
        </w:rPr>
        <w:t>10</w:t>
        <w:noBreakHyphen/>
        <w:t>K</w:t>
      </w:r>
      <w:r>
        <w:rPr>
          <w:rFonts w:ascii="Times New Roman" w:hAnsi="Times New Roman"/>
          <w:caps w:val="false"/>
          <w:smallCaps w:val="false"/>
          <w:sz w:val="20"/>
        </w:rPr>
        <w:t xml:space="preserve"> which includes all the audited financial statements and footnotes required by U.S. GAAP for complete financial statements for the year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In the opinion of management, all normal adjustments and recurring accruals considered necessary for a fair presentation of the financial position and results of operations for the periods presented have been included. Certain prior-period amounts have been reclassified to conform to the current period presentation. These matters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 impact on net income or earnings per share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25, 2026, </w:t>
      </w:r>
      <w:r>
        <w:rPr>
          <w:rFonts w:ascii="Times New Roman" w:hAnsi="Times New Roman"/>
          <w:caps w:val="false"/>
          <w:smallCaps w:val="false"/>
          <w:sz w:val="20"/>
        </w:rPr>
        <w:t xml:space="preserve">FS Bancorp, Inc. announced the signing of a definitive merger agreement whereby the Company will acquire Pacific West Bancorp (“Pacific West”) in a stock and cash transaction valued at approximately $34.6 million.  The transaction is subject to customary closing conditions, including the receipt of regulatory approvals and approval of the agreement by the shareholders of Pacific West.  See “Note </w:t>
      </w:r>
      <w:r>
        <w:rPr>
          <w:rStyle w:val="Emphasis"/>
          <w:rFonts w:ascii="Times New Roman" w:hAnsi="Times New Roman"/>
          <w:caps w:val="false"/>
          <w:smallCaps w:val="false"/>
          <w:sz w:val="20"/>
        </w:rPr>
        <w:t>15</w:t>
      </w:r>
      <w:r>
        <w:rPr>
          <w:rFonts w:ascii="Times New Roman" w:hAnsi="Times New Roman"/>
          <w:caps w:val="false"/>
          <w:smallCaps w:val="false"/>
          <w:sz w:val="20"/>
        </w:rPr>
        <w:t xml:space="preserve"> –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results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xml:space="preserve">,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indicative of the results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expected for the year ending </w:t>
      </w:r>
      <w:r>
        <w:rPr>
          <w:rStyle w:val="Emphasis"/>
          <w:rFonts w:ascii="Times New Roman" w:hAnsi="Times New Roman"/>
          <w:caps w:val="false"/>
          <w:smallCaps w:val="false"/>
          <w:sz w:val="20"/>
        </w:rPr>
        <w:t>December 31, 2026</w:t>
      </w:r>
      <w:r>
        <w:rPr>
          <w:rFonts w:ascii="Times New Roman" w:hAnsi="Times New Roman"/>
          <w:caps w:val="false"/>
          <w:smallCaps w:val="false"/>
          <w:sz w:val="20"/>
        </w:rPr>
        <w:t>, or any other future period. The preparation of financial statements, in conformity with U.S. GAAP, requires management to make estimates and assumptions that affect amounts reported in the financial statements. Actual results could differ from these estimates. Material estimates that are particularly susceptible to significant change relate to the determination of the allowance for credit losses (“ACL”).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Amounts presented in the consolidated financial statements and footnote tables are rounded to the nearest thousand dollars, except for per share amounts.  Amounts above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million are rounded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decimal place, and amounts above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billion are rounded to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decimal places.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Principles of Consolidation </w:t>
      </w:r>
      <w:r>
        <w:rPr>
          <w:rFonts w:ascii="Times New Roman" w:hAnsi="Times New Roman"/>
          <w:caps w:val="false"/>
          <w:smallCaps w:val="false"/>
          <w:sz w:val="20"/>
        </w:rPr>
        <w:t xml:space="preserve">– The consolidated financial statements include the accounts of FS Bancorp and its wholly owned subsidiary, </w:t>
      </w:r>
      <w:r>
        <w:rPr>
          <w:rStyle w:val="Emphasis"/>
          <w:rFonts w:ascii="Times New Roman" w:hAnsi="Times New Roman"/>
          <w:caps w:val="false"/>
          <w:smallCaps w:val="false"/>
          <w:sz w:val="20"/>
        </w:rPr>
        <w:t>1st</w:t>
      </w:r>
      <w:r>
        <w:rPr>
          <w:rFonts w:ascii="Times New Roman" w:hAnsi="Times New Roman"/>
          <w:caps w:val="false"/>
          <w:smallCaps w:val="false"/>
          <w:sz w:val="20"/>
        </w:rPr>
        <w:t xml:space="preserve"> Security Bank. All material intercompany accounts have been eliminated in 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Segment Reporting</w:t>
      </w:r>
      <w:r>
        <w:rPr>
          <w:rFonts w:ascii="Times New Roman" w:hAnsi="Times New Roman"/>
          <w:caps w:val="false"/>
          <w:smallCaps w:val="false"/>
          <w:sz w:val="20"/>
        </w:rPr>
        <w:t xml:space="preserve"> – The Company operates in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business segments through the Bank: commercial and consumer banking and home lending. The Company’s business segments are determined based on the products and services provided, as well as the nature of the related business activities, and they reflect the way financial information is regularly reviewed for the purpose of allocating resources and evaluating performance of the Company’s businesses. The results for these business segments are based on management’s accounting process, which assigns income statement items and assets to each responsible operating segment. This process is dynamic and is based on management’s view of the Company’s operations. See “Note </w:t>
      </w:r>
      <w:r>
        <w:rPr>
          <w:rStyle w:val="Emphasis"/>
          <w:rFonts w:ascii="Times New Roman" w:hAnsi="Times New Roman"/>
          <w:caps w:val="false"/>
          <w:smallCaps w:val="false"/>
          <w:sz w:val="20"/>
        </w:rPr>
        <w:t>13</w:t>
      </w:r>
      <w:r>
        <w:rPr>
          <w:rFonts w:ascii="Times New Roman" w:hAnsi="Times New Roman"/>
          <w:caps w:val="false"/>
          <w:smallCaps w:val="false"/>
          <w:sz w:val="20"/>
        </w:rPr>
        <w:t> – Business Segments.”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Subsequent Events </w:t>
      </w:r>
      <w:r>
        <w:rPr>
          <w:rFonts w:ascii="Times New Roman" w:hAnsi="Times New Roman"/>
          <w:caps w:val="false"/>
          <w:smallCaps w:val="false"/>
          <w:sz w:val="20"/>
        </w:rPr>
        <w:t>– The Company has evaluated events and transactions after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for potential recognition or disclosure.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RECENT ACCOUNTING PRONOUNCEMENTS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October 2023,</w:t>
      </w:r>
      <w:r>
        <w:rPr>
          <w:rFonts w:ascii="Times New Roman" w:hAnsi="Times New Roman"/>
          <w:caps w:val="false"/>
          <w:smallCaps w:val="false"/>
          <w:sz w:val="20"/>
        </w:rPr>
        <w:t> the Financial Accounting Standards Board (“FASB”) issued Accounting Standards Update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w:t>
      </w:r>
      <w:r>
        <w:rPr>
          <w:rFonts w:ascii="Times New Roman" w:hAnsi="Times New Roman"/>
          <w:i/>
          <w:caps w:val="false"/>
          <w:smallCaps w:val="false"/>
          <w:sz w:val="20"/>
        </w:rPr>
        <w:t>Disclosure Improvements: Codification Amendments in Response to the SEC</w:t>
      </w:r>
      <w:r>
        <w:rPr>
          <w:rFonts w:ascii="Times New Roman" w:hAnsi="Times New Roman"/>
          <w:caps w:val="false"/>
          <w:smallCaps w:val="false"/>
          <w:sz w:val="20"/>
        </w:rPr>
        <w:t>’</w:t>
      </w:r>
      <w:r>
        <w:rPr>
          <w:rFonts w:ascii="Times New Roman" w:hAnsi="Times New Roman"/>
          <w:i/>
          <w:caps w:val="false"/>
          <w:smallCaps w:val="false"/>
          <w:sz w:val="20"/>
        </w:rPr>
        <w:t>s Disclosure Update and Simplification Initiative</w:t>
      </w:r>
      <w:r>
        <w:rPr>
          <w:rFonts w:ascii="Times New Roman" w:hAnsi="Times New Roman"/>
          <w:caps w:val="false"/>
          <w:smallCaps w:val="false"/>
          <w:sz w:val="20"/>
        </w:rPr>
        <w:t xml:space="preserve">. The amendments incorporate into the Accounting Standards Codification certain disclosure and presentation requirements currently included in SEC regulations. Each amendment will become effective prospectively upon the SEC’s removal of the related disclosure requirement from its rules. The Company is currently evaluating the impact of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and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its adoption to have a material effect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January 2025, </w:t>
      </w:r>
      <w:r>
        <w:rPr>
          <w:rFonts w:ascii="Times New Roman" w:hAnsi="Times New Roman"/>
          <w:caps w:val="false"/>
          <w:smallCaps w:val="false"/>
          <w:sz w:val="20"/>
        </w:rPr>
        <w:t>the FASB issued guidance within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01,</w:t>
      </w:r>
      <w:r>
        <w:rPr>
          <w:rFonts w:ascii="Times New Roman" w:hAnsi="Times New Roman"/>
          <w:caps w:val="false"/>
          <w:smallCaps w:val="false"/>
          <w:sz w:val="20"/>
        </w:rPr>
        <w:t xml:space="preserve">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 xml:space="preserve">Expense Disaggregation Disclosures (Subtopic </w:t>
      </w:r>
      <w:r>
        <w:rPr>
          <w:rStyle w:val="Emphasis"/>
          <w:rFonts w:ascii="Times New Roman" w:hAnsi="Times New Roman"/>
          <w:i/>
          <w:caps w:val="false"/>
          <w:smallCaps w:val="false"/>
          <w:sz w:val="20"/>
        </w:rPr>
        <w:t>220</w:t>
      </w:r>
      <w:r>
        <w:rPr>
          <w:rFonts w:ascii="Times New Roman" w:hAnsi="Times New Roman"/>
          <w:i/>
          <w:caps w:val="false"/>
          <w:smallCaps w:val="false"/>
          <w:sz w:val="20"/>
        </w:rPr>
        <w:t>-</w:t>
      </w:r>
      <w:r>
        <w:rPr>
          <w:rStyle w:val="Emphasis"/>
          <w:rFonts w:ascii="Times New Roman" w:hAnsi="Times New Roman"/>
          <w:i/>
          <w:caps w:val="false"/>
          <w:smallCaps w:val="false"/>
          <w:sz w:val="20"/>
        </w:rPr>
        <w:t>40</w:t>
      </w:r>
      <w:r>
        <w:rPr>
          <w:rFonts w:ascii="Times New Roman" w:hAnsi="Times New Roman"/>
          <w:i/>
          <w:caps w:val="false"/>
          <w:smallCaps w:val="false"/>
          <w:sz w:val="20"/>
        </w:rPr>
        <w:t xml:space="preserve">): Disaggregation of Income Statement Expenses. </w:t>
      </w:r>
      <w:r>
        <w:rPr>
          <w:rFonts w:ascii="Times New Roman" w:hAnsi="Times New Roman"/>
          <w:caps w:val="false"/>
          <w:smallCaps w:val="false"/>
          <w:sz w:val="20"/>
        </w:rPr>
        <w:t xml:space="preserve">The amendment amends the effective date of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to clarify that all public business entities are required to adopt the guidance in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within annual reporting periods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Early adoption of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is permitted.  The Company is currently evaluating the impact of ASU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xml:space="preserve"> as amended by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01,</w:t>
      </w:r>
      <w:r>
        <w:rPr>
          <w:rFonts w:ascii="Times New Roman" w:hAnsi="Times New Roman"/>
          <w:caps w:val="false"/>
          <w:smallCaps w:val="false"/>
          <w:sz w:val="20"/>
        </w:rPr>
        <w:t xml:space="preserve">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it to have a material effect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guidance within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xml:space="preserve"> </w:t>
      </w:r>
      <w:r>
        <w:rPr>
          <w:rFonts w:ascii="Times New Roman" w:hAnsi="Times New Roman"/>
          <w:i/>
          <w:caps w:val="false"/>
          <w:smallCaps w:val="false"/>
          <w:sz w:val="20"/>
        </w:rPr>
        <w:t>Interim Reporting</w:t>
      </w:r>
      <w:r>
        <w:rPr>
          <w:rFonts w:ascii="Times New Roman" w:hAnsi="Times New Roman"/>
          <w:caps w:val="false"/>
          <w:smallCaps w:val="false"/>
          <w:sz w:val="20"/>
        </w:rPr>
        <w:t xml:space="preserve">.  The ASU is intended to improve the navigability of the guidance in ASC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and clarify when it applies.  Under the amendments, an entity is subject to ASC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if it provides “interim financial statements and notes in accordance with GAAP.”  The ASU is effective for interim periods in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 xml:space="preserve">for public business entities, with a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-year deferral for all other entities. Early adoption is permitted for all entities. The Company is currently evaluating the impact of this ASU but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expect it to have a material effect on its consolidated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i/>
          <w:caps w:val="false"/>
          <w:smallCaps w:val="false"/>
          <w:sz w:val="20"/>
        </w:rPr>
        <w:t>Application of New Accounting Guidance Adopted in </w:t>
      </w:r>
      <w:r>
        <w:rPr>
          <w:rStyle w:val="Emphasis"/>
          <w:rFonts w:ascii="Times New Roman" w:hAnsi="Times New Roman"/>
          <w:b/>
          <w:i/>
          <w:caps w:val="false"/>
          <w:smallCaps w:val="false"/>
          <w:sz w:val="20"/>
        </w:rPr>
        <w:t>2026</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November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noBreakHyphen/>
        <w:t>08,</w:t>
      </w:r>
      <w:r>
        <w:rPr>
          <w:rFonts w:ascii="Times New Roman" w:hAnsi="Times New Roman"/>
          <w:caps w:val="false"/>
          <w:smallCaps w:val="false"/>
          <w:sz w:val="20"/>
        </w:rPr>
        <w:t xml:space="preserve"> </w:t>
      </w:r>
      <w:r>
        <w:rPr>
          <w:rFonts w:ascii="Times New Roman" w:hAnsi="Times New Roman"/>
          <w:i/>
          <w:caps w:val="false"/>
          <w:smallCaps w:val="false"/>
          <w:sz w:val="20"/>
        </w:rPr>
        <w:t>Financial Instruments</w:t>
      </w:r>
      <w:r>
        <w:rPr>
          <w:rFonts w:ascii="Times New Roman" w:hAnsi="Times New Roman"/>
          <w:caps w:val="false"/>
          <w:smallCaps w:val="false"/>
          <w:sz w:val="20"/>
        </w:rPr>
        <w:t>—</w:t>
      </w:r>
      <w:r>
        <w:rPr>
          <w:rFonts w:ascii="Times New Roman" w:hAnsi="Times New Roman"/>
          <w:i/>
          <w:caps w:val="false"/>
          <w:smallCaps w:val="false"/>
          <w:sz w:val="20"/>
        </w:rPr>
        <w:t xml:space="preserve">Credit Losses (Topic </w:t>
      </w:r>
      <w:r>
        <w:rPr>
          <w:rStyle w:val="Emphasis"/>
          <w:rFonts w:ascii="Times New Roman" w:hAnsi="Times New Roman"/>
          <w:i/>
          <w:caps w:val="false"/>
          <w:smallCaps w:val="false"/>
          <w:sz w:val="20"/>
        </w:rPr>
        <w:t>326</w:t>
      </w:r>
      <w:r>
        <w:rPr>
          <w:rFonts w:ascii="Times New Roman" w:hAnsi="Times New Roman"/>
          <w:i/>
          <w:caps w:val="false"/>
          <w:smallCaps w:val="false"/>
          <w:sz w:val="20"/>
        </w:rPr>
        <w:t>): Purchased Loans</w:t>
      </w:r>
      <w:r>
        <w:rPr>
          <w:rFonts w:ascii="Times New Roman" w:hAnsi="Times New Roman"/>
          <w:caps w:val="false"/>
          <w:smallCaps w:val="false"/>
          <w:sz w:val="20"/>
        </w:rPr>
        <w:t>, which expands and clarifies acquisition</w:t>
        <w:noBreakHyphen/>
        <w:t>date accounting for certain purchased loans under the Current Expected Credit Loss ("CECL") model, including the use of a gross</w:t>
        <w:noBreakHyphen/>
        <w:t xml:space="preserve">up approach for specified acquired loans. Although the ASU is effective for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 xml:space="preserve">and interim periods within those fiscal years, the Company early adopted the guidance effective </w:t>
      </w:r>
      <w:r>
        <w:rPr>
          <w:rStyle w:val="Emphasis"/>
          <w:rFonts w:ascii="Times New Roman" w:hAnsi="Times New Roman"/>
          <w:caps w:val="false"/>
          <w:smallCaps w:val="false"/>
          <w:sz w:val="20"/>
        </w:rPr>
        <w:t xml:space="preserve">January 1, 2026. </w:t>
      </w:r>
      <w:r>
        <w:rPr>
          <w:rFonts w:ascii="Times New Roman" w:hAnsi="Times New Roman"/>
          <w:caps w:val="false"/>
          <w:smallCaps w:val="false"/>
          <w:sz w:val="20"/>
        </w:rPr>
        <w:t xml:space="preserve">Adoption of the ASU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impact on the Company’s consolidated financial statements or related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NOTE</w:t>
      </w:r>
      <w:r>
        <w:rPr>
          <w:rFonts w:ascii="Times New Roman" w:hAnsi="Times New Roman"/>
          <w:caps w:val="false"/>
          <w:smallCaps w:val="false"/>
          <w:sz w:val="20"/>
        </w:rPr>
        <w:t xml:space="preserve"> </w:t>
      </w:r>
      <w:r>
        <w:rPr>
          <w:rStyle w:val="Emphasis"/>
          <w:rFonts w:ascii="Times New Roman" w:hAnsi="Times New Roman"/>
          <w:b/>
          <w:caps w:val="false"/>
          <w:smallCaps w:val="false"/>
          <w:sz w:val="20"/>
        </w:rPr>
        <w:t>2</w:t>
      </w:r>
      <w:r>
        <w:rPr>
          <w:rFonts w:ascii="Times New Roman" w:hAnsi="Times New Roman"/>
          <w:caps w:val="false"/>
          <w:smallCaps w:val="false"/>
          <w:sz w:val="20"/>
        </w:rPr>
        <w:t xml:space="preserve"> – </w:t>
      </w:r>
      <w:r>
        <w:rPr>
          <w:rFonts w:ascii="Times New Roman" w:hAnsi="Times New Roman"/>
          <w:b/>
          <w:caps w:val="false"/>
          <w:smallCaps w:val="false"/>
          <w:sz w:val="20"/>
        </w:rPr>
        <w:t>INVESTMENTS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tables present the amortized costs, unrealized gains, unrealized losses, estimated fair values of securities available-for-sale and held-to-maturity, and the ACL on securities available-for-sale and held-to-maturity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687" w:type="dxa"/>
        <w:jc w:val="left"/>
        <w:tblInd w:w="0" w:type="dxa"/>
        <w:tblLayout w:type="fixed"/>
        <w:tblCellMar>
          <w:top w:w="0" w:type="dxa"/>
          <w:left w:w="0" w:type="dxa"/>
          <w:bottom w:w="0" w:type="dxa"/>
          <w:right w:w="0" w:type="dxa"/>
        </w:tblCellMar>
      </w:tblPr>
      <w:tblGrid>
        <w:gridCol w:w="3425"/>
        <w:gridCol w:w="23"/>
        <w:gridCol w:w="128"/>
        <w:gridCol w:w="717"/>
        <w:gridCol w:w="23"/>
        <w:gridCol w:w="23"/>
        <w:gridCol w:w="188"/>
        <w:gridCol w:w="732"/>
        <w:gridCol w:w="23"/>
        <w:gridCol w:w="23"/>
        <w:gridCol w:w="148"/>
        <w:gridCol w:w="772"/>
        <w:gridCol w:w="80"/>
        <w:gridCol w:w="23"/>
        <w:gridCol w:w="126"/>
        <w:gridCol w:w="704"/>
        <w:gridCol w:w="23"/>
        <w:gridCol w:w="23"/>
        <w:gridCol w:w="125"/>
        <w:gridCol w:w="335"/>
        <w:gridCol w:w="23"/>
      </w:tblGrid>
      <w:tr>
        <w:trPr/>
        <w:tc>
          <w:tcPr>
            <w:tcW w:w="342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4216"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2026</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42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8"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3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Estimated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r>
      <w:tr>
        <w:trPr/>
        <w:tc>
          <w:tcPr>
            <w:tcW w:w="342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84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3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r>
      <w:tr>
        <w:trPr/>
        <w:tc>
          <w:tcPr>
            <w:tcW w:w="3425"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SECURITIES AVAILABLE-FOR-SALE</w:t>
            </w:r>
          </w:p>
        </w:tc>
        <w:tc>
          <w:tcPr>
            <w:tcW w:w="23" w:type="dxa"/>
            <w:tcBorders/>
            <w:vAlign w:val="center"/>
          </w:tcPr>
          <w:p>
            <w:pPr>
              <w:pStyle w:val="TableContents"/>
              <w:bidi w:val="0"/>
              <w:spacing w:before="0" w:after="0"/>
              <w:ind w:left="0" w:right="0" w:hanging="0"/>
              <w:jc w:val="left"/>
              <w:rPr/>
            </w:pPr>
            <w:r>
              <w:rPr/>
              <w:t>​</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Cost</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Gains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Losses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ACL</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4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agency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20,272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(2,303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18,032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3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4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16,000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7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7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7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15,498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33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425" w:type="dxa"/>
            <w:tcBorders/>
            <w:shd w:fill="CCEEFF" w:val="clear"/>
            <w:vAlign w:val="center"/>
          </w:tcPr>
          <w:p>
            <w:pPr>
              <w:pStyle w:val="TableContents"/>
              <w:bidi w:val="0"/>
              <w:spacing w:before="0" w:after="283"/>
              <w:ind w:left="180" w:right="0" w:hanging="0"/>
              <w:jc w:val="left"/>
              <w:rPr>
                <w:rFonts w:ascii="Times New Roman" w:hAnsi="Times New Roman"/>
                <w:caps w:val="false"/>
                <w:smallCaps w:val="false"/>
                <w:sz w:val="20"/>
              </w:rPr>
            </w:pPr>
            <w:r>
              <w:rPr>
                <w:rFonts w:ascii="Times New Roman" w:hAnsi="Times New Roman"/>
                <w:caps w:val="false"/>
                <w:smallCaps w:val="false"/>
                <w:sz w:val="20"/>
              </w:rPr>
              <w:t>Municipal bonds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79,341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(9,226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70,120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4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Mortgage-backed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165,956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7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7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(9,783</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7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156,758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33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4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Asset-backed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9,748</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(696</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9,052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42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securities available-for-sale</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291,317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(22,518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269,460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425" w:type="dxa"/>
            <w:tcBorders/>
            <w:shd w:fill="CCEEFF" w:val="clear"/>
            <w:vAlign w:val="center"/>
          </w:tcPr>
          <w:p>
            <w:pPr>
              <w:pStyle w:val="TableContents"/>
              <w:bidi w:val="0"/>
              <w:spacing w:before="0" w:after="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42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732"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772"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704"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33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4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32,989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33,105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42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Municipal bonds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4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securities held-to-maturity</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35,122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719</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(658</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35,183</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425" w:type="dxa"/>
            <w:tcBorders/>
            <w:shd w:fill="FFFFFF" w:val="clear"/>
            <w:vAlign w:val="center"/>
          </w:tcPr>
          <w:p>
            <w:pPr>
              <w:pStyle w:val="TableContents"/>
              <w:bidi w:val="0"/>
              <w:spacing w:before="0" w:after="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732"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772"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704"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33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4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326,439</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1,380</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(23,176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304,643</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jc w:val="left"/>
        <w:rPr/>
      </w:pPr>
      <w:r>
        <w:rPr/>
        <w:t xml:space="preserve">  </w:t>
      </w:r>
    </w:p>
    <w:tbl>
      <w:tblPr>
        <w:tblW w:w="7687" w:type="dxa"/>
        <w:jc w:val="left"/>
        <w:tblInd w:w="0" w:type="dxa"/>
        <w:tblLayout w:type="fixed"/>
        <w:tblCellMar>
          <w:top w:w="0" w:type="dxa"/>
          <w:left w:w="0" w:type="dxa"/>
          <w:bottom w:w="0" w:type="dxa"/>
          <w:right w:w="0" w:type="dxa"/>
        </w:tblCellMar>
      </w:tblPr>
      <w:tblGrid>
        <w:gridCol w:w="3425"/>
        <w:gridCol w:w="23"/>
        <w:gridCol w:w="128"/>
        <w:gridCol w:w="717"/>
        <w:gridCol w:w="23"/>
        <w:gridCol w:w="23"/>
        <w:gridCol w:w="188"/>
        <w:gridCol w:w="732"/>
        <w:gridCol w:w="23"/>
        <w:gridCol w:w="23"/>
        <w:gridCol w:w="148"/>
        <w:gridCol w:w="772"/>
        <w:gridCol w:w="80"/>
        <w:gridCol w:w="23"/>
        <w:gridCol w:w="126"/>
        <w:gridCol w:w="704"/>
        <w:gridCol w:w="23"/>
        <w:gridCol w:w="23"/>
        <w:gridCol w:w="125"/>
        <w:gridCol w:w="335"/>
        <w:gridCol w:w="23"/>
      </w:tblGrid>
      <w:tr>
        <w:trPr/>
        <w:tc>
          <w:tcPr>
            <w:tcW w:w="342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4216"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42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8" w:type="dxa"/>
            <w:tcBorders/>
            <w:vAlign w:val="center"/>
          </w:tcPr>
          <w:p>
            <w:pPr>
              <w:pStyle w:val="TableContents"/>
              <w:bidi w:val="0"/>
              <w:spacing w:before="0" w:after="0"/>
              <w:ind w:left="0" w:right="0" w:hanging="0"/>
              <w:jc w:val="left"/>
              <w:rPr/>
            </w:pPr>
            <w:r>
              <w:rPr/>
              <w:t>​</w:t>
            </w:r>
          </w:p>
        </w:tc>
        <w:tc>
          <w:tcPr>
            <w:tcW w:w="717"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88" w:type="dxa"/>
            <w:tcBorders/>
            <w:vAlign w:val="center"/>
          </w:tcPr>
          <w:p>
            <w:pPr>
              <w:pStyle w:val="TableContents"/>
              <w:bidi w:val="0"/>
              <w:spacing w:before="0" w:after="0"/>
              <w:ind w:left="0" w:right="0" w:hanging="0"/>
              <w:jc w:val="left"/>
              <w:rPr/>
            </w:pPr>
            <w:r>
              <w:rPr/>
              <w:t>​</w:t>
            </w:r>
          </w:p>
        </w:tc>
        <w:tc>
          <w:tcPr>
            <w:tcW w:w="732"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772"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3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Estimated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r>
      <w:tr>
        <w:trPr/>
        <w:tc>
          <w:tcPr>
            <w:tcW w:w="342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84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Unrealized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3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33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r>
      <w:tr>
        <w:trPr/>
        <w:tc>
          <w:tcPr>
            <w:tcW w:w="3425"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SECURITIES AVAILABLE-FOR-SALE</w:t>
            </w:r>
          </w:p>
        </w:tc>
        <w:tc>
          <w:tcPr>
            <w:tcW w:w="23" w:type="dxa"/>
            <w:tcBorders/>
            <w:vAlign w:val="center"/>
          </w:tcPr>
          <w:p>
            <w:pPr>
              <w:pStyle w:val="TableContents"/>
              <w:bidi w:val="0"/>
              <w:spacing w:before="0" w:after="0"/>
              <w:ind w:left="0" w:right="0" w:hanging="0"/>
              <w:jc w:val="left"/>
              <w:rPr/>
            </w:pPr>
            <w:r>
              <w:rPr/>
              <w:t>​</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Cost</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Gains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Losses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ACL</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4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agency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20,264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18,127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3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4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16,000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7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7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7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15,386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33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4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Municipal bonds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81,156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(9,755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71,405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42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Mortgage-backed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181,849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7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77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(9,039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7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173,567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33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4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Asset-backed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10,828</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(647</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10,182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42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securities available-for-sale</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310,097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(22,263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288,667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425" w:type="dxa"/>
            <w:tcBorders/>
            <w:shd w:fill="CCEEFF" w:val="clear"/>
            <w:vAlign w:val="center"/>
          </w:tcPr>
          <w:p>
            <w:pPr>
              <w:pStyle w:val="TableContents"/>
              <w:bidi w:val="0"/>
              <w:spacing w:before="0" w:after="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425"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732"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772"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704"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33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42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31,393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7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77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7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32,075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33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42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Municipal bonds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2,321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4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securities held-to-maturity</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33,501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1,044</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34,396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425" w:type="dxa"/>
            <w:tcBorders/>
            <w:shd w:fill="FFFFFF" w:val="clear"/>
            <w:vAlign w:val="center"/>
          </w:tcPr>
          <w:p>
            <w:pPr>
              <w:pStyle w:val="TableContents"/>
              <w:bidi w:val="0"/>
              <w:spacing w:before="0" w:after="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732"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772"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704"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33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42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343,598</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1,877</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(22,412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323,063</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3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The following table presents the activity in the ACL on securities held-to-maturity by major security type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366" w:type="dxa"/>
        <w:jc w:val="left"/>
        <w:tblInd w:w="0" w:type="dxa"/>
        <w:tblLayout w:type="fixed"/>
        <w:tblCellMar>
          <w:top w:w="0" w:type="dxa"/>
          <w:left w:w="0" w:type="dxa"/>
          <w:bottom w:w="0" w:type="dxa"/>
          <w:right w:w="0" w:type="dxa"/>
        </w:tblCellMar>
      </w:tblPr>
      <w:tblGrid>
        <w:gridCol w:w="3260"/>
        <w:gridCol w:w="23"/>
        <w:gridCol w:w="396"/>
        <w:gridCol w:w="1062"/>
        <w:gridCol w:w="72"/>
        <w:gridCol w:w="72"/>
        <w:gridCol w:w="396"/>
        <w:gridCol w:w="1062"/>
        <w:gridCol w:w="23"/>
      </w:tblGrid>
      <w:tr>
        <w:trPr/>
        <w:tc>
          <w:tcPr>
            <w:tcW w:w="3260"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23" w:type="dxa"/>
            <w:tcBorders/>
            <w:vAlign w:val="center"/>
          </w:tcPr>
          <w:p>
            <w:pPr>
              <w:pStyle w:val="TableContents"/>
              <w:bidi w:val="0"/>
              <w:spacing w:before="0" w:after="0"/>
              <w:ind w:left="0" w:right="0" w:hanging="0"/>
              <w:jc w:val="left"/>
              <w:rPr/>
            </w:pPr>
            <w:r>
              <w:rPr/>
              <w:t>​</w:t>
            </w:r>
          </w:p>
        </w:tc>
        <w:tc>
          <w:tcPr>
            <w:tcW w:w="30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Three Months Ended June 30,</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23" w:type="dxa"/>
            <w:tcBorders/>
            <w:vAlign w:val="center"/>
          </w:tcPr>
          <w:p>
            <w:pPr>
              <w:pStyle w:val="TableContents"/>
              <w:bidi w:val="0"/>
              <w:spacing w:before="0" w:after="0"/>
              <w:ind w:left="0" w:right="0" w:hanging="0"/>
              <w:jc w:val="left"/>
              <w:rPr/>
            </w:pPr>
            <w:r>
              <w:rPr/>
              <w:t>​</w:t>
            </w:r>
          </w:p>
        </w:tc>
        <w:tc>
          <w:tcPr>
            <w:tcW w:w="14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7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72" w:type="dxa"/>
            <w:tcBorders/>
            <w:vAlign w:val="center"/>
          </w:tcPr>
          <w:p>
            <w:pPr>
              <w:pStyle w:val="TableContents"/>
              <w:bidi w:val="0"/>
              <w:spacing w:before="0" w:after="0"/>
              <w:ind w:left="0" w:right="0" w:hanging="0"/>
              <w:jc w:val="left"/>
              <w:rPr/>
            </w:pPr>
            <w:r>
              <w:rPr/>
              <w:t>​</w:t>
            </w:r>
          </w:p>
        </w:tc>
        <w:tc>
          <w:tcPr>
            <w:tcW w:w="14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Beginning ACL balance</w:t>
            </w:r>
          </w:p>
        </w:tc>
        <w:tc>
          <w:tcPr>
            <w:tcW w:w="23"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6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w:t>
            </w:r>
          </w:p>
        </w:tc>
        <w:tc>
          <w:tcPr>
            <w:tcW w:w="72" w:type="dxa"/>
            <w:tcBorders/>
            <w:shd w:fill="CCEEFF" w:val="clear"/>
            <w:vAlign w:val="center"/>
          </w:tcPr>
          <w:p>
            <w:pPr>
              <w:pStyle w:val="TableContents"/>
              <w:bidi w:val="0"/>
              <w:spacing w:before="0" w:after="0"/>
              <w:ind w:left="0" w:right="0" w:hanging="0"/>
              <w:jc w:val="left"/>
              <w:rPr/>
            </w:pPr>
            <w:r>
              <w:rPr/>
              <w:t>​</w:t>
            </w:r>
          </w:p>
        </w:tc>
        <w:tc>
          <w:tcPr>
            <w:tcW w:w="72"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6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26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Provision for credit losses</w:t>
            </w:r>
          </w:p>
        </w:tc>
        <w:tc>
          <w:tcPr>
            <w:tcW w:w="23" w:type="dxa"/>
            <w:tcBorders/>
            <w:shd w:fill="FFFFFF" w:val="clear"/>
            <w:vAlign w:val="center"/>
          </w:tcPr>
          <w:p>
            <w:pPr>
              <w:pStyle w:val="TableContents"/>
              <w:bidi w:val="0"/>
              <w:spacing w:before="0" w:after="0"/>
              <w:ind w:left="0" w:right="0" w:hanging="0"/>
              <w:jc w:val="left"/>
              <w:rPr/>
            </w:pPr>
            <w:r>
              <w:rPr/>
              <w:t>​</w:t>
            </w:r>
          </w:p>
        </w:tc>
        <w:tc>
          <w:tcPr>
            <w:tcW w:w="3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6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7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2" w:type="dxa"/>
            <w:tcBorders/>
            <w:shd w:fill="FFFFFF" w:val="clear"/>
            <w:vAlign w:val="center"/>
          </w:tcPr>
          <w:p>
            <w:pPr>
              <w:pStyle w:val="TableContents"/>
              <w:bidi w:val="0"/>
              <w:spacing w:before="0" w:after="0"/>
              <w:ind w:left="0" w:right="0" w:hanging="0"/>
              <w:jc w:val="left"/>
              <w:rPr/>
            </w:pPr>
            <w:r>
              <w:rPr/>
              <w:t>​</w:t>
            </w:r>
          </w:p>
        </w:tc>
        <w:tc>
          <w:tcPr>
            <w:tcW w:w="39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6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ending ACL balance</w:t>
            </w:r>
          </w:p>
        </w:tc>
        <w:tc>
          <w:tcPr>
            <w:tcW w:w="23" w:type="dxa"/>
            <w:tcBorders/>
            <w:shd w:fill="CCEEFF" w:val="clear"/>
            <w:vAlign w:val="center"/>
          </w:tcPr>
          <w:p>
            <w:pPr>
              <w:pStyle w:val="TableContents"/>
              <w:bidi w:val="0"/>
              <w:spacing w:before="0" w:after="0"/>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w:t>
            </w:r>
          </w:p>
        </w:tc>
        <w:tc>
          <w:tcPr>
            <w:tcW w:w="7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 w:type="dxa"/>
            <w:tcBorders/>
            <w:shd w:fill="CCEEFF" w:val="clear"/>
            <w:vAlign w:val="center"/>
          </w:tcPr>
          <w:p>
            <w:pPr>
              <w:pStyle w:val="TableContents"/>
              <w:bidi w:val="0"/>
              <w:spacing w:before="0" w:after="0"/>
              <w:ind w:left="0" w:right="0" w:hanging="0"/>
              <w:jc w:val="left"/>
              <w:rPr/>
            </w:pPr>
            <w:r>
              <w:rPr/>
              <w:t>​</w:t>
            </w:r>
          </w:p>
        </w:tc>
        <w:tc>
          <w:tcPr>
            <w:tcW w:w="39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6174" w:type="dxa"/>
        <w:jc w:val="left"/>
        <w:tblInd w:w="0" w:type="dxa"/>
        <w:tblLayout w:type="fixed"/>
        <w:tblCellMar>
          <w:top w:w="0" w:type="dxa"/>
          <w:left w:w="0" w:type="dxa"/>
          <w:bottom w:w="0" w:type="dxa"/>
          <w:right w:w="0" w:type="dxa"/>
        </w:tblCellMar>
      </w:tblPr>
      <w:tblGrid>
        <w:gridCol w:w="3260"/>
        <w:gridCol w:w="23"/>
        <w:gridCol w:w="371"/>
        <w:gridCol w:w="995"/>
        <w:gridCol w:w="68"/>
        <w:gridCol w:w="68"/>
        <w:gridCol w:w="371"/>
        <w:gridCol w:w="995"/>
        <w:gridCol w:w="23"/>
      </w:tblGrid>
      <w:tr>
        <w:trPr/>
        <w:tc>
          <w:tcPr>
            <w:tcW w:w="3260"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23" w:type="dxa"/>
            <w:tcBorders/>
            <w:vAlign w:val="center"/>
          </w:tcPr>
          <w:p>
            <w:pPr>
              <w:pStyle w:val="TableContents"/>
              <w:bidi w:val="0"/>
              <w:spacing w:before="0" w:after="0"/>
              <w:ind w:left="0" w:right="0" w:hanging="0"/>
              <w:jc w:val="left"/>
              <w:rPr/>
            </w:pPr>
            <w:r>
              <w:rPr/>
              <w:t>​</w:t>
            </w:r>
          </w:p>
        </w:tc>
        <w:tc>
          <w:tcPr>
            <w:tcW w:w="286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Six Months Ended June 30,</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260" w:type="dxa"/>
            <w:tcBorders/>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23" w:type="dxa"/>
            <w:tcBorders/>
            <w:vAlign w:val="center"/>
          </w:tcPr>
          <w:p>
            <w:pPr>
              <w:pStyle w:val="TableContents"/>
              <w:bidi w:val="0"/>
              <w:spacing w:before="0" w:after="0"/>
              <w:ind w:left="0" w:right="0" w:hanging="0"/>
              <w:jc w:val="left"/>
              <w:rPr/>
            </w:pPr>
            <w:r>
              <w:rPr/>
              <w:t>​</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 w:type="dxa"/>
            <w:tcBorders/>
            <w:vAlign w:val="center"/>
          </w:tcPr>
          <w:p>
            <w:pPr>
              <w:pStyle w:val="TableContents"/>
              <w:bidi w:val="0"/>
              <w:spacing w:before="0" w:after="0"/>
              <w:ind w:left="0" w:right="0" w:hanging="0"/>
              <w:jc w:val="left"/>
              <w:rPr/>
            </w:pPr>
            <w:r>
              <w:rPr/>
              <w:t>​</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Beginning ACL balance</w:t>
            </w:r>
          </w:p>
        </w:tc>
        <w:tc>
          <w:tcPr>
            <w:tcW w:w="23"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w:t>
            </w:r>
          </w:p>
        </w:tc>
        <w:tc>
          <w:tcPr>
            <w:tcW w:w="68" w:type="dxa"/>
            <w:tcBorders/>
            <w:shd w:fill="CCEEFF" w:val="clear"/>
            <w:vAlign w:val="center"/>
          </w:tcPr>
          <w:p>
            <w:pPr>
              <w:pStyle w:val="TableContents"/>
              <w:bidi w:val="0"/>
              <w:spacing w:before="0" w:after="0"/>
              <w:ind w:left="0" w:right="0" w:hanging="0"/>
              <w:jc w:val="left"/>
              <w:rPr/>
            </w:pPr>
            <w:r>
              <w:rPr/>
              <w:t>​</w:t>
            </w:r>
          </w:p>
        </w:tc>
        <w:tc>
          <w:tcPr>
            <w:tcW w:w="68"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26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Provision for credit losses</w:t>
            </w:r>
          </w:p>
        </w:tc>
        <w:tc>
          <w:tcPr>
            <w:tcW w:w="23" w:type="dxa"/>
            <w:tcBorders/>
            <w:shd w:fill="FFFF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8" w:type="dxa"/>
            <w:tcBorders/>
            <w:shd w:fill="FFFF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2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ending ACL balance</w:t>
            </w:r>
          </w:p>
        </w:tc>
        <w:tc>
          <w:tcPr>
            <w:tcW w:w="23" w:type="dxa"/>
            <w:tcBorders/>
            <w:shd w:fill="CCEEFF" w:val="clear"/>
            <w:vAlign w:val="center"/>
          </w:tcPr>
          <w:p>
            <w:pPr>
              <w:pStyle w:val="TableContents"/>
              <w:bidi w:val="0"/>
              <w:spacing w:before="0" w:after="0"/>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 w:type="dxa"/>
            <w:tcBorders/>
            <w:shd w:fill="CCEEFF" w:val="clear"/>
            <w:vAlign w:val="center"/>
          </w:tcPr>
          <w:p>
            <w:pPr>
              <w:pStyle w:val="TableContents"/>
              <w:bidi w:val="0"/>
              <w:spacing w:before="0" w:after="0"/>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Management measures expected credit losses on held-to-maturity debt securities on an individual basis. The estimate of expected credit losses considers historical credit loss information that is adjusted for current conditions and reasonable and supportable forecasts.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in credit loss reserves during the period, as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changes to the credit loss model and securities balances remained relatively flat. Accrued interest receivable totaled $672,000 and $271,000 on held-to-maturity debt securities and $1.1 million and $1.2 million on available-for-sale debt securities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respectively.  Accrued interest receivable on securities is reported in “Accrued interest receivable” on the Consolidated Balance Sheets and is excluded from the calculation of the ACL.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monitors the credit quality of debt securities held-to-maturity quarterly using credit rating, material event notices, and changes in market value. The following table summarizes the amortized cost of debt securities held-to-maturity at the dates indicated, aggregated by credit quality indicator:</w:t>
      </w:r>
    </w:p>
    <w:p>
      <w:pPr>
        <w:pStyle w:val="TextBody"/>
        <w:bidi w:val="0"/>
        <w:spacing w:before="0" w:after="0"/>
        <w:ind w:left="0" w:right="0" w:hanging="0"/>
        <w:jc w:val="both"/>
        <w:rPr>
          <w:caps w:val="false"/>
          <w:smallCaps w:val="false"/>
        </w:rPr>
      </w:pPr>
      <w:r>
        <w:rPr>
          <w:caps w:val="false"/>
          <w:smallCaps w:val="false"/>
        </w:rPr>
        <w:t> </w:t>
      </w:r>
    </w:p>
    <w:tbl>
      <w:tblPr>
        <w:tblW w:w="3576" w:type="dxa"/>
        <w:jc w:val="left"/>
        <w:tblInd w:w="0" w:type="dxa"/>
        <w:tblLayout w:type="fixed"/>
        <w:tblCellMar>
          <w:top w:w="0" w:type="dxa"/>
          <w:left w:w="0" w:type="dxa"/>
          <w:bottom w:w="0" w:type="dxa"/>
          <w:right w:w="0" w:type="dxa"/>
        </w:tblCellMar>
      </w:tblPr>
      <w:tblGrid>
        <w:gridCol w:w="1640"/>
        <w:gridCol w:w="23"/>
        <w:gridCol w:w="125"/>
        <w:gridCol w:w="590"/>
        <w:gridCol w:w="23"/>
        <w:gridCol w:w="23"/>
        <w:gridCol w:w="197"/>
        <w:gridCol w:w="932"/>
        <w:gridCol w:w="23"/>
      </w:tblGrid>
      <w:tr>
        <w:trPr/>
        <w:tc>
          <w:tcPr>
            <w:tcW w:w="164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29"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December 31,</w:t>
            </w:r>
          </w:p>
        </w:tc>
        <w:tc>
          <w:tcPr>
            <w:tcW w:w="23" w:type="dxa"/>
            <w:tcBorders/>
            <w:vAlign w:val="center"/>
          </w:tcPr>
          <w:p>
            <w:pPr>
              <w:pStyle w:val="TableContents"/>
              <w:bidi w:val="0"/>
              <w:spacing w:before="0" w:after="0"/>
              <w:ind w:left="0" w:right="0" w:hanging="0"/>
              <w:jc w:val="left"/>
              <w:rPr/>
            </w:pPr>
            <w:r>
              <w:rPr/>
              <w:t>​</w:t>
            </w:r>
          </w:p>
        </w:tc>
      </w:tr>
      <w:tr>
        <w:trPr/>
        <w:tc>
          <w:tcPr>
            <w:tcW w:w="1640" w:type="dxa"/>
            <w:tcBorders/>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64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BBB</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31,989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29,521</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164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BB</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97" w:type="dxa"/>
            <w:tcBorders/>
            <w:shd w:fill="FFFFFF" w:val="clear"/>
            <w:vAlign w:val="center"/>
          </w:tcPr>
          <w:p>
            <w:pPr>
              <w:pStyle w:val="TableContents"/>
              <w:bidi w:val="0"/>
              <w:spacing w:before="0" w:after="0"/>
              <w:ind w:left="0" w:right="0" w:hanging="0"/>
              <w:jc w:val="left"/>
              <w:rPr/>
            </w:pPr>
            <w:r>
              <w:rPr/>
              <w:t>​</w:t>
            </w:r>
          </w:p>
        </w:tc>
        <w:tc>
          <w:tcPr>
            <w:tcW w:w="93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1,872</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16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Municipal bonds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32"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164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3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164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35,122</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33,501</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there were no debt securities held-to-maturity that were classified as either nonaccrual or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or more past due and still accruing interest.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 presents,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investment securities which were pledged to secure borrowings, public deposits, or other obligations as permitted or required by law:</w:t>
      </w:r>
    </w:p>
    <w:p>
      <w:pPr>
        <w:pStyle w:val="TextBody"/>
        <w:bidi w:val="0"/>
        <w:spacing w:before="0" w:after="0"/>
        <w:ind w:left="0" w:right="0" w:hanging="0"/>
        <w:jc w:val="both"/>
        <w:rPr>
          <w:caps w:val="false"/>
          <w:smallCaps w:val="false"/>
        </w:rPr>
      </w:pPr>
      <w:r>
        <w:rPr>
          <w:caps w:val="false"/>
          <w:smallCaps w:val="false"/>
        </w:rPr>
        <w:t> </w:t>
      </w:r>
    </w:p>
    <w:tbl>
      <w:tblPr>
        <w:tblW w:w="7085" w:type="dxa"/>
        <w:jc w:val="left"/>
        <w:tblInd w:w="0" w:type="dxa"/>
        <w:tblLayout w:type="fixed"/>
        <w:tblCellMar>
          <w:top w:w="0" w:type="dxa"/>
          <w:left w:w="0" w:type="dxa"/>
          <w:bottom w:w="0" w:type="dxa"/>
          <w:right w:w="0" w:type="dxa"/>
        </w:tblCellMar>
      </w:tblPr>
      <w:tblGrid>
        <w:gridCol w:w="3530"/>
        <w:gridCol w:w="23"/>
        <w:gridCol w:w="220"/>
        <w:gridCol w:w="1044"/>
        <w:gridCol w:w="23"/>
        <w:gridCol w:w="23"/>
        <w:gridCol w:w="224"/>
        <w:gridCol w:w="1070"/>
        <w:gridCol w:w="23"/>
        <w:gridCol w:w="23"/>
        <w:gridCol w:w="150"/>
        <w:gridCol w:w="709"/>
        <w:gridCol w:w="23"/>
      </w:tblGrid>
      <w:tr>
        <w:trPr/>
        <w:tc>
          <w:tcPr>
            <w:tcW w:w="353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350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2026</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30" w:type="dxa"/>
            <w:tcBorders/>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Purpose or beneficiary</w:t>
            </w:r>
          </w:p>
        </w:tc>
        <w:tc>
          <w:tcPr>
            <w:tcW w:w="23" w:type="dxa"/>
            <w:tcBorders/>
            <w:vAlign w:val="center"/>
          </w:tcPr>
          <w:p>
            <w:pPr>
              <w:pStyle w:val="TableContents"/>
              <w:bidi w:val="0"/>
              <w:spacing w:before="0" w:after="0"/>
              <w:ind w:left="0" w:right="0" w:hanging="0"/>
              <w:jc w:val="left"/>
              <w:rPr/>
            </w:pPr>
            <w:r>
              <w:rPr/>
              <w:t>​</w:t>
            </w:r>
          </w:p>
        </w:tc>
        <w:tc>
          <w:tcPr>
            <w:tcW w:w="12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Carrying Value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Amortized Cost</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Fair Value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53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State and local government public deposits</w:t>
            </w:r>
          </w:p>
        </w:tc>
        <w:tc>
          <w:tcPr>
            <w:tcW w:w="23"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22,618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25,618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0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22,618</w:t>
            </w:r>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Investment securities that were in an unrealized loss position at the dates indicated are presented in the following tables, based on the length of time individual securities have been in an unrealized loss position.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47"/>
        <w:gridCol w:w="23"/>
        <w:gridCol w:w="143"/>
        <w:gridCol w:w="682"/>
        <w:gridCol w:w="26"/>
        <w:gridCol w:w="26"/>
        <w:gridCol w:w="251"/>
        <w:gridCol w:w="1104"/>
        <w:gridCol w:w="80"/>
        <w:gridCol w:w="23"/>
        <w:gridCol w:w="130"/>
        <w:gridCol w:w="728"/>
        <w:gridCol w:w="23"/>
        <w:gridCol w:w="23"/>
        <w:gridCol w:w="216"/>
        <w:gridCol w:w="1138"/>
        <w:gridCol w:w="80"/>
        <w:gridCol w:w="23"/>
        <w:gridCol w:w="129"/>
        <w:gridCol w:w="720"/>
        <w:gridCol w:w="23"/>
        <w:gridCol w:w="23"/>
        <w:gridCol w:w="216"/>
        <w:gridCol w:w="1138"/>
        <w:gridCol w:w="90"/>
      </w:tblGrid>
      <w:tr>
        <w:trPr/>
        <w:tc>
          <w:tcPr>
            <w:tcW w:w="3147"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6945"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2026</w:t>
            </w:r>
          </w:p>
        </w:tc>
        <w:tc>
          <w:tcPr>
            <w:tcW w:w="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47"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Less than 12 Months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5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 Months or Longer</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4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47"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SECURITIES AVAILABLE-FOR-SALE</w:t>
            </w:r>
          </w:p>
        </w:tc>
        <w:tc>
          <w:tcPr>
            <w:tcW w:w="23" w:type="dxa"/>
            <w:tcBorders/>
            <w:vAlign w:val="center"/>
          </w:tcPr>
          <w:p>
            <w:pPr>
              <w:pStyle w:val="TableContents"/>
              <w:bidi w:val="0"/>
              <w:spacing w:before="0" w:after="0"/>
              <w:ind w:left="0" w:right="0" w:hanging="0"/>
              <w:jc w:val="left"/>
              <w:rPr/>
            </w:pPr>
            <w:r>
              <w:rPr/>
              <w:t>​</w:t>
            </w:r>
          </w:p>
        </w:tc>
        <w:tc>
          <w:tcPr>
            <w:tcW w:w="8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Fair Value</w:t>
            </w:r>
          </w:p>
        </w:tc>
        <w:tc>
          <w:tcPr>
            <w:tcW w:w="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6" w:type="dxa"/>
            <w:tcBorders/>
            <w:vAlign w:val="center"/>
          </w:tcPr>
          <w:p>
            <w:pPr>
              <w:pStyle w:val="TableContents"/>
              <w:bidi w:val="0"/>
              <w:spacing w:before="0" w:after="0"/>
              <w:ind w:left="0" w:right="0" w:hanging="0"/>
              <w:jc w:val="left"/>
              <w:rPr/>
            </w:pPr>
            <w:r>
              <w:rPr/>
              <w:t>​</w:t>
            </w:r>
          </w:p>
        </w:tc>
        <w:tc>
          <w:tcPr>
            <w:tcW w:w="13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Unrealized Losses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Fair Value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Unrealized Losses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Fair Value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Unrealized Losses</w:t>
            </w:r>
          </w:p>
        </w:tc>
        <w:tc>
          <w:tcPr>
            <w:tcW w:w="9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4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agency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2" w:type="dxa"/>
            <w:tcBorders/>
            <w:shd w:fill="CCEEFF" w:val="clear"/>
            <w:vAlign w:val="center"/>
          </w:tcPr>
          <w:p>
            <w:pPr>
              <w:pStyle w:val="TableContents"/>
              <w:bidi w:val="0"/>
              <w:spacing w:before="0" w:after="0"/>
              <w:ind w:left="0" w:right="0" w:hanging="0"/>
              <w:jc w:val="righ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4"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15,968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(2,303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15,968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(2,303</w:t>
            </w:r>
          </w:p>
        </w:tc>
        <w:tc>
          <w:tcPr>
            <w:tcW w:w="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47" w:type="dxa"/>
            <w:tcBorders/>
            <w:shd w:fill="FFFFFF" w:val="clear"/>
            <w:vAlign w:val="center"/>
          </w:tcPr>
          <w:p>
            <w:pPr>
              <w:pStyle w:val="TableContents"/>
              <w:bidi w:val="0"/>
              <w:spacing w:before="0" w:after="283"/>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43" w:type="dxa"/>
            <w:tcBorders/>
            <w:shd w:fill="FFFFFF" w:val="clear"/>
            <w:vAlign w:val="center"/>
          </w:tcPr>
          <w:p>
            <w:pPr>
              <w:pStyle w:val="TableContents"/>
              <w:bidi w:val="0"/>
              <w:spacing w:before="0" w:after="0"/>
              <w:ind w:left="0" w:right="0" w:hanging="0"/>
              <w:jc w:val="left"/>
              <w:rPr/>
            </w:pPr>
            <w:r>
              <w:rPr/>
              <w:t>​</w:t>
            </w:r>
          </w:p>
        </w:tc>
        <w:tc>
          <w:tcPr>
            <w:tcW w:w="682" w:type="dxa"/>
            <w:tcBorders/>
            <w:shd w:fill="FFFFFF" w:val="clear"/>
            <w:vAlign w:val="center"/>
          </w:tcPr>
          <w:p>
            <w:pPr>
              <w:pStyle w:val="TableContents"/>
              <w:bidi w:val="0"/>
              <w:spacing w:before="0" w:after="0"/>
              <w:ind w:left="0" w:right="0" w:hanging="0"/>
              <w:jc w:val="righ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251" w:type="dxa"/>
            <w:tcBorders/>
            <w:shd w:fill="FFFFFF" w:val="clear"/>
            <w:vAlign w:val="center"/>
          </w:tcPr>
          <w:p>
            <w:pPr>
              <w:pStyle w:val="TableContents"/>
              <w:bidi w:val="0"/>
              <w:spacing w:before="0" w:after="0"/>
              <w:ind w:left="0" w:right="0" w:hanging="0"/>
              <w:jc w:val="left"/>
              <w:rPr/>
            </w:pPr>
            <w:r>
              <w:rPr/>
              <w:t>​</w:t>
            </w:r>
          </w:p>
        </w:tc>
        <w:tc>
          <w:tcPr>
            <w:tcW w:w="1104"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0" w:type="dxa"/>
            <w:tcBorders/>
            <w:shd w:fill="FFFFFF" w:val="clear"/>
            <w:vAlign w:val="center"/>
          </w:tcPr>
          <w:p>
            <w:pPr>
              <w:pStyle w:val="TableContents"/>
              <w:bidi w:val="0"/>
              <w:spacing w:before="0" w:after="0"/>
              <w:ind w:left="0" w:right="0" w:hanging="0"/>
              <w:jc w:val="left"/>
              <w:rPr/>
            </w:pPr>
            <w:r>
              <w:rPr/>
              <w:t>​</w:t>
            </w:r>
          </w:p>
        </w:tc>
        <w:tc>
          <w:tcPr>
            <w:tcW w:w="72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8,490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6" w:type="dxa"/>
            <w:tcBorders/>
            <w:shd w:fill="FFFFFF" w:val="clear"/>
            <w:vAlign w:val="center"/>
          </w:tcPr>
          <w:p>
            <w:pPr>
              <w:pStyle w:val="TableContents"/>
              <w:bidi w:val="0"/>
              <w:spacing w:before="0" w:after="0"/>
              <w:ind w:left="0" w:right="0" w:hanging="0"/>
              <w:jc w:val="left"/>
              <w:rPr/>
            </w:pPr>
            <w:r>
              <w:rPr/>
              <w:t>​</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9" w:type="dxa"/>
            <w:tcBorders/>
            <w:shd w:fill="FFFFFF" w:val="clear"/>
            <w:vAlign w:val="center"/>
          </w:tcPr>
          <w:p>
            <w:pPr>
              <w:pStyle w:val="TableContents"/>
              <w:bidi w:val="0"/>
              <w:spacing w:before="0" w:after="0"/>
              <w:ind w:left="0" w:right="0" w:hanging="0"/>
              <w:jc w:val="left"/>
              <w:rPr/>
            </w:pPr>
            <w:r>
              <w:rPr/>
              <w:t>​</w:t>
            </w:r>
          </w:p>
        </w:tc>
        <w:tc>
          <w:tcPr>
            <w:tcW w:w="72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8,490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6" w:type="dxa"/>
            <w:tcBorders/>
            <w:shd w:fill="FFFFFF" w:val="clear"/>
            <w:vAlign w:val="center"/>
          </w:tcPr>
          <w:p>
            <w:pPr>
              <w:pStyle w:val="TableContents"/>
              <w:bidi w:val="0"/>
              <w:spacing w:before="0" w:after="0"/>
              <w:ind w:left="0" w:right="0" w:hanging="0"/>
              <w:jc w:val="left"/>
              <w:rPr/>
            </w:pPr>
            <w:r>
              <w:rPr/>
              <w:t>​</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(510</w:t>
            </w:r>
          </w:p>
        </w:tc>
        <w:tc>
          <w:tcPr>
            <w:tcW w:w="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47" w:type="dxa"/>
            <w:tcBorders/>
            <w:shd w:fill="CCEEFF" w:val="clear"/>
            <w:vAlign w:val="center"/>
          </w:tcPr>
          <w:p>
            <w:pPr>
              <w:pStyle w:val="TableContents"/>
              <w:bidi w:val="0"/>
              <w:spacing w:before="0" w:after="283"/>
              <w:ind w:left="180" w:right="0" w:hanging="0"/>
              <w:jc w:val="left"/>
              <w:rPr>
                <w:rFonts w:ascii="Times New Roman" w:hAnsi="Times New Roman"/>
                <w:caps w:val="false"/>
                <w:smallCaps w:val="false"/>
                <w:sz w:val="20"/>
              </w:rPr>
            </w:pPr>
            <w:r>
              <w:rPr>
                <w:rFonts w:ascii="Times New Roman" w:hAnsi="Times New Roman"/>
                <w:caps w:val="false"/>
                <w:smallCaps w:val="false"/>
                <w:sz w:val="20"/>
              </w:rPr>
              <w:t>Municipal bonds</w:t>
            </w:r>
          </w:p>
        </w:tc>
        <w:tc>
          <w:tcPr>
            <w:tcW w:w="23" w:type="dxa"/>
            <w:tcBorders/>
            <w:shd w:fill="CCEEFF" w:val="clear"/>
            <w:vAlign w:val="center"/>
          </w:tcPr>
          <w:p>
            <w:pPr>
              <w:pStyle w:val="TableContents"/>
              <w:bidi w:val="0"/>
              <w:spacing w:before="0" w:after="0"/>
              <w:ind w:left="0" w:right="0" w:hanging="0"/>
              <w:jc w:val="left"/>
              <w:rPr/>
            </w:pPr>
            <w:r>
              <w:rPr/>
              <w:t>​</w:t>
            </w:r>
          </w:p>
        </w:tc>
        <w:tc>
          <w:tcPr>
            <w:tcW w:w="143"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775</w:t>
            </w:r>
          </w:p>
        </w:tc>
        <w:tc>
          <w:tcPr>
            <w:tcW w:w="26"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0"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66,101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(9,222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66,876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(9,226</w:t>
            </w:r>
          </w:p>
        </w:tc>
        <w:tc>
          <w:tcPr>
            <w:tcW w:w="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4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Mortgage-backed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43" w:type="dxa"/>
            <w:tcBorders/>
            <w:shd w:fill="FFFFFF" w:val="clear"/>
            <w:vAlign w:val="center"/>
          </w:tcPr>
          <w:p>
            <w:pPr>
              <w:pStyle w:val="TableContents"/>
              <w:bidi w:val="0"/>
              <w:spacing w:before="0" w:after="0"/>
              <w:ind w:left="0" w:right="0" w:hanging="0"/>
              <w:jc w:val="left"/>
              <w:rPr/>
            </w:pPr>
            <w:r>
              <w:rPr/>
              <w:t>​</w:t>
            </w:r>
          </w:p>
        </w:tc>
        <w:tc>
          <w:tcPr>
            <w:tcW w:w="68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29,377</w:t>
            </w:r>
          </w:p>
        </w:tc>
        <w:tc>
          <w:tcPr>
            <w:tcW w:w="26"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251" w:type="dxa"/>
            <w:tcBorders/>
            <w:shd w:fill="FFFFFF" w:val="clear"/>
            <w:vAlign w:val="center"/>
          </w:tcPr>
          <w:p>
            <w:pPr>
              <w:pStyle w:val="TableContents"/>
              <w:bidi w:val="0"/>
              <w:spacing w:before="0" w:after="0"/>
              <w:ind w:left="0" w:right="0" w:hanging="0"/>
              <w:jc w:val="left"/>
              <w:rPr/>
            </w:pPr>
            <w:r>
              <w:rPr/>
              <w:t>​</w:t>
            </w:r>
          </w:p>
        </w:tc>
        <w:tc>
          <w:tcPr>
            <w:tcW w:w="11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0" w:type="dxa"/>
            <w:tcBorders/>
            <w:shd w:fill="FFFFFF" w:val="clear"/>
            <w:vAlign w:val="center"/>
          </w:tcPr>
          <w:p>
            <w:pPr>
              <w:pStyle w:val="TableContents"/>
              <w:bidi w:val="0"/>
              <w:spacing w:before="0" w:after="0"/>
              <w:ind w:left="0" w:right="0" w:hanging="0"/>
              <w:jc w:val="left"/>
              <w:rPr/>
            </w:pPr>
            <w:r>
              <w:rPr/>
              <w:t>​</w:t>
            </w:r>
          </w:p>
        </w:tc>
        <w:tc>
          <w:tcPr>
            <w:tcW w:w="72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66,152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6" w:type="dxa"/>
            <w:tcBorders/>
            <w:shd w:fill="FFFFFF" w:val="clear"/>
            <w:vAlign w:val="center"/>
          </w:tcPr>
          <w:p>
            <w:pPr>
              <w:pStyle w:val="TableContents"/>
              <w:bidi w:val="0"/>
              <w:spacing w:before="0" w:after="0"/>
              <w:ind w:left="0" w:right="0" w:hanging="0"/>
              <w:jc w:val="left"/>
              <w:rPr/>
            </w:pPr>
            <w:r>
              <w:rPr/>
              <w:t>​</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(9,191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9" w:type="dxa"/>
            <w:tcBorders/>
            <w:shd w:fill="FFFFFF" w:val="clear"/>
            <w:vAlign w:val="center"/>
          </w:tcPr>
          <w:p>
            <w:pPr>
              <w:pStyle w:val="TableContents"/>
              <w:bidi w:val="0"/>
              <w:spacing w:before="0" w:after="0"/>
              <w:ind w:left="0" w:right="0" w:hanging="0"/>
              <w:jc w:val="left"/>
              <w:rPr/>
            </w:pPr>
            <w:r>
              <w:rPr/>
              <w:t>​</w:t>
            </w:r>
          </w:p>
        </w:tc>
        <w:tc>
          <w:tcPr>
            <w:tcW w:w="72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95,529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6" w:type="dxa"/>
            <w:tcBorders/>
            <w:shd w:fill="FFFFFF" w:val="clear"/>
            <w:vAlign w:val="center"/>
          </w:tcPr>
          <w:p>
            <w:pPr>
              <w:pStyle w:val="TableContents"/>
              <w:bidi w:val="0"/>
              <w:spacing w:before="0" w:after="0"/>
              <w:ind w:left="0" w:right="0" w:hanging="0"/>
              <w:jc w:val="left"/>
              <w:rPr/>
            </w:pPr>
            <w:r>
              <w:rPr/>
              <w:t>​</w:t>
            </w:r>
          </w:p>
        </w:tc>
        <w:tc>
          <w:tcPr>
            <w:tcW w:w="11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(9,783</w:t>
            </w:r>
          </w:p>
        </w:tc>
        <w:tc>
          <w:tcPr>
            <w:tcW w:w="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4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Asset-backed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3,118</w:t>
            </w:r>
          </w:p>
        </w:tc>
        <w:tc>
          <w:tcPr>
            <w:tcW w:w="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5,934</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9,052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(696</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47"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securities available-for-sale</w:t>
            </w:r>
          </w:p>
        </w:tc>
        <w:tc>
          <w:tcPr>
            <w:tcW w:w="23" w:type="dxa"/>
            <w:tcBorders/>
            <w:shd w:fill="FFFFFF" w:val="clear"/>
            <w:vAlign w:val="center"/>
          </w:tcPr>
          <w:p>
            <w:pPr>
              <w:pStyle w:val="TableContents"/>
              <w:bidi w:val="0"/>
              <w:spacing w:before="0" w:after="0"/>
              <w:ind w:left="0" w:right="0" w:hanging="0"/>
              <w:jc w:val="left"/>
              <w:rPr/>
            </w:pPr>
            <w:r>
              <w:rPr/>
              <w:t>​</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33,270</w:t>
            </w:r>
          </w:p>
        </w:tc>
        <w:tc>
          <w:tcPr>
            <w:tcW w:w="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2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162,645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(21,908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195,915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(22,518</w:t>
            </w:r>
          </w:p>
        </w:tc>
        <w:tc>
          <w:tcPr>
            <w:tcW w:w="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47" w:type="dxa"/>
            <w:tcBorders/>
            <w:shd w:fill="CCEEFF" w:val="clear"/>
            <w:vAlign w:val="center"/>
          </w:tcPr>
          <w:p>
            <w:pPr>
              <w:pStyle w:val="TableContents"/>
              <w:bidi w:val="0"/>
              <w:spacing w:before="0" w:after="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3"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0"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left"/>
              <w:rPr/>
            </w:pPr>
            <w:r>
              <w:rPr/>
              <w:t>​</w:t>
            </w:r>
          </w:p>
        </w:tc>
        <w:tc>
          <w:tcPr>
            <w:tcW w:w="90" w:type="dxa"/>
            <w:tcBorders/>
            <w:shd w:fill="CCEEFF" w:val="clear"/>
            <w:vAlign w:val="center"/>
          </w:tcPr>
          <w:p>
            <w:pPr>
              <w:pStyle w:val="TableContents"/>
              <w:bidi w:val="0"/>
              <w:spacing w:before="0" w:after="0"/>
              <w:ind w:left="0" w:right="0" w:hanging="0"/>
              <w:jc w:val="left"/>
              <w:rPr/>
            </w:pPr>
            <w:r>
              <w:rPr/>
              <w:t>​</w:t>
            </w:r>
          </w:p>
        </w:tc>
      </w:tr>
      <w:tr>
        <w:trPr/>
        <w:tc>
          <w:tcPr>
            <w:tcW w:w="3147"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23" w:type="dxa"/>
            <w:tcBorders/>
            <w:shd w:fill="FFFFFF" w:val="clear"/>
            <w:vAlign w:val="center"/>
          </w:tcPr>
          <w:p>
            <w:pPr>
              <w:pStyle w:val="TableContents"/>
              <w:bidi w:val="0"/>
              <w:spacing w:before="0" w:after="0"/>
              <w:ind w:left="0" w:right="0" w:hanging="0"/>
              <w:jc w:val="left"/>
              <w:rPr/>
            </w:pPr>
            <w:r>
              <w:rPr/>
              <w:t>​</w:t>
            </w:r>
          </w:p>
        </w:tc>
        <w:tc>
          <w:tcPr>
            <w:tcW w:w="143" w:type="dxa"/>
            <w:tcBorders/>
            <w:shd w:fill="FFFFFF" w:val="clear"/>
            <w:vAlign w:val="center"/>
          </w:tcPr>
          <w:p>
            <w:pPr>
              <w:pStyle w:val="TableContents"/>
              <w:bidi w:val="0"/>
              <w:spacing w:before="0" w:after="0"/>
              <w:ind w:left="0" w:right="0" w:hanging="0"/>
              <w:jc w:val="left"/>
              <w:rPr/>
            </w:pPr>
            <w:r>
              <w:rPr/>
              <w:t>​</w:t>
            </w:r>
          </w:p>
        </w:tc>
        <w:tc>
          <w:tcPr>
            <w:tcW w:w="682"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251" w:type="dxa"/>
            <w:tcBorders/>
            <w:shd w:fill="FFFFFF" w:val="clear"/>
            <w:vAlign w:val="center"/>
          </w:tcPr>
          <w:p>
            <w:pPr>
              <w:pStyle w:val="TableContents"/>
              <w:bidi w:val="0"/>
              <w:spacing w:before="0" w:after="0"/>
              <w:ind w:left="0" w:right="0" w:hanging="0"/>
              <w:jc w:val="left"/>
              <w:rPr/>
            </w:pPr>
            <w:r>
              <w:rPr/>
              <w:t>​</w:t>
            </w:r>
          </w:p>
        </w:tc>
        <w:tc>
          <w:tcPr>
            <w:tcW w:w="1104"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0" w:type="dxa"/>
            <w:tcBorders/>
            <w:shd w:fill="FFFFFF" w:val="clear"/>
            <w:vAlign w:val="center"/>
          </w:tcPr>
          <w:p>
            <w:pPr>
              <w:pStyle w:val="TableContents"/>
              <w:bidi w:val="0"/>
              <w:spacing w:before="0" w:after="0"/>
              <w:ind w:left="0" w:right="0" w:hanging="0"/>
              <w:jc w:val="left"/>
              <w:rPr/>
            </w:pPr>
            <w:r>
              <w:rPr/>
              <w:t>​</w:t>
            </w:r>
          </w:p>
        </w:tc>
        <w:tc>
          <w:tcPr>
            <w:tcW w:w="728"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6" w:type="dxa"/>
            <w:tcBorders/>
            <w:shd w:fill="FFFFFF" w:val="clear"/>
            <w:vAlign w:val="center"/>
          </w:tcPr>
          <w:p>
            <w:pPr>
              <w:pStyle w:val="TableContents"/>
              <w:bidi w:val="0"/>
              <w:spacing w:before="0" w:after="0"/>
              <w:ind w:left="0" w:right="0" w:hanging="0"/>
              <w:jc w:val="left"/>
              <w:rPr/>
            </w:pPr>
            <w:r>
              <w:rPr/>
              <w:t>​</w:t>
            </w:r>
          </w:p>
        </w:tc>
        <w:tc>
          <w:tcPr>
            <w:tcW w:w="1138"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9" w:type="dxa"/>
            <w:tcBorders/>
            <w:shd w:fill="FFFFFF" w:val="clear"/>
            <w:vAlign w:val="center"/>
          </w:tcPr>
          <w:p>
            <w:pPr>
              <w:pStyle w:val="TableContents"/>
              <w:bidi w:val="0"/>
              <w:spacing w:before="0" w:after="0"/>
              <w:ind w:left="0" w:right="0" w:hanging="0"/>
              <w:jc w:val="left"/>
              <w:rPr/>
            </w:pPr>
            <w:r>
              <w:rPr/>
              <w:t>​</w:t>
            </w:r>
          </w:p>
        </w:tc>
        <w:tc>
          <w:tcPr>
            <w:tcW w:w="72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6" w:type="dxa"/>
            <w:tcBorders/>
            <w:shd w:fill="FFFFFF" w:val="clear"/>
            <w:vAlign w:val="center"/>
          </w:tcPr>
          <w:p>
            <w:pPr>
              <w:pStyle w:val="TableContents"/>
              <w:bidi w:val="0"/>
              <w:spacing w:before="0" w:after="0"/>
              <w:ind w:left="0" w:right="0" w:hanging="0"/>
              <w:jc w:val="left"/>
              <w:rPr/>
            </w:pPr>
            <w:r>
              <w:rPr/>
              <w:t>​</w:t>
            </w:r>
          </w:p>
        </w:tc>
        <w:tc>
          <w:tcPr>
            <w:tcW w:w="1138" w:type="dxa"/>
            <w:tcBorders/>
            <w:shd w:fill="FFFFFF" w:val="clear"/>
            <w:vAlign w:val="center"/>
          </w:tcPr>
          <w:p>
            <w:pPr>
              <w:pStyle w:val="TableContents"/>
              <w:bidi w:val="0"/>
              <w:spacing w:before="0" w:after="0"/>
              <w:ind w:left="0" w:right="0" w:hanging="0"/>
              <w:jc w:val="left"/>
              <w:rPr/>
            </w:pPr>
            <w:r>
              <w:rPr/>
              <w:t>​</w:t>
            </w:r>
          </w:p>
        </w:tc>
        <w:tc>
          <w:tcPr>
            <w:tcW w:w="90" w:type="dxa"/>
            <w:tcBorders/>
            <w:shd w:fill="FFFFFF" w:val="clear"/>
            <w:vAlign w:val="center"/>
          </w:tcPr>
          <w:p>
            <w:pPr>
              <w:pStyle w:val="TableContents"/>
              <w:bidi w:val="0"/>
              <w:spacing w:before="0" w:after="0"/>
              <w:ind w:left="0" w:right="0" w:hanging="0"/>
              <w:jc w:val="left"/>
              <w:rPr/>
            </w:pPr>
            <w:r>
              <w:rPr/>
              <w:t>​</w:t>
            </w:r>
          </w:p>
        </w:tc>
      </w:tr>
      <w:tr>
        <w:trPr/>
        <w:tc>
          <w:tcPr>
            <w:tcW w:w="3147"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43" w:type="dxa"/>
            <w:tcBorders/>
            <w:shd w:fill="CCEEFF" w:val="clear"/>
            <w:vAlign w:val="center"/>
          </w:tcPr>
          <w:p>
            <w:pPr>
              <w:pStyle w:val="TableContents"/>
              <w:bidi w:val="0"/>
              <w:spacing w:before="0" w:after="0"/>
              <w:ind w:left="0" w:right="0" w:hanging="0"/>
              <w:jc w:val="left"/>
              <w:rPr/>
            </w:pPr>
            <w:r>
              <w:rPr/>
              <w:t>​</w:t>
            </w:r>
          </w:p>
        </w:tc>
        <w:tc>
          <w:tcPr>
            <w:tcW w:w="68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10,945</w:t>
            </w:r>
          </w:p>
        </w:tc>
        <w:tc>
          <w:tcPr>
            <w:tcW w:w="26"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251" w:type="dxa"/>
            <w:tcBorders/>
            <w:shd w:fill="CCEEFF" w:val="clear"/>
            <w:vAlign w:val="center"/>
          </w:tcPr>
          <w:p>
            <w:pPr>
              <w:pStyle w:val="TableContents"/>
              <w:bidi w:val="0"/>
              <w:spacing w:before="0" w:after="0"/>
              <w:ind w:left="0" w:right="0" w:hanging="0"/>
              <w:jc w:val="left"/>
              <w:rPr/>
            </w:pPr>
            <w:r>
              <w:rPr/>
              <w:t>​</w:t>
            </w:r>
          </w:p>
        </w:tc>
        <w:tc>
          <w:tcPr>
            <w:tcW w:w="11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0" w:type="dxa"/>
            <w:tcBorders/>
            <w:shd w:fill="CCEEFF" w:val="clear"/>
            <w:vAlign w:val="center"/>
          </w:tcPr>
          <w:p>
            <w:pPr>
              <w:pStyle w:val="TableContents"/>
              <w:bidi w:val="0"/>
              <w:spacing w:before="0" w:after="0"/>
              <w:ind w:left="0" w:right="0" w:hanging="0"/>
              <w:jc w:val="left"/>
              <w:rPr/>
            </w:pPr>
            <w:r>
              <w:rPr/>
              <w:t>​</w:t>
            </w:r>
          </w:p>
        </w:tc>
        <w:tc>
          <w:tcPr>
            <w:tcW w:w="72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7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11,873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6" w:type="dxa"/>
            <w:tcBorders/>
            <w:shd w:fill="CCEEFF" w:val="clear"/>
            <w:vAlign w:val="center"/>
          </w:tcPr>
          <w:p>
            <w:pPr>
              <w:pStyle w:val="TableContents"/>
              <w:bidi w:val="0"/>
              <w:spacing w:before="0" w:after="0"/>
              <w:ind w:left="0" w:right="0" w:hanging="0"/>
              <w:jc w:val="left"/>
              <w:rPr/>
            </w:pPr>
            <w:r>
              <w:rPr/>
              <w:t>​</w:t>
            </w:r>
          </w:p>
        </w:tc>
        <w:tc>
          <w:tcPr>
            <w:tcW w:w="11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(603</w:t>
            </w:r>
          </w:p>
        </w:tc>
        <w:tc>
          <w:tcPr>
            <w:tcW w:w="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4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Municipal bonds</w:t>
            </w:r>
          </w:p>
        </w:tc>
        <w:tc>
          <w:tcPr>
            <w:tcW w:w="23" w:type="dxa"/>
            <w:tcBorders/>
            <w:shd w:fill="FFFFFF" w:val="clear"/>
            <w:vAlign w:val="center"/>
          </w:tcPr>
          <w:p>
            <w:pPr>
              <w:pStyle w:val="TableContents"/>
              <w:bidi w:val="0"/>
              <w:spacing w:before="0" w:after="0"/>
              <w:ind w:left="0" w:right="0" w:hanging="0"/>
              <w:jc w:val="left"/>
              <w:rPr/>
            </w:pPr>
            <w:r>
              <w:rPr/>
              <w:t>​</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2,078</w:t>
            </w:r>
          </w:p>
        </w:tc>
        <w:tc>
          <w:tcPr>
            <w:tcW w:w="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2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c>
          <w:tcPr>
            <w:tcW w:w="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47"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securities held-to-maturity</w:t>
            </w:r>
          </w:p>
        </w:tc>
        <w:tc>
          <w:tcPr>
            <w:tcW w:w="23" w:type="dxa"/>
            <w:tcBorders/>
            <w:shd w:fill="CCEEFF" w:val="clear"/>
            <w:vAlign w:val="center"/>
          </w:tcPr>
          <w:p>
            <w:pPr>
              <w:pStyle w:val="TableContents"/>
              <w:bidi w:val="0"/>
              <w:spacing w:before="0" w:after="0"/>
              <w:ind w:left="0" w:right="0" w:hanging="0"/>
              <w:jc w:val="left"/>
              <w:rPr/>
            </w:pPr>
            <w:r>
              <w:rPr/>
              <w:t>​</w:t>
            </w:r>
          </w:p>
        </w:tc>
        <w:tc>
          <w:tcPr>
            <w:tcW w:w="14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13,023</w:t>
            </w:r>
          </w:p>
        </w:tc>
        <w:tc>
          <w:tcPr>
            <w:tcW w:w="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(586</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928</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13,951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(658</w:t>
            </w:r>
          </w:p>
        </w:tc>
        <w:tc>
          <w:tcPr>
            <w:tcW w:w="9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47" w:type="dxa"/>
            <w:tcBorders/>
            <w:shd w:fill="FFFFFF" w:val="clear"/>
            <w:vAlign w:val="center"/>
          </w:tcPr>
          <w:p>
            <w:pPr>
              <w:pStyle w:val="TableContents"/>
              <w:bidi w:val="0"/>
              <w:spacing w:before="0" w:after="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2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147"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46,293</w:t>
            </w:r>
          </w:p>
        </w:tc>
        <w:tc>
          <w:tcPr>
            <w:tcW w:w="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2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163,573</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(21,980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209,866</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3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(23,176</w:t>
            </w:r>
          </w:p>
        </w:tc>
        <w:tc>
          <w:tcPr>
            <w:tcW w:w="9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118"/>
        <w:gridCol w:w="23"/>
        <w:gridCol w:w="156"/>
        <w:gridCol w:w="738"/>
        <w:gridCol w:w="28"/>
        <w:gridCol w:w="28"/>
        <w:gridCol w:w="321"/>
        <w:gridCol w:w="1019"/>
        <w:gridCol w:w="80"/>
        <w:gridCol w:w="23"/>
        <w:gridCol w:w="130"/>
        <w:gridCol w:w="727"/>
        <w:gridCol w:w="23"/>
        <w:gridCol w:w="23"/>
        <w:gridCol w:w="214"/>
        <w:gridCol w:w="1127"/>
        <w:gridCol w:w="80"/>
        <w:gridCol w:w="23"/>
        <w:gridCol w:w="129"/>
        <w:gridCol w:w="719"/>
        <w:gridCol w:w="23"/>
        <w:gridCol w:w="23"/>
        <w:gridCol w:w="214"/>
        <w:gridCol w:w="1127"/>
        <w:gridCol w:w="89"/>
      </w:tblGrid>
      <w:tr>
        <w:trPr/>
        <w:tc>
          <w:tcPr>
            <w:tcW w:w="3118"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6975"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2025</w:t>
            </w:r>
          </w:p>
        </w:tc>
        <w:tc>
          <w:tcPr>
            <w:tcW w:w="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18"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Less than 12 Months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4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12 Months or Longer</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3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18"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SECURITIES AVAILABLE-FOR-SALE</w:t>
            </w:r>
          </w:p>
        </w:tc>
        <w:tc>
          <w:tcPr>
            <w:tcW w:w="23" w:type="dxa"/>
            <w:tcBorders/>
            <w:vAlign w:val="center"/>
          </w:tcPr>
          <w:p>
            <w:pPr>
              <w:pStyle w:val="TableContents"/>
              <w:bidi w:val="0"/>
              <w:spacing w:before="0" w:after="0"/>
              <w:ind w:left="0" w:right="0" w:hanging="0"/>
              <w:jc w:val="left"/>
              <w:rPr/>
            </w:pPr>
            <w:r>
              <w:rPr/>
              <w:t>​</w:t>
            </w:r>
          </w:p>
        </w:tc>
        <w:tc>
          <w:tcPr>
            <w:tcW w:w="8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Fair Value</w:t>
            </w:r>
          </w:p>
        </w:tc>
        <w:tc>
          <w:tcPr>
            <w:tcW w:w="2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8" w:type="dxa"/>
            <w:tcBorders/>
            <w:vAlign w:val="center"/>
          </w:tcPr>
          <w:p>
            <w:pPr>
              <w:pStyle w:val="TableContents"/>
              <w:bidi w:val="0"/>
              <w:spacing w:before="0" w:after="0"/>
              <w:ind w:left="0" w:right="0" w:hanging="0"/>
              <w:jc w:val="left"/>
              <w:rPr/>
            </w:pPr>
            <w:r>
              <w:rPr/>
              <w:t>​</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Unrealized Losses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5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Fair Value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Unrealized Losses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Fair Value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Unrealized Losses</w:t>
            </w:r>
          </w:p>
        </w:tc>
        <w:tc>
          <w:tcPr>
            <w:tcW w:w="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1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U.S. agency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38" w:type="dxa"/>
            <w:tcBorders/>
            <w:shd w:fill="CCEEFF" w:val="clear"/>
            <w:vAlign w:val="center"/>
          </w:tcPr>
          <w:p>
            <w:pPr>
              <w:pStyle w:val="TableContents"/>
              <w:bidi w:val="0"/>
              <w:spacing w:before="0" w:after="0"/>
              <w:ind w:left="0" w:right="0" w:hanging="0"/>
              <w:jc w:val="righ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16,061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16,061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(2,203</w:t>
            </w:r>
          </w:p>
        </w:tc>
        <w:tc>
          <w:tcPr>
            <w:tcW w:w="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56" w:type="dxa"/>
            <w:tcBorders/>
            <w:shd w:fill="FFFFFF" w:val="clear"/>
            <w:vAlign w:val="center"/>
          </w:tcPr>
          <w:p>
            <w:pPr>
              <w:pStyle w:val="TableContents"/>
              <w:bidi w:val="0"/>
              <w:spacing w:before="0" w:after="0"/>
              <w:ind w:left="0" w:right="0" w:hanging="0"/>
              <w:jc w:val="left"/>
              <w:rPr/>
            </w:pPr>
            <w:r>
              <w:rPr/>
              <w:t>​</w:t>
            </w:r>
          </w:p>
        </w:tc>
        <w:tc>
          <w:tcPr>
            <w:tcW w:w="7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3,961</w:t>
            </w:r>
          </w:p>
        </w:tc>
        <w:tc>
          <w:tcPr>
            <w:tcW w:w="28" w:type="dxa"/>
            <w:tcBorders/>
            <w:shd w:fill="FFFFFF" w:val="cle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321" w:type="dxa"/>
            <w:tcBorders/>
            <w:shd w:fill="FFFFFF" w:val="clear"/>
            <w:vAlign w:val="center"/>
          </w:tcPr>
          <w:p>
            <w:pPr>
              <w:pStyle w:val="TableContents"/>
              <w:bidi w:val="0"/>
              <w:spacing w:before="0" w:after="0"/>
              <w:ind w:left="0" w:right="0" w:hanging="0"/>
              <w:jc w:val="left"/>
              <w:rPr/>
            </w:pPr>
            <w:r>
              <w:rPr/>
              <w:t>​</w:t>
            </w:r>
          </w:p>
        </w:tc>
        <w:tc>
          <w:tcPr>
            <w:tcW w:w="10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0" w:type="dxa"/>
            <w:tcBorders/>
            <w:shd w:fill="FFFFFF" w:val="clear"/>
            <w:vAlign w:val="center"/>
          </w:tcPr>
          <w:p>
            <w:pPr>
              <w:pStyle w:val="TableContents"/>
              <w:bidi w:val="0"/>
              <w:spacing w:before="0" w:after="0"/>
              <w:ind w:left="0" w:right="0" w:hanging="0"/>
              <w:jc w:val="left"/>
              <w:rPr/>
            </w:pPr>
            <w:r>
              <w:rPr/>
              <w:t>​</w:t>
            </w:r>
          </w:p>
        </w:tc>
        <w:tc>
          <w:tcPr>
            <w:tcW w:w="72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8,420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4" w:type="dxa"/>
            <w:tcBorders/>
            <w:shd w:fill="FFFFFF" w:val="clear"/>
            <w:vAlign w:val="center"/>
          </w:tcPr>
          <w:p>
            <w:pPr>
              <w:pStyle w:val="TableContents"/>
              <w:bidi w:val="0"/>
              <w:spacing w:before="0" w:after="0"/>
              <w:ind w:left="0" w:right="0" w:hanging="0"/>
              <w:jc w:val="left"/>
              <w:rPr/>
            </w:pPr>
            <w:r>
              <w:rPr/>
              <w:t>​</w:t>
            </w:r>
          </w:p>
        </w:tc>
        <w:tc>
          <w:tcPr>
            <w:tcW w:w="112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9" w:type="dxa"/>
            <w:tcBorders/>
            <w:shd w:fill="FFFFFF" w:val="clear"/>
            <w:vAlign w:val="center"/>
          </w:tcPr>
          <w:p>
            <w:pPr>
              <w:pStyle w:val="TableContents"/>
              <w:bidi w:val="0"/>
              <w:spacing w:before="0" w:after="0"/>
              <w:ind w:left="0" w:right="0" w:hanging="0"/>
              <w:jc w:val="left"/>
              <w:rPr/>
            </w:pPr>
            <w:r>
              <w:rPr/>
              <w:t>​</w:t>
            </w:r>
          </w:p>
        </w:tc>
        <w:tc>
          <w:tcPr>
            <w:tcW w:w="7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12,381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4" w:type="dxa"/>
            <w:tcBorders/>
            <w:shd w:fill="FFFFFF" w:val="clear"/>
            <w:vAlign w:val="center"/>
          </w:tcPr>
          <w:p>
            <w:pPr>
              <w:pStyle w:val="TableContents"/>
              <w:bidi w:val="0"/>
              <w:spacing w:before="0" w:after="0"/>
              <w:ind w:left="0" w:right="0" w:hanging="0"/>
              <w:jc w:val="left"/>
              <w:rPr/>
            </w:pPr>
            <w:r>
              <w:rPr/>
              <w:t>​</w:t>
            </w:r>
          </w:p>
        </w:tc>
        <w:tc>
          <w:tcPr>
            <w:tcW w:w="112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(619</w:t>
            </w:r>
          </w:p>
        </w:tc>
        <w:tc>
          <w:tcPr>
            <w:tcW w:w="8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Municipal bonds</w:t>
            </w:r>
          </w:p>
        </w:tc>
        <w:tc>
          <w:tcPr>
            <w:tcW w:w="23"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righ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0"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70,228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(9,755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70,228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(9,755</w:t>
            </w:r>
          </w:p>
        </w:tc>
        <w:tc>
          <w:tcPr>
            <w:tcW w:w="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Mortgage-backed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56" w:type="dxa"/>
            <w:tcBorders/>
            <w:shd w:fill="FFFFFF" w:val="clear"/>
            <w:vAlign w:val="center"/>
          </w:tcPr>
          <w:p>
            <w:pPr>
              <w:pStyle w:val="TableContents"/>
              <w:bidi w:val="0"/>
              <w:spacing w:before="0" w:after="0"/>
              <w:ind w:left="0" w:right="0" w:hanging="0"/>
              <w:jc w:val="left"/>
              <w:rPr/>
            </w:pPr>
            <w:r>
              <w:rPr/>
              <w:t>​</w:t>
            </w:r>
          </w:p>
        </w:tc>
        <w:tc>
          <w:tcPr>
            <w:tcW w:w="7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35,194</w:t>
            </w:r>
          </w:p>
        </w:tc>
        <w:tc>
          <w:tcPr>
            <w:tcW w:w="28" w:type="dxa"/>
            <w:tcBorders/>
            <w:shd w:fill="FFFFFF" w:val="cle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321" w:type="dxa"/>
            <w:tcBorders/>
            <w:shd w:fill="FFFFFF" w:val="clear"/>
            <w:vAlign w:val="center"/>
          </w:tcPr>
          <w:p>
            <w:pPr>
              <w:pStyle w:val="TableContents"/>
              <w:bidi w:val="0"/>
              <w:spacing w:before="0" w:after="0"/>
              <w:ind w:left="0" w:right="0" w:hanging="0"/>
              <w:jc w:val="left"/>
              <w:rPr/>
            </w:pPr>
            <w:r>
              <w:rPr/>
              <w:t>​</w:t>
            </w:r>
          </w:p>
        </w:tc>
        <w:tc>
          <w:tcPr>
            <w:tcW w:w="10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0" w:type="dxa"/>
            <w:tcBorders/>
            <w:shd w:fill="FFFFFF" w:val="clear"/>
            <w:vAlign w:val="center"/>
          </w:tcPr>
          <w:p>
            <w:pPr>
              <w:pStyle w:val="TableContents"/>
              <w:bidi w:val="0"/>
              <w:spacing w:before="0" w:after="0"/>
              <w:ind w:left="0" w:right="0" w:hanging="0"/>
              <w:jc w:val="left"/>
              <w:rPr/>
            </w:pPr>
            <w:r>
              <w:rPr/>
              <w:t>​</w:t>
            </w:r>
          </w:p>
        </w:tc>
        <w:tc>
          <w:tcPr>
            <w:tcW w:w="72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64,321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4" w:type="dxa"/>
            <w:tcBorders/>
            <w:shd w:fill="FFFFFF" w:val="clear"/>
            <w:vAlign w:val="center"/>
          </w:tcPr>
          <w:p>
            <w:pPr>
              <w:pStyle w:val="TableContents"/>
              <w:bidi w:val="0"/>
              <w:spacing w:before="0" w:after="0"/>
              <w:ind w:left="0" w:right="0" w:hanging="0"/>
              <w:jc w:val="left"/>
              <w:rPr/>
            </w:pPr>
            <w:r>
              <w:rPr/>
              <w:t>​</w:t>
            </w:r>
          </w:p>
        </w:tc>
        <w:tc>
          <w:tcPr>
            <w:tcW w:w="112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(8,659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9" w:type="dxa"/>
            <w:tcBorders/>
            <w:shd w:fill="FFFFFF" w:val="clear"/>
            <w:vAlign w:val="center"/>
          </w:tcPr>
          <w:p>
            <w:pPr>
              <w:pStyle w:val="TableContents"/>
              <w:bidi w:val="0"/>
              <w:spacing w:before="0" w:after="0"/>
              <w:ind w:left="0" w:right="0" w:hanging="0"/>
              <w:jc w:val="left"/>
              <w:rPr/>
            </w:pPr>
            <w:r>
              <w:rPr/>
              <w:t>​</w:t>
            </w:r>
          </w:p>
        </w:tc>
        <w:tc>
          <w:tcPr>
            <w:tcW w:w="7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99,515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4" w:type="dxa"/>
            <w:tcBorders/>
            <w:shd w:fill="FFFFFF" w:val="clear"/>
            <w:vAlign w:val="center"/>
          </w:tcPr>
          <w:p>
            <w:pPr>
              <w:pStyle w:val="TableContents"/>
              <w:bidi w:val="0"/>
              <w:spacing w:before="0" w:after="0"/>
              <w:ind w:left="0" w:right="0" w:hanging="0"/>
              <w:jc w:val="left"/>
              <w:rPr/>
            </w:pPr>
            <w:r>
              <w:rPr/>
              <w:t>​</w:t>
            </w:r>
          </w:p>
        </w:tc>
        <w:tc>
          <w:tcPr>
            <w:tcW w:w="112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(9,039</w:t>
            </w:r>
          </w:p>
        </w:tc>
        <w:tc>
          <w:tcPr>
            <w:tcW w:w="8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Asset-backed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3,047</w:t>
            </w:r>
          </w:p>
        </w:tc>
        <w:tc>
          <w:tcPr>
            <w:tcW w:w="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6,644</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9,691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(647</w:t>
            </w:r>
          </w:p>
        </w:tc>
        <w:tc>
          <w:tcPr>
            <w:tcW w:w="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securities available-for-sale</w:t>
            </w:r>
          </w:p>
        </w:tc>
        <w:tc>
          <w:tcPr>
            <w:tcW w:w="23" w:type="dxa"/>
            <w:tcBorders/>
            <w:shd w:fill="FFFFFF" w:val="clear"/>
            <w:vAlign w:val="center"/>
          </w:tcPr>
          <w:p>
            <w:pPr>
              <w:pStyle w:val="TableContents"/>
              <w:bidi w:val="0"/>
              <w:spacing w:before="0" w:after="0"/>
              <w:ind w:left="0" w:right="0" w:hanging="0"/>
              <w:jc w:val="left"/>
              <w:rPr/>
            </w:pPr>
            <w:r>
              <w:rPr/>
              <w:t>​</w:t>
            </w:r>
          </w:p>
        </w:tc>
        <w:tc>
          <w:tcPr>
            <w:tcW w:w="1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42,202</w:t>
            </w:r>
          </w:p>
        </w:tc>
        <w:tc>
          <w:tcPr>
            <w:tcW w:w="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165,674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(21,819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207,876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(22,263</w:t>
            </w:r>
          </w:p>
        </w:tc>
        <w:tc>
          <w:tcPr>
            <w:tcW w:w="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8" w:type="dxa"/>
            <w:tcBorders/>
            <w:shd w:fill="CCEEFF" w:val="clear"/>
            <w:vAlign w:val="center"/>
          </w:tcPr>
          <w:p>
            <w:pPr>
              <w:pStyle w:val="TableContents"/>
              <w:bidi w:val="0"/>
              <w:spacing w:before="0" w:after="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6" w:type="dxa"/>
            <w:tcBorders/>
            <w:shd w:fill="CCEEFF" w:val="clear"/>
            <w:vAlign w:val="center"/>
          </w:tcPr>
          <w:p>
            <w:pPr>
              <w:pStyle w:val="TableContents"/>
              <w:bidi w:val="0"/>
              <w:spacing w:before="0" w:after="0"/>
              <w:ind w:left="0" w:right="0" w:hanging="0"/>
              <w:jc w:val="left"/>
              <w:rPr/>
            </w:pPr>
            <w:r>
              <w:rPr/>
              <w:t>​</w:t>
            </w:r>
          </w:p>
        </w:tc>
        <w:tc>
          <w:tcPr>
            <w:tcW w:w="738"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0" w:type="dxa"/>
            <w:tcBorders/>
            <w:shd w:fill="CCEEFF" w:val="clear"/>
            <w:vAlign w:val="center"/>
          </w:tcPr>
          <w:p>
            <w:pPr>
              <w:pStyle w:val="TableContents"/>
              <w:bidi w:val="0"/>
              <w:spacing w:before="0" w:after="0"/>
              <w:ind w:left="0" w:right="0" w:hanging="0"/>
              <w:jc w:val="left"/>
              <w:rPr/>
            </w:pPr>
            <w:r>
              <w:rPr/>
              <w:t>​</w:t>
            </w:r>
          </w:p>
        </w:tc>
        <w:tc>
          <w:tcPr>
            <w:tcW w:w="727"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shd w:fill="CCEEFF" w:val="clear"/>
            <w:vAlign w:val="center"/>
          </w:tcPr>
          <w:p>
            <w:pPr>
              <w:pStyle w:val="TableContents"/>
              <w:bidi w:val="0"/>
              <w:spacing w:before="0" w:after="0"/>
              <w:ind w:left="0" w:right="0" w:hanging="0"/>
              <w:jc w:val="left"/>
              <w:rPr/>
            </w:pPr>
            <w:r>
              <w:rPr/>
              <w:t>​</w:t>
            </w:r>
          </w:p>
        </w:tc>
        <w:tc>
          <w:tcPr>
            <w:tcW w:w="719"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4" w:type="dxa"/>
            <w:tcBorders/>
            <w:shd w:fill="CCEEFF" w:val="clear"/>
            <w:vAlign w:val="center"/>
          </w:tcPr>
          <w:p>
            <w:pPr>
              <w:pStyle w:val="TableContents"/>
              <w:bidi w:val="0"/>
              <w:spacing w:before="0" w:after="0"/>
              <w:ind w:left="0" w:right="0" w:hanging="0"/>
              <w:jc w:val="left"/>
              <w:rPr/>
            </w:pPr>
            <w:r>
              <w:rPr/>
              <w:t>​</w:t>
            </w:r>
          </w:p>
        </w:tc>
        <w:tc>
          <w:tcPr>
            <w:tcW w:w="1127"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w:t>
            </w:r>
          </w:p>
        </w:tc>
      </w:tr>
      <w:tr>
        <w:trPr/>
        <w:tc>
          <w:tcPr>
            <w:tcW w:w="3118"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23" w:type="dxa"/>
            <w:tcBorders/>
            <w:shd w:fill="FFFFFF" w:val="clear"/>
            <w:vAlign w:val="center"/>
          </w:tcPr>
          <w:p>
            <w:pPr>
              <w:pStyle w:val="TableContents"/>
              <w:bidi w:val="0"/>
              <w:spacing w:before="0" w:after="0"/>
              <w:ind w:left="0" w:right="0" w:hanging="0"/>
              <w:jc w:val="left"/>
              <w:rPr/>
            </w:pPr>
            <w:r>
              <w:rPr/>
              <w:t>​</w:t>
            </w:r>
          </w:p>
        </w:tc>
        <w:tc>
          <w:tcPr>
            <w:tcW w:w="156" w:type="dxa"/>
            <w:tcBorders/>
            <w:shd w:fill="FFFFFF" w:val="clear"/>
            <w:vAlign w:val="center"/>
          </w:tcPr>
          <w:p>
            <w:pPr>
              <w:pStyle w:val="TableContents"/>
              <w:bidi w:val="0"/>
              <w:spacing w:before="0" w:after="0"/>
              <w:ind w:left="0" w:right="0" w:hanging="0"/>
              <w:jc w:val="left"/>
              <w:rPr/>
            </w:pPr>
            <w:r>
              <w:rPr/>
              <w:t>​</w:t>
            </w:r>
          </w:p>
        </w:tc>
        <w:tc>
          <w:tcPr>
            <w:tcW w:w="738" w:type="dxa"/>
            <w:tcBorders/>
            <w:shd w:fill="FFFFFF" w:val="cle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321" w:type="dxa"/>
            <w:tcBorders/>
            <w:shd w:fill="FFFFFF" w:val="clear"/>
            <w:vAlign w:val="center"/>
          </w:tcPr>
          <w:p>
            <w:pPr>
              <w:pStyle w:val="TableContents"/>
              <w:bidi w:val="0"/>
              <w:spacing w:before="0" w:after="0"/>
              <w:ind w:left="0" w:right="0" w:hanging="0"/>
              <w:jc w:val="left"/>
              <w:rPr/>
            </w:pPr>
            <w:r>
              <w:rPr/>
              <w:t>​</w:t>
            </w:r>
          </w:p>
        </w:tc>
        <w:tc>
          <w:tcPr>
            <w:tcW w:w="1019"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0" w:type="dxa"/>
            <w:tcBorders/>
            <w:shd w:fill="FFFFFF" w:val="clear"/>
            <w:vAlign w:val="center"/>
          </w:tcPr>
          <w:p>
            <w:pPr>
              <w:pStyle w:val="TableContents"/>
              <w:bidi w:val="0"/>
              <w:spacing w:before="0" w:after="0"/>
              <w:ind w:left="0" w:right="0" w:hanging="0"/>
              <w:jc w:val="left"/>
              <w:rPr/>
            </w:pPr>
            <w:r>
              <w:rPr/>
              <w:t>​</w:t>
            </w:r>
          </w:p>
        </w:tc>
        <w:tc>
          <w:tcPr>
            <w:tcW w:w="727"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4" w:type="dxa"/>
            <w:tcBorders/>
            <w:shd w:fill="FFFFFF" w:val="clear"/>
            <w:vAlign w:val="center"/>
          </w:tcPr>
          <w:p>
            <w:pPr>
              <w:pStyle w:val="TableContents"/>
              <w:bidi w:val="0"/>
              <w:spacing w:before="0" w:after="0"/>
              <w:ind w:left="0" w:right="0" w:hanging="0"/>
              <w:jc w:val="left"/>
              <w:rPr/>
            </w:pPr>
            <w:r>
              <w:rPr/>
              <w:t>​</w:t>
            </w:r>
          </w:p>
        </w:tc>
        <w:tc>
          <w:tcPr>
            <w:tcW w:w="1127"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9" w:type="dxa"/>
            <w:tcBorders/>
            <w:shd w:fill="FFFFFF" w:val="clear"/>
            <w:vAlign w:val="center"/>
          </w:tcPr>
          <w:p>
            <w:pPr>
              <w:pStyle w:val="TableContents"/>
              <w:bidi w:val="0"/>
              <w:spacing w:before="0" w:after="0"/>
              <w:ind w:left="0" w:right="0" w:hanging="0"/>
              <w:jc w:val="left"/>
              <w:rPr/>
            </w:pPr>
            <w:r>
              <w:rPr/>
              <w:t>​</w:t>
            </w:r>
          </w:p>
        </w:tc>
        <w:tc>
          <w:tcPr>
            <w:tcW w:w="719"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4" w:type="dxa"/>
            <w:tcBorders/>
            <w:shd w:fill="FFFFFF" w:val="clear"/>
            <w:vAlign w:val="center"/>
          </w:tcPr>
          <w:p>
            <w:pPr>
              <w:pStyle w:val="TableContents"/>
              <w:bidi w:val="0"/>
              <w:spacing w:before="0" w:after="0"/>
              <w:ind w:left="0" w:right="0" w:hanging="0"/>
              <w:jc w:val="left"/>
              <w:rPr/>
            </w:pPr>
            <w:r>
              <w:rPr/>
              <w:t>​</w:t>
            </w:r>
          </w:p>
        </w:tc>
        <w:tc>
          <w:tcPr>
            <w:tcW w:w="1127"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w:t>
            </w:r>
          </w:p>
        </w:tc>
      </w:tr>
      <w:tr>
        <w:trPr/>
        <w:tc>
          <w:tcPr>
            <w:tcW w:w="311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Corporate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6,788</w:t>
            </w:r>
          </w:p>
        </w:tc>
        <w:tc>
          <w:tcPr>
            <w:tcW w:w="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935</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7,723</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w:t>
            </w:r>
          </w:p>
        </w:tc>
        <w:tc>
          <w:tcPr>
            <w:tcW w:w="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8"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securities held-to-maturity</w:t>
            </w:r>
          </w:p>
        </w:tc>
        <w:tc>
          <w:tcPr>
            <w:tcW w:w="23" w:type="dxa"/>
            <w:tcBorders/>
            <w:shd w:fill="FFFFFF" w:val="clear"/>
            <w:vAlign w:val="center"/>
          </w:tcPr>
          <w:p>
            <w:pPr>
              <w:pStyle w:val="TableContents"/>
              <w:bidi w:val="0"/>
              <w:spacing w:before="0" w:after="0"/>
              <w:ind w:left="0" w:right="0" w:hanging="0"/>
              <w:jc w:val="left"/>
              <w:rPr/>
            </w:pPr>
            <w:r>
              <w:rPr/>
              <w:t>​</w:t>
            </w:r>
          </w:p>
        </w:tc>
        <w:tc>
          <w:tcPr>
            <w:tcW w:w="1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6,788</w:t>
            </w:r>
          </w:p>
        </w:tc>
        <w:tc>
          <w:tcPr>
            <w:tcW w:w="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7,723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(149</w:t>
            </w:r>
          </w:p>
        </w:tc>
        <w:tc>
          <w:tcPr>
            <w:tcW w:w="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118" w:type="dxa"/>
            <w:tcBorders/>
            <w:shd w:fill="CCEEFF" w:val="clear"/>
            <w:vAlign w:val="center"/>
          </w:tcPr>
          <w:p>
            <w:pPr>
              <w:pStyle w:val="TableContents"/>
              <w:bidi w:val="0"/>
              <w:spacing w:before="0" w:after="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2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118"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5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3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48,990</w:t>
            </w:r>
          </w:p>
        </w:tc>
        <w:tc>
          <w:tcPr>
            <w:tcW w:w="2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8" w:type="dxa"/>
            <w:tcBorders/>
            <w:shd w:fill="FFFF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(528</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166,609</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2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(21,884</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215,599</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2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(22,412</w:t>
            </w:r>
          </w:p>
        </w:tc>
        <w:tc>
          <w:tcPr>
            <w:tcW w:w="8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unrealized losses associated with our investment securities are believed to be caused by changing market conditions and considered to be temporary, and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intend and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likely to be required to sell these securities prior to maturity. Management monitors the published credit ratings of the issuers of the debt securities for material ratings or outlook changes. Substantially all the Company’s municipal bond portfolio is comprised of obligations of states and political subdivisions located within the Company’s geographic footprint that are monitored through quarterly or annual financial review utilizing published credit ratings. All the municipal bond securities are investment grade.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All of the available-for-sale mortgage-backed securities and asset-backed securities in an unrealized loss position are issued or guaranteed by government-sponsored enterprises, and the available-for-sale corporate securities are all investment grade and monitored for rating or outlook changes. Based on the Company’s evaluation of these securities, no credit impairment was recorded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contractual maturities of securities available-for-sale and held-to-maturity at the dates indicated are listed below. Expected maturities of mortgage-backed securities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differ from contractual maturities because borrowers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the right to call or prepay the obligations; therefore, these securities are classified separately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specific maturity date.</w:t>
      </w:r>
    </w:p>
    <w:p>
      <w:pPr>
        <w:pStyle w:val="TextBody"/>
        <w:bidi w:val="0"/>
        <w:spacing w:before="0" w:after="0"/>
        <w:ind w:left="0" w:right="0" w:hanging="0"/>
        <w:jc w:val="left"/>
        <w:rPr>
          <w:caps w:val="false"/>
          <w:smallCaps w:val="false"/>
        </w:rPr>
      </w:pPr>
      <w:r>
        <w:rPr>
          <w:caps w:val="false"/>
          <w:smallCaps w:val="false"/>
        </w:rPr>
        <w:t> </w:t>
      </w:r>
    </w:p>
    <w:tbl>
      <w:tblPr>
        <w:tblW w:w="8064" w:type="dxa"/>
        <w:jc w:val="left"/>
        <w:tblInd w:w="0" w:type="dxa"/>
        <w:tblLayout w:type="fixed"/>
        <w:tblCellMar>
          <w:top w:w="0" w:type="dxa"/>
          <w:left w:w="0" w:type="dxa"/>
          <w:bottom w:w="0" w:type="dxa"/>
          <w:right w:w="0" w:type="dxa"/>
        </w:tblCellMar>
      </w:tblPr>
      <w:tblGrid>
        <w:gridCol w:w="4550"/>
        <w:gridCol w:w="23"/>
        <w:gridCol w:w="128"/>
        <w:gridCol w:w="717"/>
        <w:gridCol w:w="23"/>
        <w:gridCol w:w="23"/>
        <w:gridCol w:w="125"/>
        <w:gridCol w:w="695"/>
        <w:gridCol w:w="23"/>
        <w:gridCol w:w="23"/>
        <w:gridCol w:w="128"/>
        <w:gridCol w:w="717"/>
        <w:gridCol w:w="23"/>
        <w:gridCol w:w="23"/>
        <w:gridCol w:w="125"/>
        <w:gridCol w:w="695"/>
        <w:gridCol w:w="23"/>
      </w:tblGrid>
      <w:tr>
        <w:trPr/>
        <w:tc>
          <w:tcPr>
            <w:tcW w:w="455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71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2026</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71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550"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SECURITIES AVAILABLE-FOR-SALE</w:t>
            </w:r>
          </w:p>
        </w:tc>
        <w:tc>
          <w:tcPr>
            <w:tcW w:w="23" w:type="dxa"/>
            <w:tcBorders/>
            <w:vAlign w:val="center"/>
          </w:tcPr>
          <w:p>
            <w:pPr>
              <w:pStyle w:val="TableContents"/>
              <w:bidi w:val="0"/>
              <w:spacing w:before="0" w:after="0"/>
              <w:ind w:left="0" w:right="0" w:hanging="0"/>
              <w:jc w:val="left"/>
              <w:rPr/>
            </w:pPr>
            <w:r>
              <w:rPr/>
              <w:t>​</w:t>
            </w:r>
          </w:p>
        </w:tc>
        <w:tc>
          <w:tcPr>
            <w:tcW w:w="84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4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Amortized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23" w:type="dxa"/>
            <w:tcBorders/>
            <w:vAlign w:val="center"/>
          </w:tcPr>
          <w:p>
            <w:pPr>
              <w:pStyle w:val="TableContents"/>
              <w:bidi w:val="0"/>
              <w:spacing w:before="0" w:after="0"/>
              <w:ind w:left="0" w:right="0" w:hanging="0"/>
              <w:jc w:val="left"/>
              <w:rPr/>
            </w:pPr>
            <w:r>
              <w:rPr/>
              <w:t>​</w:t>
            </w:r>
          </w:p>
        </w:tc>
      </w:tr>
      <w:tr>
        <w:trPr/>
        <w:tc>
          <w:tcPr>
            <w:tcW w:w="4550"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U.S. agency securities</w:t>
            </w:r>
          </w:p>
        </w:tc>
        <w:tc>
          <w:tcPr>
            <w:tcW w:w="23" w:type="dxa"/>
            <w:tcBorders/>
            <w:vAlign w:val="center"/>
          </w:tcPr>
          <w:p>
            <w:pPr>
              <w:pStyle w:val="TableContents"/>
              <w:bidi w:val="0"/>
              <w:spacing w:before="0" w:after="0"/>
              <w:ind w:left="0" w:right="0" w:hanging="0"/>
              <w:jc w:val="left"/>
              <w:rPr/>
            </w:pPr>
            <w:r>
              <w:rPr/>
              <w:t>​</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Cost</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Cost</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one year through five years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4,982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4,800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4,976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4,785</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15,290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13,232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15,288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13,342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55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Subtotal</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20,272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18,032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20,264</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18,127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55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Corporate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Due within one year</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6,000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5,999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6,000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6,001</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one year through five years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7,934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8,000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7,858</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1,565</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55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Subtotal</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16,000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15,498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16,000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15,386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55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Municipal bonds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one year through five years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2,137</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Due after five years through ten years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6,133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5,620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7,080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6,441</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ten years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71,447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62,841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71,941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62,827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55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Subtotal</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79,341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70,120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81,156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71,405</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55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Mortgage-backed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National Mortgage Association (“FNMA”)</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78,516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71,122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82,555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75,492</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Federal Home Loan Mortgage Corporation (“FHLMC”)</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42,224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41,245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47,170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46,556</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Government National Mortgage Association (“GNMA”)</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45,216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44,391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52,124</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51,519</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5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Subtotal</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165,956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156,758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181,849</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173,567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55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Asset-backed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within one year</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one year through five years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730</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2,212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2,598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2,458</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ten years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6,624</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6,117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7,357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6,865</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5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Subtotal</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9,748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9,052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10,828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10,182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55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available-for-sale</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291,317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269,460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310,097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288,667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550" w:type="dxa"/>
            <w:tcBorders/>
            <w:shd w:fill="FFFFFF" w:val="clear"/>
            <w:vAlign w:val="center"/>
          </w:tcPr>
          <w:p>
            <w:pPr>
              <w:pStyle w:val="TableContents"/>
              <w:bidi w:val="0"/>
              <w:spacing w:before="0" w:after="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55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SECURITIES HELD-TO-MATURITY</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55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Corporate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Due after one year through five years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1,981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2,986</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Due after five years through ten years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30,989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31,124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71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26,143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26,839</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55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Due after ten years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550"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Subtotal</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32,989</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33,105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31,393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32,075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5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Municipal bonds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717"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55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Due after ten years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2,108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2,321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55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securities held-to-maturity</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35,122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35,183</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33,501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34,396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550"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326,439</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304,643</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343,598</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323,063</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There were no sales of securities available-for-sale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xml:space="preserve"> </w:t>
      </w:r>
      <w:r>
        <w:rPr>
          <w:rStyle w:val="Emphasis"/>
          <w:rFonts w:ascii="Times New Roman" w:hAnsi="Times New Roman"/>
          <w:b/>
          <w:caps w:val="false"/>
          <w:smallCaps w:val="false"/>
          <w:sz w:val="20"/>
        </w:rPr>
        <w:t>3</w:t>
      </w:r>
      <w:r>
        <w:rPr>
          <w:rFonts w:ascii="Times New Roman" w:hAnsi="Times New Roman"/>
          <w:caps w:val="false"/>
          <w:smallCaps w:val="false"/>
          <w:sz w:val="20"/>
        </w:rPr>
        <w:t xml:space="preserve"> – </w:t>
      </w:r>
      <w:r>
        <w:rPr>
          <w:rFonts w:ascii="Times New Roman" w:hAnsi="Times New Roman"/>
          <w:b/>
          <w:caps w:val="false"/>
          <w:smallCaps w:val="false"/>
          <w:sz w:val="20"/>
        </w:rPr>
        <w:t xml:space="preserve">LOANS RECEIVABLE AND ALLOWANCE FOR CREDIT LOSSES </w:t>
      </w:r>
      <w:r>
        <w:rPr>
          <w:rFonts w:ascii="Times New Roman" w:hAnsi="Times New Roman"/>
          <w:caps w:val="false"/>
          <w:smallCaps w:val="false"/>
          <w:sz w:val="20"/>
        </w:rPr>
        <w:t xml:space="preserve">– </w:t>
      </w:r>
      <w:r>
        <w:rPr>
          <w:rFonts w:ascii="Times New Roman" w:hAnsi="Times New Roman"/>
          <w:b/>
          <w:caps w:val="false"/>
          <w:smallCaps w:val="false"/>
          <w:sz w:val="20"/>
        </w:rPr>
        <w:t>LOANS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composition of the loan portfolio was as follows at the dates indicated:</w:t>
      </w:r>
    </w:p>
    <w:p>
      <w:pPr>
        <w:pStyle w:val="TextBody"/>
        <w:bidi w:val="0"/>
        <w:spacing w:before="0" w:after="0"/>
        <w:ind w:left="0" w:right="0" w:hanging="0"/>
        <w:jc w:val="left"/>
        <w:rPr>
          <w:caps w:val="false"/>
          <w:smallCaps w:val="false"/>
        </w:rPr>
      </w:pPr>
      <w:r>
        <w:rPr>
          <w:caps w:val="false"/>
          <w:smallCaps w:val="false"/>
        </w:rPr>
        <w:t> </w:t>
      </w:r>
    </w:p>
    <w:tbl>
      <w:tblPr>
        <w:tblW w:w="7155" w:type="dxa"/>
        <w:jc w:val="left"/>
        <w:tblInd w:w="0" w:type="dxa"/>
        <w:tblLayout w:type="fixed"/>
        <w:tblCellMar>
          <w:top w:w="0" w:type="dxa"/>
          <w:left w:w="0" w:type="dxa"/>
          <w:bottom w:w="0" w:type="dxa"/>
          <w:right w:w="0" w:type="dxa"/>
        </w:tblCellMar>
      </w:tblPr>
      <w:tblGrid>
        <w:gridCol w:w="4850"/>
        <w:gridCol w:w="23"/>
        <w:gridCol w:w="125"/>
        <w:gridCol w:w="845"/>
        <w:gridCol w:w="80"/>
        <w:gridCol w:w="23"/>
        <w:gridCol w:w="145"/>
        <w:gridCol w:w="984"/>
        <w:gridCol w:w="80"/>
      </w:tblGrid>
      <w:tr>
        <w:trPr/>
        <w:tc>
          <w:tcPr>
            <w:tcW w:w="485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29"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December 31,</w:t>
            </w:r>
          </w:p>
        </w:tc>
        <w:tc>
          <w:tcPr>
            <w:tcW w:w="80" w:type="dxa"/>
            <w:tcBorders/>
            <w:vAlign w:val="center"/>
          </w:tcPr>
          <w:p>
            <w:pPr>
              <w:pStyle w:val="TableContents"/>
              <w:bidi w:val="0"/>
              <w:spacing w:before="0" w:after="0"/>
              <w:ind w:left="0" w:right="0" w:hanging="0"/>
              <w:jc w:val="left"/>
              <w:rPr/>
            </w:pPr>
            <w:r>
              <w:rPr/>
              <w:t>​</w:t>
            </w:r>
          </w:p>
        </w:tc>
      </w:tr>
      <w:tr>
        <w:trPr/>
        <w:tc>
          <w:tcPr>
            <w:tcW w:w="485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8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COMMERCIAL REAL ESTATE ("CRE") LOANS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8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CRE owner occupied</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184,136</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176,078</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850"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CRE non-owner occupied</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188,258</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177,113</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8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and speculative construction and development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370,459</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354,130</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8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Multi-family</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262,137</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262,150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CRE loans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1,004,990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969,471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85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RESIDENTIAL REAL ESTATE LOANS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8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One-to-four-family</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660,518</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628,761</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8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Home equity</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88,214</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88,271</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850"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Residential custom construction</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44,765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42,329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850"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residential real estate</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793,497</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759,361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85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CONSUMER LOANS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984"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8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Indirect home improvement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502,151</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525,842</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8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Marine</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66,941</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68,115</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8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consumer</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4,111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consumer loans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573,203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596,986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850"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COMMERCIAL BUSINESS LOANS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85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and industrial (“C&amp;I”)</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281,181</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301,111</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8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Warehouse lending</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7,286</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28,180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commercial business loans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288,467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329,291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85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loans receivable, gross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2,660,157</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2,655,109</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ACL on loans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(31,165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(31,937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85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loans receivable, net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2,628,992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2,623,172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Loan amounts are net of unearned loan fees in excess of unamortized costs, unamortized net discounts on acquired loans, and premiums on purchased loans of $7.0 million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$8.6 million as of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Net loans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 accrued interest receivable.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Most of the Company’s CRE and multi-family real estate, construction, residential, and commercial business lending activities are with customers located in Western Washington, the Oregon Coast, or near our loan production offices in Vancouver and the Tri-Cities, Washington. While the Company primarily originates real estate, consumer, and commercial business loans in these market areas, it also originates indirect home improvement loans, including solar-related home improvement loans, through a network of home improvement contractors and dealers located throughout Washington, Oregon, California, Idaho, Colorado, Arizona, Minnesota, Nevada, Texas, Utah, Massachusetts, Montana, and New Hampshire. Depending on underwriting guidelines, these indirect home improvement loans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secured by collateral, with legal documentation that establishes the Company's rights to the collateral, where practicable. Local economic conditions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affect borrowers’ ability to meet the stated repayment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 Company held approximately $1.10 billion in loans that are pledged as collateral for FHLB borrowings, compared to approximately $1.08 billion at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Company held approximately $559.0 million in loans that are pledged as collateral for the Federal Reserve Bank of San Francisco (the “FRB”) line of credit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compared to approximately $580.9 million at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defined its loan portfolio into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segments that reflect the structure of the lending function, the Company’s strategic plan and the way management monitors performance and credit quality. The </w:t>
      </w:r>
      <w:r>
        <w:rPr>
          <w:rStyle w:val="Emphasis"/>
          <w:rFonts w:ascii="Times New Roman" w:hAnsi="Times New Roman"/>
          <w:caps w:val="false"/>
          <w:smallCaps w:val="false"/>
          <w:sz w:val="20"/>
        </w:rPr>
        <w:t>four</w:t>
      </w:r>
      <w:r>
        <w:rPr>
          <w:rFonts w:ascii="Times New Roman" w:hAnsi="Times New Roman"/>
          <w:caps w:val="false"/>
          <w:smallCaps w:val="false"/>
          <w:sz w:val="20"/>
        </w:rPr>
        <w:t> loan portfolio segments are: (a) CRE, (b) residential real estate, (c) consumer, and (d) commercial business. Each segment is further disaggregated into classes based on the risk characteristics of the borrower and/or the collateral securing the loan. The following is a summary of the Company’s loan portfolio segments and classes: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CRE Loans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Multi-Family Lending</w:t>
      </w:r>
      <w:r>
        <w:rPr>
          <w:rFonts w:ascii="Times New Roman" w:hAnsi="Times New Roman"/>
          <w:caps w:val="false"/>
          <w:smallCaps w:val="false"/>
          <w:sz w:val="20"/>
        </w:rPr>
        <w:t>. Apartment term lending (</w:t>
      </w:r>
      <w:r>
        <w:rPr>
          <w:rStyle w:val="Emphasis"/>
          <w:rFonts w:ascii="Times New Roman" w:hAnsi="Times New Roman"/>
          <w:caps w:val="false"/>
          <w:smallCaps w:val="false"/>
          <w:sz w:val="20"/>
        </w:rPr>
        <w:t>five</w:t>
      </w:r>
      <w:r>
        <w:rPr>
          <w:rFonts w:ascii="Times New Roman" w:hAnsi="Times New Roman"/>
          <w:caps w:val="false"/>
          <w:smallCaps w:val="false"/>
          <w:sz w:val="20"/>
        </w:rPr>
        <w:t xml:space="preserve"> or more units) and community reinvestment loans for low to moderate income borrowers in the Company’s footprint.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CRE Lending</w:t>
      </w:r>
      <w:r>
        <w:rPr>
          <w:rFonts w:ascii="Times New Roman" w:hAnsi="Times New Roman"/>
          <w:caps w:val="false"/>
          <w:smallCaps w:val="false"/>
          <w:sz w:val="20"/>
        </w:rPr>
        <w:t>. Loans originated by the Company primarily secured by income-producing properties, including retail centers, warehouses, and office buildings located in its market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Commercial and Speculative Construction and Development Lending</w:t>
      </w:r>
      <w:r>
        <w:rPr>
          <w:rFonts w:ascii="Times New Roman" w:hAnsi="Times New Roman"/>
          <w:caps w:val="false"/>
          <w:smallCaps w:val="false"/>
          <w:sz w:val="20"/>
        </w:rPr>
        <w:t xml:space="preserve">. Loans originated for the construction of, and secured by, commercial real estate,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and multi-family properties and tracts of land for development that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pre-sold. Custom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-family construction loans to the intended occupant of the residence are included under residential custom construction lending described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Residential Real Estate Loans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One-to-Four-Family Real Estate Lending</w:t>
      </w:r>
      <w:r>
        <w:rPr>
          <w:rFonts w:ascii="Times New Roman" w:hAnsi="Times New Roman"/>
          <w:caps w:val="false"/>
          <w:smallCaps w:val="false"/>
          <w:sz w:val="20"/>
        </w:rPr>
        <w:t>. One-to-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residential loans include both owner occupied properties (including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homes), and non-owner occupied properties with up to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units. These loans, which are originated by the Company or periodically purchased from other banks, are secured by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mortgages on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-family residences in our market areas and are intended to be held in the Company's portfolio (excludes loans held for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Home Equity Lending</w:t>
      </w:r>
      <w:r>
        <w:rPr>
          <w:rFonts w:ascii="Times New Roman" w:hAnsi="Times New Roman"/>
          <w:caps w:val="false"/>
          <w:smallCaps w:val="false"/>
          <w:sz w:val="20"/>
        </w:rPr>
        <w:t xml:space="preserve">. Loans originated by the Company secured by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mortgages on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-family residences, including home equity lines of credit within the Company's market areas.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Residential Custom Construction Lending</w:t>
      </w:r>
      <w:r>
        <w:rPr>
          <w:rFonts w:ascii="Times New Roman" w:hAnsi="Times New Roman"/>
          <w:caps w:val="false"/>
          <w:smallCaps w:val="false"/>
          <w:sz w:val="20"/>
        </w:rPr>
        <w:t xml:space="preserve">.  Custom construction loans to intended occupants of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family residences.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Consumer Loans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Indirect Home Improvement</w:t>
      </w:r>
      <w:r>
        <w:rPr>
          <w:rFonts w:ascii="Times New Roman" w:hAnsi="Times New Roman"/>
          <w:caps w:val="false"/>
          <w:smallCaps w:val="false"/>
          <w:sz w:val="20"/>
        </w:rPr>
        <w:t xml:space="preserve">. Fixture secured loans for home improvement are originated by the Company through its network of home improvement contractors and dealers.  These loans are secured by the personal property installed in, on, or at the borrower’s real property,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perfected with a </w:t>
      </w:r>
      <w:r>
        <w:rPr>
          <w:rStyle w:val="Emphasis"/>
          <w:rFonts w:ascii="Times New Roman" w:hAnsi="Times New Roman"/>
          <w:caps w:val="false"/>
          <w:smallCaps w:val="false"/>
          <w:sz w:val="20"/>
        </w:rPr>
        <w:t>UCC</w:t>
        <w:noBreakHyphen/>
        <w:t>2</w:t>
      </w:r>
      <w:r>
        <w:rPr>
          <w:rFonts w:ascii="Times New Roman" w:hAnsi="Times New Roman"/>
          <w:caps w:val="false"/>
          <w:smallCaps w:val="false"/>
          <w:sz w:val="20"/>
        </w:rPr>
        <w:t xml:space="preserve"> financing statement filed in the county of the borrower’s residence. These indirect home improvement loans include replacement windows, siding, roofing, spas, and other home fixture installations, including solar related home improvement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Marine</w:t>
      </w:r>
      <w:r>
        <w:rPr>
          <w:rFonts w:ascii="Times New Roman" w:hAnsi="Times New Roman"/>
          <w:caps w:val="false"/>
          <w:smallCaps w:val="false"/>
          <w:sz w:val="20"/>
        </w:rPr>
        <w:t>. Loans originated by the Company, secured by boats, to borrowers primarily located in states where the Company originates consumer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Other Consumer</w:t>
      </w:r>
      <w:r>
        <w:rPr>
          <w:rFonts w:ascii="Times New Roman" w:hAnsi="Times New Roman"/>
          <w:caps w:val="false"/>
          <w:smallCaps w:val="false"/>
          <w:sz w:val="20"/>
        </w:rPr>
        <w:t>. Loans originated by the Company to consumers in our retail branch footprint, including automobiles, direct home improvement loans, loans on deposits, and other consumer loans, primarily consisting of personal lines of credit and credit cards.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Commercial Business Loans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 xml:space="preserve">C&amp;I Lending. </w:t>
      </w:r>
      <w:r>
        <w:rPr>
          <w:rFonts w:ascii="Times New Roman" w:hAnsi="Times New Roman"/>
          <w:caps w:val="false"/>
          <w:smallCaps w:val="false"/>
          <w:sz w:val="20"/>
        </w:rPr>
        <w:t>C&amp;I loans originated by the Company to local small- and mid-sized businesses in its market area are secured primarily by accounts receivable, inventory, and personal property, plant and equipment. Some C&amp;I loans purchased by the Company are outside of its market area. C&amp;I loans are made based on the borrower’s ability to repay from the cash flow of the borrower’s business.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C&amp;I loans included Small Business Administration and United States Department of Agriculture guaranteed certificates of $38.3 million and $44.8 million,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i/>
          <w:caps w:val="false"/>
          <w:smallCaps w:val="false"/>
          <w:sz w:val="20"/>
        </w:rPr>
        <w:t>Warehouse Lending</w:t>
      </w:r>
      <w:r>
        <w:rPr>
          <w:rFonts w:ascii="Times New Roman" w:hAnsi="Times New Roman"/>
          <w:caps w:val="false"/>
          <w:smallCaps w:val="false"/>
          <w:sz w:val="20"/>
        </w:rPr>
        <w:t xml:space="preserve">. Loans originated to non-depository financial institutions and secured by notes originated by the non-depository financial institution.  The Company has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distinct warehouse lending divisions: commercial warehouse re-lending secured by notes on construction loans and mortgage warehouse re-lending secured by notes related to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loans. The Company’s commercial construction warehouse lines are secured by notes related to construction loans and are typically guaranteed by principals with experience in construction lending.  Mortgage warehouse lines are funded through </w:t>
      </w:r>
      <w:r>
        <w:rPr>
          <w:rStyle w:val="Emphasis"/>
          <w:rFonts w:ascii="Times New Roman" w:hAnsi="Times New Roman"/>
          <w:caps w:val="false"/>
          <w:smallCaps w:val="false"/>
          <w:sz w:val="20"/>
        </w:rPr>
        <w:t>third</w:t>
      </w:r>
      <w:r>
        <w:rPr>
          <w:rFonts w:ascii="Times New Roman" w:hAnsi="Times New Roman"/>
          <w:caps w:val="false"/>
          <w:smallCaps w:val="false"/>
          <w:sz w:val="20"/>
        </w:rPr>
        <w:t>-party residential mortgage bankers. Under this program, the Company provides short-term funding to mortgage banking companies for the purpose of originating residential mortgage loans for sale into the secondary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Allowance for Credit Losses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tables detail activity in the ACL on loans by loan categories at or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8629" w:type="dxa"/>
        <w:jc w:val="left"/>
        <w:tblInd w:w="0" w:type="dxa"/>
        <w:tblLayout w:type="fixed"/>
        <w:tblCellMar>
          <w:top w:w="0" w:type="dxa"/>
          <w:left w:w="0" w:type="dxa"/>
          <w:bottom w:w="0" w:type="dxa"/>
          <w:right w:w="0" w:type="dxa"/>
        </w:tblCellMar>
      </w:tblPr>
      <w:tblGrid>
        <w:gridCol w:w="3845"/>
        <w:gridCol w:w="23"/>
        <w:gridCol w:w="135"/>
        <w:gridCol w:w="590"/>
        <w:gridCol w:w="86"/>
        <w:gridCol w:w="24"/>
        <w:gridCol w:w="194"/>
        <w:gridCol w:w="756"/>
        <w:gridCol w:w="24"/>
        <w:gridCol w:w="24"/>
        <w:gridCol w:w="147"/>
        <w:gridCol w:w="698"/>
        <w:gridCol w:w="86"/>
        <w:gridCol w:w="24"/>
        <w:gridCol w:w="206"/>
        <w:gridCol w:w="804"/>
        <w:gridCol w:w="86"/>
        <w:gridCol w:w="24"/>
        <w:gridCol w:w="135"/>
        <w:gridCol w:w="638"/>
        <w:gridCol w:w="80"/>
      </w:tblGrid>
      <w:tr>
        <w:trPr/>
        <w:tc>
          <w:tcPr>
            <w:tcW w:w="38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4681"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 or For the Three Months Ended June 30, 2026</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8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5"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center"/>
              <w:rPr/>
            </w:pPr>
            <w:r>
              <w:rPr/>
              <w:t>​</w:t>
            </w:r>
          </w:p>
        </w:tc>
        <w:tc>
          <w:tcPr>
            <w:tcW w:w="86" w:type="dxa"/>
            <w:tcBorders/>
            <w:vAlign w:val="center"/>
          </w:tcPr>
          <w:p>
            <w:pPr>
              <w:pStyle w:val="TableContents"/>
              <w:bidi w:val="0"/>
              <w:spacing w:before="0" w:after="0"/>
              <w:ind w:left="0" w:right="0" w:hanging="0"/>
              <w:jc w:val="left"/>
              <w:rPr/>
            </w:pPr>
            <w:r>
              <w:rPr/>
              <w:t>​</w:t>
            </w:r>
          </w:p>
        </w:tc>
        <w:tc>
          <w:tcPr>
            <w:tcW w:w="24" w:type="dxa"/>
            <w:tcBorders/>
            <w:vAlign w:val="center"/>
          </w:tcPr>
          <w:p>
            <w:pPr>
              <w:pStyle w:val="TableContents"/>
              <w:bidi w:val="0"/>
              <w:spacing w:before="0" w:after="0"/>
              <w:ind w:left="0" w:right="0" w:hanging="0"/>
              <w:jc w:val="left"/>
              <w:rPr/>
            </w:pPr>
            <w:r>
              <w:rPr/>
              <w:t>​</w:t>
            </w:r>
          </w:p>
        </w:tc>
        <w:tc>
          <w:tcPr>
            <w:tcW w:w="95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Residential</w:t>
            </w:r>
          </w:p>
        </w:tc>
        <w:tc>
          <w:tcPr>
            <w:tcW w:w="24" w:type="dxa"/>
            <w:tcBorders/>
            <w:vAlign w:val="center"/>
          </w:tcPr>
          <w:p>
            <w:pPr>
              <w:pStyle w:val="TableContents"/>
              <w:bidi w:val="0"/>
              <w:spacing w:before="0" w:after="0"/>
              <w:ind w:left="0" w:right="0" w:hanging="0"/>
              <w:jc w:val="left"/>
              <w:rPr/>
            </w:pPr>
            <w:r>
              <w:rPr/>
              <w:t>​</w:t>
            </w:r>
          </w:p>
        </w:tc>
        <w:tc>
          <w:tcPr>
            <w:tcW w:w="24"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86" w:type="dxa"/>
            <w:tcBorders/>
            <w:vAlign w:val="center"/>
          </w:tcPr>
          <w:p>
            <w:pPr>
              <w:pStyle w:val="TableContents"/>
              <w:bidi w:val="0"/>
              <w:spacing w:before="0" w:after="0"/>
              <w:ind w:left="0" w:right="0" w:hanging="0"/>
              <w:jc w:val="left"/>
              <w:rPr/>
            </w:pPr>
            <w:r>
              <w:rPr/>
              <w:t>​</w:t>
            </w:r>
          </w:p>
        </w:tc>
        <w:tc>
          <w:tcPr>
            <w:tcW w:w="24" w:type="dxa"/>
            <w:tcBorders/>
            <w:vAlign w:val="center"/>
          </w:tcPr>
          <w:p>
            <w:pPr>
              <w:pStyle w:val="TableContents"/>
              <w:bidi w:val="0"/>
              <w:spacing w:before="0" w:after="0"/>
              <w:ind w:left="0" w:right="0" w:hanging="0"/>
              <w:jc w:val="left"/>
              <w:rPr/>
            </w:pPr>
            <w:r>
              <w:rPr/>
              <w:t>​</w:t>
            </w:r>
          </w:p>
        </w:tc>
        <w:tc>
          <w:tcPr>
            <w:tcW w:w="101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Commercial</w:t>
            </w:r>
          </w:p>
        </w:tc>
        <w:tc>
          <w:tcPr>
            <w:tcW w:w="86" w:type="dxa"/>
            <w:tcBorders/>
            <w:vAlign w:val="center"/>
          </w:tcPr>
          <w:p>
            <w:pPr>
              <w:pStyle w:val="TableContents"/>
              <w:bidi w:val="0"/>
              <w:spacing w:before="0" w:after="0"/>
              <w:ind w:left="0" w:right="0" w:hanging="0"/>
              <w:jc w:val="left"/>
              <w:rPr/>
            </w:pPr>
            <w:r>
              <w:rPr/>
              <w:t>​</w:t>
            </w:r>
          </w:p>
        </w:tc>
        <w:tc>
          <w:tcPr>
            <w:tcW w:w="24" w:type="dxa"/>
            <w:tcBorders/>
            <w:vAlign w:val="center"/>
          </w:tcPr>
          <w:p>
            <w:pPr>
              <w:pStyle w:val="TableContents"/>
              <w:bidi w:val="0"/>
              <w:spacing w:before="0" w:after="0"/>
              <w:ind w:left="0" w:right="0" w:hanging="0"/>
              <w:jc w:val="left"/>
              <w:rPr/>
            </w:pPr>
            <w:r>
              <w:rPr/>
              <w:t>​</w:t>
            </w:r>
          </w:p>
        </w:tc>
        <w:tc>
          <w:tcPr>
            <w:tcW w:w="135"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r>
      <w:tr>
        <w:trPr/>
        <w:tc>
          <w:tcPr>
            <w:tcW w:w="3845"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ACL ON LOANS</w:t>
            </w:r>
          </w:p>
        </w:tc>
        <w:tc>
          <w:tcPr>
            <w:tcW w:w="23" w:type="dxa"/>
            <w:tcBorders/>
            <w:vAlign w:val="center"/>
          </w:tcPr>
          <w:p>
            <w:pPr>
              <w:pStyle w:val="TableContents"/>
              <w:bidi w:val="0"/>
              <w:spacing w:before="0" w:after="0"/>
              <w:ind w:left="0" w:right="0" w:hanging="0"/>
              <w:jc w:val="left"/>
              <w:rPr/>
            </w:pPr>
            <w:r>
              <w:rPr/>
              <w:t>​</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CRE</w:t>
            </w:r>
          </w:p>
        </w:tc>
        <w:tc>
          <w:tcPr>
            <w:tcW w:w="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 w:type="dxa"/>
            <w:tcBorders/>
            <w:vAlign w:val="center"/>
          </w:tcPr>
          <w:p>
            <w:pPr>
              <w:pStyle w:val="TableContents"/>
              <w:bidi w:val="0"/>
              <w:spacing w:before="0" w:after="0"/>
              <w:ind w:left="0" w:right="0" w:hanging="0"/>
              <w:jc w:val="left"/>
              <w:rPr/>
            </w:pPr>
            <w:r>
              <w:rPr/>
              <w:t>​</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Real Estate</w:t>
            </w:r>
          </w:p>
        </w:tc>
        <w:tc>
          <w:tcPr>
            <w:tcW w:w="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 w:type="dxa"/>
            <w:tcBorders/>
            <w:vAlign w:val="center"/>
          </w:tcPr>
          <w:p>
            <w:pPr>
              <w:pStyle w:val="TableContents"/>
              <w:bidi w:val="0"/>
              <w:spacing w:before="0" w:after="0"/>
              <w:ind w:left="0" w:right="0" w:hanging="0"/>
              <w:jc w:val="left"/>
              <w:rPr/>
            </w:pPr>
            <w:r>
              <w:rPr/>
              <w:t>​</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Consumer</w:t>
            </w:r>
          </w:p>
        </w:tc>
        <w:tc>
          <w:tcPr>
            <w:tcW w:w="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 w:type="dxa"/>
            <w:tcBorders/>
            <w:vAlign w:val="center"/>
          </w:tcPr>
          <w:p>
            <w:pPr>
              <w:pStyle w:val="TableContents"/>
              <w:bidi w:val="0"/>
              <w:spacing w:before="0" w:after="0"/>
              <w:ind w:left="0" w:right="0" w:hanging="0"/>
              <w:jc w:val="left"/>
              <w:rPr/>
            </w:pPr>
            <w:r>
              <w:rPr/>
              <w:t>​</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Business</w:t>
            </w:r>
          </w:p>
        </w:tc>
        <w:tc>
          <w:tcPr>
            <w:tcW w:w="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4" w:type="dxa"/>
            <w:tcBorders/>
            <w:vAlign w:val="center"/>
          </w:tcPr>
          <w:p>
            <w:pPr>
              <w:pStyle w:val="TableContents"/>
              <w:bidi w:val="0"/>
              <w:spacing w:before="0" w:after="0"/>
              <w:ind w:left="0" w:right="0" w:hanging="0"/>
              <w:jc w:val="left"/>
              <w:rPr/>
            </w:pPr>
            <w:r>
              <w:rPr/>
              <w:t>​</w:t>
            </w:r>
          </w:p>
        </w:tc>
        <w:tc>
          <w:tcPr>
            <w:tcW w:w="7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Beginning balance</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6,557</w:t>
            </w:r>
          </w:p>
        </w:tc>
        <w:tc>
          <w:tcPr>
            <w:tcW w:w="86"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5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7,405</w:t>
            </w:r>
          </w:p>
        </w:tc>
        <w:tc>
          <w:tcPr>
            <w:tcW w:w="24"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16,661</w:t>
            </w:r>
          </w:p>
        </w:tc>
        <w:tc>
          <w:tcPr>
            <w:tcW w:w="86"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1,820</w:t>
            </w:r>
          </w:p>
        </w:tc>
        <w:tc>
          <w:tcPr>
            <w:tcW w:w="86"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32,443</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84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Provision for (reversal of) credit losses on loans</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881</w:t>
            </w:r>
          </w:p>
        </w:tc>
        <w:tc>
          <w:tcPr>
            <w:tcW w:w="86"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94" w:type="dxa"/>
            <w:tcBorders/>
            <w:shd w:fill="FFFFFF" w:val="clear"/>
            <w:vAlign w:val="center"/>
          </w:tcPr>
          <w:p>
            <w:pPr>
              <w:pStyle w:val="TableContents"/>
              <w:bidi w:val="0"/>
              <w:spacing w:before="0" w:after="0"/>
              <w:ind w:left="0" w:right="0" w:hanging="0"/>
              <w:jc w:val="left"/>
              <w:rPr/>
            </w:pPr>
            <w:r>
              <w:rPr/>
              <w:t>​</w:t>
            </w:r>
          </w:p>
        </w:tc>
        <w:tc>
          <w:tcPr>
            <w:tcW w:w="75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w:t>
            </w:r>
          </w:p>
        </w:tc>
        <w:tc>
          <w:tcPr>
            <w:tcW w:w="24"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47" w:type="dxa"/>
            <w:tcBorders/>
            <w:shd w:fill="FFFFFF" w:val="clear"/>
            <w:vAlign w:val="center"/>
          </w:tcPr>
          <w:p>
            <w:pPr>
              <w:pStyle w:val="TableContents"/>
              <w:bidi w:val="0"/>
              <w:spacing w:before="0" w:after="0"/>
              <w:ind w:left="0" w:right="0" w:hanging="0"/>
              <w:jc w:val="left"/>
              <w:rPr/>
            </w:pPr>
            <w:r>
              <w:rPr/>
              <w:t>​</w:t>
            </w:r>
          </w:p>
        </w:tc>
        <w:tc>
          <w:tcPr>
            <w:tcW w:w="6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1,559</w:t>
            </w:r>
          </w:p>
        </w:tc>
        <w:tc>
          <w:tcPr>
            <w:tcW w:w="86"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206" w:type="dxa"/>
            <w:tcBorders/>
            <w:shd w:fill="FFFFFF" w:val="clear"/>
            <w:vAlign w:val="center"/>
          </w:tcPr>
          <w:p>
            <w:pPr>
              <w:pStyle w:val="TableContents"/>
              <w:bidi w:val="0"/>
              <w:spacing w:before="0" w:after="0"/>
              <w:ind w:left="0" w:right="0" w:hanging="0"/>
              <w:jc w:val="left"/>
              <w:rPr/>
            </w:pPr>
            <w:r>
              <w:rPr/>
              <w:t>​</w:t>
            </w:r>
          </w:p>
        </w:tc>
        <w:tc>
          <w:tcPr>
            <w:tcW w:w="8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c>
          <w:tcPr>
            <w:tcW w:w="86"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5" w:type="dxa"/>
            <w:tcBorders/>
            <w:shd w:fill="FFFFFF" w:val="clear"/>
            <w:vAlign w:val="center"/>
          </w:tcPr>
          <w:p>
            <w:pPr>
              <w:pStyle w:val="TableContents"/>
              <w:bidi w:val="0"/>
              <w:spacing w:before="0" w:after="0"/>
              <w:ind w:left="0" w:right="0" w:hanging="0"/>
              <w:jc w:val="left"/>
              <w:rPr/>
            </w:pPr>
            <w:r>
              <w:rPr/>
              <w:t>​</w:t>
            </w:r>
          </w:p>
        </w:tc>
        <w:tc>
          <w:tcPr>
            <w:tcW w:w="6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2,559</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Charge-offs</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(2,277</w:t>
            </w:r>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(2,123</w:t>
            </w:r>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5"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(4,439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8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Recoveries</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602</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3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(charge-offs) recoveries</w:t>
            </w:r>
          </w:p>
        </w:tc>
        <w:tc>
          <w:tcPr>
            <w:tcW w:w="23" w:type="dxa"/>
            <w:tcBorders/>
            <w:shd w:fill="CCEEFF" w:val="clear"/>
            <w:vAlign w:val="center"/>
          </w:tcPr>
          <w:p>
            <w:pPr>
              <w:pStyle w:val="TableContents"/>
              <w:bidi w:val="0"/>
              <w:spacing w:before="0" w:after="0"/>
              <w:ind w:left="0" w:right="0" w:hanging="0"/>
              <w:jc w:val="left"/>
              <w:rPr/>
            </w:pPr>
            <w:r>
              <w:rPr/>
              <w:t>​</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(2,277</w:t>
            </w:r>
          </w:p>
        </w:tc>
        <w:tc>
          <w:tcPr>
            <w:tcW w:w="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(1,521</w:t>
            </w:r>
          </w:p>
        </w:tc>
        <w:tc>
          <w:tcPr>
            <w:tcW w:w="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p>
        </w:tc>
        <w:tc>
          <w:tcPr>
            <w:tcW w:w="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3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(3,837</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84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Ending balance</w:t>
            </w:r>
          </w:p>
        </w:tc>
        <w:tc>
          <w:tcPr>
            <w:tcW w:w="23" w:type="dxa"/>
            <w:tcBorders/>
            <w:shd w:fill="FFFFFF" w:val="clear"/>
            <w:vAlign w:val="center"/>
          </w:tcPr>
          <w:p>
            <w:pPr>
              <w:pStyle w:val="TableContents"/>
              <w:bidi w:val="0"/>
              <w:spacing w:before="0" w:after="0"/>
              <w:ind w:left="0" w:right="0" w:hanging="0"/>
              <w:jc w:val="left"/>
              <w:rPr/>
            </w:pPr>
            <w:r>
              <w:rPr/>
              <w:t>​</w:t>
            </w:r>
          </w:p>
        </w:tc>
        <w:tc>
          <w:tcPr>
            <w:tcW w:w="13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5,161</w:t>
            </w:r>
          </w:p>
        </w:tc>
        <w:tc>
          <w:tcPr>
            <w:tcW w:w="8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9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5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7,518</w:t>
            </w:r>
          </w:p>
        </w:tc>
        <w:tc>
          <w:tcPr>
            <w:tcW w:w="2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4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16,699</w:t>
            </w:r>
          </w:p>
        </w:tc>
        <w:tc>
          <w:tcPr>
            <w:tcW w:w="8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1,787</w:t>
            </w:r>
          </w:p>
        </w:tc>
        <w:tc>
          <w:tcPr>
            <w:tcW w:w="8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31,165</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8560" w:type="dxa"/>
        <w:jc w:val="left"/>
        <w:tblInd w:w="0" w:type="dxa"/>
        <w:tblLayout w:type="fixed"/>
        <w:tblCellMar>
          <w:top w:w="0" w:type="dxa"/>
          <w:left w:w="0" w:type="dxa"/>
          <w:bottom w:w="0" w:type="dxa"/>
          <w:right w:w="0" w:type="dxa"/>
        </w:tblCellMar>
      </w:tblPr>
      <w:tblGrid>
        <w:gridCol w:w="3845"/>
        <w:gridCol w:w="23"/>
        <w:gridCol w:w="139"/>
        <w:gridCol w:w="542"/>
        <w:gridCol w:w="25"/>
        <w:gridCol w:w="25"/>
        <w:gridCol w:w="194"/>
        <w:gridCol w:w="756"/>
        <w:gridCol w:w="25"/>
        <w:gridCol w:w="25"/>
        <w:gridCol w:w="147"/>
        <w:gridCol w:w="698"/>
        <w:gridCol w:w="89"/>
        <w:gridCol w:w="25"/>
        <w:gridCol w:w="206"/>
        <w:gridCol w:w="804"/>
        <w:gridCol w:w="89"/>
        <w:gridCol w:w="25"/>
        <w:gridCol w:w="139"/>
        <w:gridCol w:w="659"/>
        <w:gridCol w:w="80"/>
      </w:tblGrid>
      <w:tr>
        <w:trPr/>
        <w:tc>
          <w:tcPr>
            <w:tcW w:w="38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4612"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 or For the Three Months Ended June 30, 2025</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8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542" w:type="dxa"/>
            <w:tcBorders/>
            <w:vAlign w:val="center"/>
          </w:tcPr>
          <w:p>
            <w:pPr>
              <w:pStyle w:val="TableContents"/>
              <w:bidi w:val="0"/>
              <w:spacing w:before="0" w:after="0"/>
              <w:ind w:left="0" w:right="0" w:hanging="0"/>
              <w:jc w:val="center"/>
              <w:rPr/>
            </w:pPr>
            <w:r>
              <w:rPr/>
              <w:t>​</w:t>
            </w:r>
          </w:p>
        </w:tc>
        <w:tc>
          <w:tcPr>
            <w:tcW w:w="25" w:type="dxa"/>
            <w:tcBorders/>
            <w:vAlign w:val="center"/>
          </w:tcPr>
          <w:p>
            <w:pPr>
              <w:pStyle w:val="TableContents"/>
              <w:bidi w:val="0"/>
              <w:spacing w:before="0" w:after="0"/>
              <w:ind w:left="0" w:right="0" w:hanging="0"/>
              <w:jc w:val="left"/>
              <w:rPr/>
            </w:pPr>
            <w:r>
              <w:rPr/>
              <w:t>​</w:t>
            </w:r>
          </w:p>
        </w:tc>
        <w:tc>
          <w:tcPr>
            <w:tcW w:w="25" w:type="dxa"/>
            <w:tcBorders/>
            <w:vAlign w:val="center"/>
          </w:tcPr>
          <w:p>
            <w:pPr>
              <w:pStyle w:val="TableContents"/>
              <w:bidi w:val="0"/>
              <w:spacing w:before="0" w:after="0"/>
              <w:ind w:left="0" w:right="0" w:hanging="0"/>
              <w:jc w:val="left"/>
              <w:rPr/>
            </w:pPr>
            <w:r>
              <w:rPr/>
              <w:t>​</w:t>
            </w:r>
          </w:p>
        </w:tc>
        <w:tc>
          <w:tcPr>
            <w:tcW w:w="95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Residential</w:t>
            </w:r>
          </w:p>
        </w:tc>
        <w:tc>
          <w:tcPr>
            <w:tcW w:w="25" w:type="dxa"/>
            <w:tcBorders/>
            <w:vAlign w:val="center"/>
          </w:tcPr>
          <w:p>
            <w:pPr>
              <w:pStyle w:val="TableContents"/>
              <w:bidi w:val="0"/>
              <w:spacing w:before="0" w:after="0"/>
              <w:ind w:left="0" w:right="0" w:hanging="0"/>
              <w:jc w:val="left"/>
              <w:rPr/>
            </w:pPr>
            <w:r>
              <w:rPr/>
              <w:t>​</w:t>
            </w:r>
          </w:p>
        </w:tc>
        <w:tc>
          <w:tcPr>
            <w:tcW w:w="25"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89" w:type="dxa"/>
            <w:tcBorders/>
            <w:vAlign w:val="center"/>
          </w:tcPr>
          <w:p>
            <w:pPr>
              <w:pStyle w:val="TableContents"/>
              <w:bidi w:val="0"/>
              <w:spacing w:before="0" w:after="0"/>
              <w:ind w:left="0" w:right="0" w:hanging="0"/>
              <w:jc w:val="left"/>
              <w:rPr/>
            </w:pPr>
            <w:r>
              <w:rPr/>
              <w:t>​</w:t>
            </w:r>
          </w:p>
        </w:tc>
        <w:tc>
          <w:tcPr>
            <w:tcW w:w="25" w:type="dxa"/>
            <w:tcBorders/>
            <w:vAlign w:val="center"/>
          </w:tcPr>
          <w:p>
            <w:pPr>
              <w:pStyle w:val="TableContents"/>
              <w:bidi w:val="0"/>
              <w:spacing w:before="0" w:after="0"/>
              <w:ind w:left="0" w:right="0" w:hanging="0"/>
              <w:jc w:val="left"/>
              <w:rPr/>
            </w:pPr>
            <w:r>
              <w:rPr/>
              <w:t>​</w:t>
            </w:r>
          </w:p>
        </w:tc>
        <w:tc>
          <w:tcPr>
            <w:tcW w:w="101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Commercial</w:t>
            </w:r>
          </w:p>
        </w:tc>
        <w:tc>
          <w:tcPr>
            <w:tcW w:w="89" w:type="dxa"/>
            <w:tcBorders/>
            <w:vAlign w:val="center"/>
          </w:tcPr>
          <w:p>
            <w:pPr>
              <w:pStyle w:val="TableContents"/>
              <w:bidi w:val="0"/>
              <w:spacing w:before="0" w:after="0"/>
              <w:ind w:left="0" w:right="0" w:hanging="0"/>
              <w:jc w:val="left"/>
              <w:rPr/>
            </w:pPr>
            <w:r>
              <w:rPr/>
              <w:t>​</w:t>
            </w:r>
          </w:p>
        </w:tc>
        <w:tc>
          <w:tcPr>
            <w:tcW w:w="25"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59"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r>
      <w:tr>
        <w:trPr/>
        <w:tc>
          <w:tcPr>
            <w:tcW w:w="3845"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ACL ON LOANS</w:t>
            </w:r>
          </w:p>
        </w:tc>
        <w:tc>
          <w:tcPr>
            <w:tcW w:w="23" w:type="dxa"/>
            <w:tcBorders/>
            <w:vAlign w:val="center"/>
          </w:tcPr>
          <w:p>
            <w:pPr>
              <w:pStyle w:val="TableContents"/>
              <w:bidi w:val="0"/>
              <w:spacing w:before="0" w:after="0"/>
              <w:ind w:left="0" w:right="0" w:hanging="0"/>
              <w:jc w:val="left"/>
              <w:rPr/>
            </w:pPr>
            <w:r>
              <w:rPr/>
              <w:t>​</w:t>
            </w:r>
          </w:p>
        </w:tc>
        <w:tc>
          <w:tcPr>
            <w:tcW w:w="6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CRE</w:t>
            </w:r>
          </w:p>
        </w:tc>
        <w:tc>
          <w:tcPr>
            <w:tcW w:w="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 w:type="dxa"/>
            <w:tcBorders/>
            <w:vAlign w:val="center"/>
          </w:tcPr>
          <w:p>
            <w:pPr>
              <w:pStyle w:val="TableContents"/>
              <w:bidi w:val="0"/>
              <w:spacing w:before="0" w:after="0"/>
              <w:ind w:left="0" w:right="0" w:hanging="0"/>
              <w:jc w:val="left"/>
              <w:rPr/>
            </w:pPr>
            <w:r>
              <w:rPr/>
              <w:t>​</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Real Estate</w:t>
            </w:r>
          </w:p>
        </w:tc>
        <w:tc>
          <w:tcPr>
            <w:tcW w:w="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 w:type="dxa"/>
            <w:tcBorders/>
            <w:vAlign w:val="center"/>
          </w:tcPr>
          <w:p>
            <w:pPr>
              <w:pStyle w:val="TableContents"/>
              <w:bidi w:val="0"/>
              <w:spacing w:before="0" w:after="0"/>
              <w:ind w:left="0" w:right="0" w:hanging="0"/>
              <w:jc w:val="left"/>
              <w:rPr/>
            </w:pPr>
            <w:r>
              <w:rPr/>
              <w:t>​</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Consumer</w:t>
            </w:r>
          </w:p>
        </w:tc>
        <w:tc>
          <w:tcPr>
            <w:tcW w:w="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 w:type="dxa"/>
            <w:tcBorders/>
            <w:vAlign w:val="center"/>
          </w:tcPr>
          <w:p>
            <w:pPr>
              <w:pStyle w:val="TableContents"/>
              <w:bidi w:val="0"/>
              <w:spacing w:before="0" w:after="0"/>
              <w:ind w:left="0" w:right="0" w:hanging="0"/>
              <w:jc w:val="left"/>
              <w:rPr/>
            </w:pPr>
            <w:r>
              <w:rPr/>
              <w:t>​</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Business</w:t>
            </w:r>
          </w:p>
        </w:tc>
        <w:tc>
          <w:tcPr>
            <w:tcW w:w="8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5" w:type="dxa"/>
            <w:tcBorders/>
            <w:vAlign w:val="center"/>
          </w:tcPr>
          <w:p>
            <w:pPr>
              <w:pStyle w:val="TableContents"/>
              <w:bidi w:val="0"/>
              <w:spacing w:before="0" w:after="0"/>
              <w:ind w:left="0" w:right="0" w:hanging="0"/>
              <w:jc w:val="left"/>
              <w:rPr/>
            </w:pPr>
            <w:r>
              <w:rPr/>
              <w:t>​</w:t>
            </w:r>
          </w:p>
        </w:tc>
        <w:tc>
          <w:tcPr>
            <w:tcW w:w="79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Beginning balance</w:t>
            </w:r>
          </w:p>
        </w:tc>
        <w:tc>
          <w:tcPr>
            <w:tcW w:w="23"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6,904</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5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7,475</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14,856</w:t>
            </w:r>
          </w:p>
        </w:tc>
        <w:tc>
          <w:tcPr>
            <w:tcW w:w="89"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2,418</w:t>
            </w:r>
          </w:p>
        </w:tc>
        <w:tc>
          <w:tcPr>
            <w:tcW w:w="89"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31,653</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84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Provision for (reversal of) credit losses on loans</w:t>
            </w:r>
          </w:p>
        </w:tc>
        <w:tc>
          <w:tcPr>
            <w:tcW w:w="23" w:type="dxa"/>
            <w:tcBorders/>
            <w:shd w:fill="FFFFFF" w:val="clear"/>
            <w:vAlign w:val="center"/>
          </w:tcPr>
          <w:p>
            <w:pPr>
              <w:pStyle w:val="TableContents"/>
              <w:bidi w:val="0"/>
              <w:spacing w:before="0" w:after="0"/>
              <w:ind w:left="0" w:right="0" w:hanging="0"/>
              <w:jc w:val="left"/>
              <w:rPr/>
            </w:pPr>
            <w:r>
              <w:rPr/>
              <w:t>​</w:t>
            </w:r>
          </w:p>
        </w:tc>
        <w:tc>
          <w:tcPr>
            <w:tcW w:w="139" w:type="dxa"/>
            <w:tcBorders/>
            <w:shd w:fill="FFFFFF" w:val="clear"/>
            <w:vAlign w:val="center"/>
          </w:tcPr>
          <w:p>
            <w:pPr>
              <w:pStyle w:val="TableContents"/>
              <w:bidi w:val="0"/>
              <w:spacing w:before="0" w:after="0"/>
              <w:ind w:left="0" w:right="0" w:hanging="0"/>
              <w:jc w:val="left"/>
              <w:rPr/>
            </w:pPr>
            <w:r>
              <w:rPr/>
              <w:t>​</w:t>
            </w:r>
          </w:p>
        </w:tc>
        <w:tc>
          <w:tcPr>
            <w:tcW w:w="5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194" w:type="dxa"/>
            <w:tcBorders/>
            <w:shd w:fill="FFFFFF" w:val="clear"/>
            <w:vAlign w:val="center"/>
          </w:tcPr>
          <w:p>
            <w:pPr>
              <w:pStyle w:val="TableContents"/>
              <w:bidi w:val="0"/>
              <w:spacing w:before="0" w:after="0"/>
              <w:ind w:left="0" w:right="0" w:hanging="0"/>
              <w:jc w:val="left"/>
              <w:rPr/>
            </w:pPr>
            <w:r>
              <w:rPr/>
              <w:t>​</w:t>
            </w:r>
          </w:p>
        </w:tc>
        <w:tc>
          <w:tcPr>
            <w:tcW w:w="75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179</w:t>
            </w:r>
          </w:p>
        </w:tc>
        <w:tc>
          <w:tcPr>
            <w:tcW w:w="25"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147" w:type="dxa"/>
            <w:tcBorders/>
            <w:shd w:fill="FFFFFF" w:val="clear"/>
            <w:vAlign w:val="center"/>
          </w:tcPr>
          <w:p>
            <w:pPr>
              <w:pStyle w:val="TableContents"/>
              <w:bidi w:val="0"/>
              <w:spacing w:before="0" w:after="0"/>
              <w:ind w:left="0" w:right="0" w:hanging="0"/>
              <w:jc w:val="left"/>
              <w:rPr/>
            </w:pPr>
            <w:r>
              <w:rPr/>
              <w:t>​</w:t>
            </w:r>
          </w:p>
        </w:tc>
        <w:tc>
          <w:tcPr>
            <w:tcW w:w="6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1,468</w:t>
            </w:r>
          </w:p>
        </w:tc>
        <w:tc>
          <w:tcPr>
            <w:tcW w:w="89" w:type="dxa"/>
            <w:tcBorders/>
            <w:shd w:fill="FFFFFF" w:val="cle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206" w:type="dxa"/>
            <w:tcBorders/>
            <w:shd w:fill="FFFFFF" w:val="clear"/>
            <w:vAlign w:val="center"/>
          </w:tcPr>
          <w:p>
            <w:pPr>
              <w:pStyle w:val="TableContents"/>
              <w:bidi w:val="0"/>
              <w:spacing w:before="0" w:after="0"/>
              <w:ind w:left="0" w:right="0" w:hanging="0"/>
              <w:jc w:val="left"/>
              <w:rPr/>
            </w:pPr>
            <w:r>
              <w:rPr/>
              <w:t>​</w:t>
            </w:r>
          </w:p>
        </w:tc>
        <w:tc>
          <w:tcPr>
            <w:tcW w:w="8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w:t>
            </w:r>
          </w:p>
        </w:tc>
        <w:tc>
          <w:tcPr>
            <w:tcW w:w="8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 w:type="dxa"/>
            <w:tcBorders/>
            <w:shd w:fill="FFFFFF" w:val="clear"/>
            <w:vAlign w:val="center"/>
          </w:tcPr>
          <w:p>
            <w:pPr>
              <w:pStyle w:val="TableContents"/>
              <w:bidi w:val="0"/>
              <w:spacing w:before="0" w:after="0"/>
              <w:ind w:left="0" w:right="0" w:hanging="0"/>
              <w:jc w:val="left"/>
              <w:rPr/>
            </w:pPr>
            <w:r>
              <w:rPr/>
              <w:t>​</w:t>
            </w:r>
          </w:p>
        </w:tc>
        <w:tc>
          <w:tcPr>
            <w:tcW w:w="139" w:type="dxa"/>
            <w:tcBorders/>
            <w:shd w:fill="FFFFFF" w:val="clear"/>
            <w:vAlign w:val="center"/>
          </w:tcPr>
          <w:p>
            <w:pPr>
              <w:pStyle w:val="TableContents"/>
              <w:bidi w:val="0"/>
              <w:spacing w:before="0" w:after="0"/>
              <w:ind w:left="0" w:right="0" w:hanging="0"/>
              <w:jc w:val="left"/>
              <w:rPr/>
            </w:pPr>
            <w:r>
              <w:rPr/>
              <w:t>​</w:t>
            </w:r>
          </w:p>
        </w:tc>
        <w:tc>
          <w:tcPr>
            <w:tcW w:w="6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1,715</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Charge-offs</w:t>
            </w:r>
          </w:p>
        </w:tc>
        <w:tc>
          <w:tcPr>
            <w:tcW w:w="23"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542" w:type="dxa"/>
            <w:tcBorders/>
            <w:shd w:fill="CCEEFF" w:val="clear"/>
            <w:vAlign w:val="center"/>
          </w:tcPr>
          <w:p>
            <w:pPr>
              <w:pStyle w:val="TableContents"/>
              <w:bidi w:val="0"/>
              <w:spacing w:before="0" w:after="0"/>
              <w:ind w:left="0" w:right="0" w:hanging="0"/>
              <w:jc w:val="righ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(1,641</w:t>
            </w:r>
          </w:p>
        </w:tc>
        <w:tc>
          <w:tcPr>
            <w:tcW w:w="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pPr>
            <w:r>
              <w:rPr/>
              <w:t>—</w:t>
            </w:r>
          </w:p>
        </w:tc>
        <w:tc>
          <w:tcPr>
            <w:tcW w:w="89"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pPr>
            <w:r>
              <w:rPr/>
              <w:t>​</w:t>
            </w:r>
          </w:p>
        </w:tc>
        <w:tc>
          <w:tcPr>
            <w:tcW w:w="6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8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Recoveries</w:t>
            </w:r>
          </w:p>
        </w:tc>
        <w:tc>
          <w:tcPr>
            <w:tcW w:w="23" w:type="dxa"/>
            <w:tcBorders/>
            <w:shd w:fill="FFFFFF" w:val="clear"/>
            <w:vAlign w:val="center"/>
          </w:tcPr>
          <w:p>
            <w:pPr>
              <w:pStyle w:val="TableContents"/>
              <w:bidi w:val="0"/>
              <w:spacing w:before="0" w:after="0"/>
              <w:ind w:left="0" w:right="0" w:hanging="0"/>
              <w:jc w:val="left"/>
              <w:rPr/>
            </w:pPr>
            <w:r>
              <w:rPr/>
              <w:t>​</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392</w:t>
            </w:r>
          </w:p>
        </w:tc>
        <w:tc>
          <w:tcPr>
            <w:tcW w:w="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c>
          <w:tcPr>
            <w:tcW w:w="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(charge-offs) recoveries</w:t>
            </w:r>
          </w:p>
        </w:tc>
        <w:tc>
          <w:tcPr>
            <w:tcW w:w="23" w:type="dxa"/>
            <w:tcBorders/>
            <w:shd w:fill="CCEEFF" w:val="clear"/>
            <w:vAlign w:val="center"/>
          </w:tcPr>
          <w:p>
            <w:pPr>
              <w:pStyle w:val="TableContents"/>
              <w:bidi w:val="0"/>
              <w:spacing w:before="0" w:after="0"/>
              <w:ind w:left="0" w:right="0" w:hanging="0"/>
              <w:jc w:val="left"/>
              <w:rPr/>
            </w:pPr>
            <w:r>
              <w:rPr/>
              <w:t>​</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4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(1,249</w:t>
            </w:r>
          </w:p>
        </w:tc>
        <w:tc>
          <w:tcPr>
            <w:tcW w:w="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c>
          <w:tcPr>
            <w:tcW w:w="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84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Ending balance</w:t>
            </w:r>
          </w:p>
        </w:tc>
        <w:tc>
          <w:tcPr>
            <w:tcW w:w="23" w:type="dxa"/>
            <w:tcBorders/>
            <w:shd w:fill="FFFFFF" w:val="clear"/>
            <w:vAlign w:val="center"/>
          </w:tcPr>
          <w:p>
            <w:pPr>
              <w:pStyle w:val="TableContents"/>
              <w:bidi w:val="0"/>
              <w:spacing w:before="0" w:after="0"/>
              <w:ind w:left="0" w:right="0" w:hanging="0"/>
              <w:jc w:val="left"/>
              <w:rPr/>
            </w:pPr>
            <w:r>
              <w:rPr/>
              <w:t>​</w:t>
            </w:r>
          </w:p>
        </w:tc>
        <w:tc>
          <w:tcPr>
            <w:tcW w:w="13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4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7,070</w:t>
            </w:r>
          </w:p>
        </w:tc>
        <w:tc>
          <w:tcPr>
            <w:tcW w:w="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19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5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7,654</w:t>
            </w:r>
          </w:p>
        </w:tc>
        <w:tc>
          <w:tcPr>
            <w:tcW w:w="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14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15,075</w:t>
            </w:r>
          </w:p>
        </w:tc>
        <w:tc>
          <w:tcPr>
            <w:tcW w:w="8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2,390</w:t>
            </w:r>
          </w:p>
        </w:tc>
        <w:tc>
          <w:tcPr>
            <w:tcW w:w="8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 w:type="dxa"/>
            <w:tcBorders/>
            <w:shd w:fill="FFFFFF" w:val="clear"/>
            <w:vAlign w:val="center"/>
          </w:tcPr>
          <w:p>
            <w:pPr>
              <w:pStyle w:val="TableContents"/>
              <w:bidi w:val="0"/>
              <w:spacing w:before="0" w:after="0"/>
              <w:ind w:left="0" w:right="0" w:hanging="0"/>
              <w:jc w:val="left"/>
              <w:rPr/>
            </w:pPr>
            <w:r>
              <w:rPr/>
              <w:t>​</w:t>
            </w:r>
          </w:p>
        </w:tc>
        <w:tc>
          <w:tcPr>
            <w:tcW w:w="13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32,189</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8538" w:type="dxa"/>
        <w:jc w:val="left"/>
        <w:tblInd w:w="0" w:type="dxa"/>
        <w:tblLayout w:type="fixed"/>
        <w:tblCellMar>
          <w:top w:w="0" w:type="dxa"/>
          <w:left w:w="0" w:type="dxa"/>
          <w:bottom w:w="0" w:type="dxa"/>
          <w:right w:w="0" w:type="dxa"/>
        </w:tblCellMar>
      </w:tblPr>
      <w:tblGrid>
        <w:gridCol w:w="3845"/>
        <w:gridCol w:w="23"/>
        <w:gridCol w:w="128"/>
        <w:gridCol w:w="561"/>
        <w:gridCol w:w="82"/>
        <w:gridCol w:w="23"/>
        <w:gridCol w:w="194"/>
        <w:gridCol w:w="756"/>
        <w:gridCol w:w="23"/>
        <w:gridCol w:w="23"/>
        <w:gridCol w:w="147"/>
        <w:gridCol w:w="698"/>
        <w:gridCol w:w="82"/>
        <w:gridCol w:w="23"/>
        <w:gridCol w:w="206"/>
        <w:gridCol w:w="804"/>
        <w:gridCol w:w="82"/>
        <w:gridCol w:w="23"/>
        <w:gridCol w:w="128"/>
        <w:gridCol w:w="607"/>
        <w:gridCol w:w="80"/>
      </w:tblGrid>
      <w:tr>
        <w:trPr/>
        <w:tc>
          <w:tcPr>
            <w:tcW w:w="38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4590"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 or For the Six Months Ended June 30, 2026</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8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8" w:type="dxa"/>
            <w:tcBorders/>
            <w:vAlign w:val="center"/>
          </w:tcPr>
          <w:p>
            <w:pPr>
              <w:pStyle w:val="TableContents"/>
              <w:bidi w:val="0"/>
              <w:spacing w:before="0" w:after="0"/>
              <w:ind w:left="0" w:right="0" w:hanging="0"/>
              <w:jc w:val="left"/>
              <w:rPr/>
            </w:pPr>
            <w:r>
              <w:rPr/>
              <w:t>​</w:t>
            </w:r>
          </w:p>
        </w:tc>
        <w:tc>
          <w:tcPr>
            <w:tcW w:w="561" w:type="dxa"/>
            <w:tcBorders/>
            <w:vAlign w:val="center"/>
          </w:tcPr>
          <w:p>
            <w:pPr>
              <w:pStyle w:val="TableContents"/>
              <w:bidi w:val="0"/>
              <w:spacing w:before="0" w:after="0"/>
              <w:ind w:left="0" w:right="0" w:hanging="0"/>
              <w:jc w:val="center"/>
              <w:rPr/>
            </w:pPr>
            <w:r>
              <w:rPr/>
              <w:t>​</w:t>
            </w:r>
          </w:p>
        </w:tc>
        <w:tc>
          <w:tcPr>
            <w:tcW w:w="82"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5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Residential</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8" w:type="dxa"/>
            <w:tcBorders/>
            <w:vAlign w:val="center"/>
          </w:tcPr>
          <w:p>
            <w:pPr>
              <w:pStyle w:val="TableContents"/>
              <w:bidi w:val="0"/>
              <w:spacing w:before="0" w:after="0"/>
              <w:ind w:left="0" w:right="0" w:hanging="0"/>
              <w:jc w:val="center"/>
              <w:rPr/>
            </w:pPr>
            <w:r>
              <w:rPr/>
              <w:t>​</w:t>
            </w:r>
          </w:p>
        </w:tc>
        <w:tc>
          <w:tcPr>
            <w:tcW w:w="82"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1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Commercial</w:t>
            </w:r>
          </w:p>
        </w:tc>
        <w:tc>
          <w:tcPr>
            <w:tcW w:w="82"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8" w:type="dxa"/>
            <w:tcBorders/>
            <w:vAlign w:val="center"/>
          </w:tcPr>
          <w:p>
            <w:pPr>
              <w:pStyle w:val="TableContents"/>
              <w:bidi w:val="0"/>
              <w:spacing w:before="0" w:after="0"/>
              <w:ind w:left="0" w:right="0" w:hanging="0"/>
              <w:jc w:val="left"/>
              <w:rPr/>
            </w:pPr>
            <w:r>
              <w:rPr/>
              <w:t>​</w:t>
            </w:r>
          </w:p>
        </w:tc>
        <w:tc>
          <w:tcPr>
            <w:tcW w:w="607"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r>
      <w:tr>
        <w:trPr/>
        <w:tc>
          <w:tcPr>
            <w:tcW w:w="3845"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ACL ON LOANS</w:t>
            </w:r>
          </w:p>
        </w:tc>
        <w:tc>
          <w:tcPr>
            <w:tcW w:w="23" w:type="dxa"/>
            <w:tcBorders/>
            <w:vAlign w:val="center"/>
          </w:tcPr>
          <w:p>
            <w:pPr>
              <w:pStyle w:val="TableContents"/>
              <w:bidi w:val="0"/>
              <w:spacing w:before="0" w:after="0"/>
              <w:ind w:left="0" w:right="0" w:hanging="0"/>
              <w:jc w:val="left"/>
              <w:rPr/>
            </w:pPr>
            <w:r>
              <w:rPr/>
              <w:t>​</w:t>
            </w:r>
          </w:p>
        </w:tc>
        <w:tc>
          <w:tcPr>
            <w:tcW w:w="6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CRE</w:t>
            </w:r>
          </w:p>
        </w:tc>
        <w:tc>
          <w:tcPr>
            <w:tcW w:w="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Real Estate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Consumer</w:t>
            </w:r>
          </w:p>
        </w:tc>
        <w:tc>
          <w:tcPr>
            <w:tcW w:w="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Business</w:t>
            </w:r>
          </w:p>
        </w:tc>
        <w:tc>
          <w:tcPr>
            <w:tcW w:w="8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Beginning balance</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5,959</w:t>
            </w:r>
          </w:p>
        </w:tc>
        <w:tc>
          <w:tcPr>
            <w:tcW w:w="82"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5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7,402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15,934</w:t>
            </w:r>
          </w:p>
        </w:tc>
        <w:tc>
          <w:tcPr>
            <w:tcW w:w="82"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2,642</w:t>
            </w:r>
          </w:p>
        </w:tc>
        <w:tc>
          <w:tcPr>
            <w:tcW w:w="82"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31,937</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384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Provision for (reversal of) credit losses on loans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56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1,479</w:t>
            </w:r>
          </w:p>
        </w:tc>
        <w:tc>
          <w:tcPr>
            <w:tcW w:w="82"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94" w:type="dxa"/>
            <w:tcBorders/>
            <w:shd w:fill="FFFFFF" w:val="clear"/>
            <w:vAlign w:val="center"/>
          </w:tcPr>
          <w:p>
            <w:pPr>
              <w:pStyle w:val="TableContents"/>
              <w:bidi w:val="0"/>
              <w:spacing w:before="0" w:after="0"/>
              <w:ind w:left="0" w:right="0" w:hanging="0"/>
              <w:jc w:val="left"/>
              <w:rPr/>
            </w:pPr>
            <w:r>
              <w:rPr/>
              <w:t>​</w:t>
            </w:r>
          </w:p>
        </w:tc>
        <w:tc>
          <w:tcPr>
            <w:tcW w:w="75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7" w:type="dxa"/>
            <w:tcBorders/>
            <w:shd w:fill="FFFFFF" w:val="clear"/>
            <w:vAlign w:val="center"/>
          </w:tcPr>
          <w:p>
            <w:pPr>
              <w:pStyle w:val="TableContents"/>
              <w:bidi w:val="0"/>
              <w:spacing w:before="0" w:after="0"/>
              <w:ind w:left="0" w:right="0" w:hanging="0"/>
              <w:jc w:val="left"/>
              <w:rPr/>
            </w:pPr>
            <w:r>
              <w:rPr/>
              <w:t>​</w:t>
            </w:r>
          </w:p>
        </w:tc>
        <w:tc>
          <w:tcPr>
            <w:tcW w:w="6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4,278</w:t>
            </w:r>
          </w:p>
        </w:tc>
        <w:tc>
          <w:tcPr>
            <w:tcW w:w="82"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6" w:type="dxa"/>
            <w:tcBorders/>
            <w:shd w:fill="FFFFFF" w:val="clear"/>
            <w:vAlign w:val="center"/>
          </w:tcPr>
          <w:p>
            <w:pPr>
              <w:pStyle w:val="TableContents"/>
              <w:bidi w:val="0"/>
              <w:spacing w:before="0" w:after="0"/>
              <w:ind w:left="0" w:right="0" w:hanging="0"/>
              <w:jc w:val="left"/>
              <w:rPr/>
            </w:pPr>
            <w:r>
              <w:rPr/>
              <w:t>​</w:t>
            </w:r>
          </w:p>
        </w:tc>
        <w:tc>
          <w:tcPr>
            <w:tcW w:w="80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(664</w:t>
            </w:r>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shd w:fill="FFFFFF" w:val="clear"/>
            <w:vAlign w:val="center"/>
          </w:tcPr>
          <w:p>
            <w:pPr>
              <w:pStyle w:val="TableContents"/>
              <w:bidi w:val="0"/>
              <w:spacing w:before="0" w:after="0"/>
              <w:ind w:left="0" w:right="0" w:hanging="0"/>
              <w:jc w:val="left"/>
              <w:rPr/>
            </w:pPr>
            <w:r>
              <w:rPr/>
              <w:t>​</w:t>
            </w:r>
          </w:p>
        </w:tc>
        <w:tc>
          <w:tcPr>
            <w:tcW w:w="60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5,209</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Charge-offs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5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(2,277</w:t>
            </w:r>
          </w:p>
        </w:tc>
        <w:tc>
          <w:tcPr>
            <w:tcW w:w="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94" w:type="dxa"/>
            <w:tcBorders/>
            <w:shd w:fill="CCEEFF" w:val="clear"/>
            <w:vAlign w:val="center"/>
          </w:tcPr>
          <w:p>
            <w:pPr>
              <w:pStyle w:val="TableContents"/>
              <w:bidi w:val="0"/>
              <w:spacing w:before="0" w:after="0"/>
              <w:ind w:left="0" w:right="0" w:hanging="0"/>
              <w:jc w:val="left"/>
              <w:rPr/>
            </w:pPr>
            <w:r>
              <w:rPr/>
              <w:t>​</w:t>
            </w:r>
          </w:p>
        </w:tc>
        <w:tc>
          <w:tcPr>
            <w:tcW w:w="75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9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(4,743</w:t>
            </w:r>
          </w:p>
        </w:tc>
        <w:tc>
          <w:tcPr>
            <w:tcW w:w="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6" w:type="dxa"/>
            <w:tcBorders/>
            <w:shd w:fill="CCEEFF" w:val="clear"/>
            <w:vAlign w:val="center"/>
          </w:tcPr>
          <w:p>
            <w:pPr>
              <w:pStyle w:val="TableContents"/>
              <w:bidi w:val="0"/>
              <w:spacing w:before="0" w:after="0"/>
              <w:ind w:left="0" w:right="0" w:hanging="0"/>
              <w:jc w:val="left"/>
              <w:rPr/>
            </w:pPr>
            <w:r>
              <w:rPr/>
              <w:t>​</w:t>
            </w:r>
          </w:p>
        </w:tc>
        <w:tc>
          <w:tcPr>
            <w:tcW w:w="8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w:t>
            </w:r>
          </w:p>
        </w:tc>
        <w:tc>
          <w:tcPr>
            <w:tcW w:w="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shd w:fill="CCEEFF" w:val="clear"/>
            <w:vAlign w:val="center"/>
          </w:tcPr>
          <w:p>
            <w:pPr>
              <w:pStyle w:val="TableContents"/>
              <w:bidi w:val="0"/>
              <w:spacing w:before="0" w:after="0"/>
              <w:ind w:left="0" w:right="0" w:hanging="0"/>
              <w:jc w:val="left"/>
              <w:rPr/>
            </w:pPr>
            <w:r>
              <w:rPr/>
              <w:t>​</w:t>
            </w:r>
          </w:p>
        </w:tc>
        <w:tc>
          <w:tcPr>
            <w:tcW w:w="60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(7,289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84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Recoveries</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1,230</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1,308</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845" w:type="dxa"/>
            <w:tcBorders/>
            <w:shd w:fill="CCEEFF" w:val="clear"/>
            <w:vAlign w:val="center"/>
          </w:tcPr>
          <w:p>
            <w:pPr>
              <w:pStyle w:val="TableContents"/>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Net charge-offs</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(2,277</w:t>
            </w:r>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(3,513</w:t>
            </w:r>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(191</w:t>
            </w:r>
          </w:p>
        </w:tc>
        <w:tc>
          <w:tcPr>
            <w:tcW w:w="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(5,981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84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Ending balance</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6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5,161</w:t>
            </w:r>
          </w:p>
        </w:tc>
        <w:tc>
          <w:tcPr>
            <w:tcW w:w="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9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5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7,518</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16,699</w:t>
            </w:r>
          </w:p>
        </w:tc>
        <w:tc>
          <w:tcPr>
            <w:tcW w:w="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1,787</w:t>
            </w:r>
          </w:p>
        </w:tc>
        <w:tc>
          <w:tcPr>
            <w:tcW w:w="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31,165</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180" w:right="0" w:hanging="0"/>
        <w:jc w:val="left"/>
        <w:rPr>
          <w:caps w:val="false"/>
          <w:smallCaps w:val="false"/>
        </w:rPr>
      </w:pPr>
      <w:r>
        <w:rPr>
          <w:caps w:val="false"/>
          <w:smallCaps w:val="false"/>
        </w:rPr>
        <w:t> </w:t>
      </w:r>
    </w:p>
    <w:tbl>
      <w:tblPr>
        <w:tblW w:w="8640" w:type="dxa"/>
        <w:jc w:val="left"/>
        <w:tblInd w:w="0" w:type="dxa"/>
        <w:tblLayout w:type="fixed"/>
        <w:tblCellMar>
          <w:top w:w="0" w:type="dxa"/>
          <w:left w:w="0" w:type="dxa"/>
          <w:bottom w:w="0" w:type="dxa"/>
          <w:right w:w="0" w:type="dxa"/>
        </w:tblCellMar>
      </w:tblPr>
      <w:tblGrid>
        <w:gridCol w:w="3845"/>
        <w:gridCol w:w="60"/>
        <w:gridCol w:w="125"/>
        <w:gridCol w:w="487"/>
        <w:gridCol w:w="60"/>
        <w:gridCol w:w="60"/>
        <w:gridCol w:w="194"/>
        <w:gridCol w:w="756"/>
        <w:gridCol w:w="60"/>
        <w:gridCol w:w="60"/>
        <w:gridCol w:w="147"/>
        <w:gridCol w:w="698"/>
        <w:gridCol w:w="80"/>
        <w:gridCol w:w="60"/>
        <w:gridCol w:w="206"/>
        <w:gridCol w:w="804"/>
        <w:gridCol w:w="80"/>
        <w:gridCol w:w="60"/>
        <w:gridCol w:w="125"/>
        <w:gridCol w:w="593"/>
        <w:gridCol w:w="80"/>
      </w:tblGrid>
      <w:tr>
        <w:trPr/>
        <w:tc>
          <w:tcPr>
            <w:tcW w:w="38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655" w:type="dxa"/>
            <w:gridSpan w:val="18"/>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At or For the Six Months Ended June 30, 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8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487"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Residential</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698" w:type="dxa"/>
            <w:tcBorders/>
            <w:shd w:fill="FFFFFF" w:val="clear"/>
            <w:vAlign w:val="center"/>
          </w:tcPr>
          <w:p>
            <w:pPr>
              <w:pStyle w:val="TableContents"/>
              <w:bidi w:val="0"/>
              <w:spacing w:before="0" w:after="0"/>
              <w:ind w:left="0" w:right="0" w:hanging="0"/>
              <w:jc w:val="center"/>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Commercial</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3" w:type="dxa"/>
            <w:tcBorders/>
            <w:shd w:fill="FFFFFF" w:val="clear"/>
            <w:vAlign w:val="center"/>
          </w:tcPr>
          <w:p>
            <w:pPr>
              <w:pStyle w:val="TableContents"/>
              <w:bidi w:val="0"/>
              <w:spacing w:before="0" w:after="0"/>
              <w:ind w:left="0" w:right="0" w:hanging="0"/>
              <w:jc w:val="center"/>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ACL ON LOANS</w:t>
            </w:r>
          </w:p>
        </w:tc>
        <w:tc>
          <w:tcPr>
            <w:tcW w:w="60" w:type="dxa"/>
            <w:tcBorders/>
            <w:shd w:fill="FFFFFF" w:val="clear"/>
            <w:vAlign w:val="center"/>
          </w:tcPr>
          <w:p>
            <w:pPr>
              <w:pStyle w:val="TableContents"/>
              <w:bidi w:val="0"/>
              <w:spacing w:before="0" w:after="0"/>
              <w:ind w:left="0" w:right="0" w:hanging="0"/>
              <w:jc w:val="left"/>
              <w:rPr/>
            </w:pPr>
            <w:r>
              <w:rPr/>
              <w:t> </w:t>
            </w:r>
          </w:p>
        </w:tc>
        <w:tc>
          <w:tcPr>
            <w:tcW w:w="61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CRE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Real Estate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Consumer</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Business</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Total</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8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31,870</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384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(reversal of) credit losses on loans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48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4" w:type="dxa"/>
            <w:tcBorders/>
            <w:shd w:fill="FFFFFF" w:val="clear"/>
            <w:vAlign w:val="center"/>
          </w:tcPr>
          <w:p>
            <w:pPr>
              <w:pStyle w:val="TableContents"/>
              <w:bidi w:val="0"/>
              <w:spacing w:before="0" w:after="0"/>
              <w:ind w:left="0" w:right="0" w:hanging="0"/>
              <w:jc w:val="left"/>
              <w:rPr/>
            </w:pPr>
            <w:r>
              <w:rPr/>
              <w:t> </w:t>
            </w:r>
          </w:p>
        </w:tc>
        <w:tc>
          <w:tcPr>
            <w:tcW w:w="7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shd w:fill="FFFFFF" w:val="clear"/>
            <w:vAlign w:val="center"/>
          </w:tcPr>
          <w:p>
            <w:pPr>
              <w:pStyle w:val="TableContents"/>
              <w:bidi w:val="0"/>
              <w:spacing w:before="0" w:after="0"/>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shd w:fill="FFFFFF" w:val="clear"/>
            <w:vAlign w:val="center"/>
          </w:tcPr>
          <w:p>
            <w:pPr>
              <w:pStyle w:val="TableContents"/>
              <w:bidi w:val="0"/>
              <w:spacing w:before="0" w:after="0"/>
              <w:ind w:left="0" w:right="0" w:hanging="0"/>
              <w:jc w:val="left"/>
              <w:rPr/>
            </w:pPr>
            <w:r>
              <w:rPr/>
              <w:t> </w:t>
            </w:r>
          </w:p>
        </w:tc>
        <w:tc>
          <w:tcPr>
            <w:tcW w:w="8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5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38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Charge-offs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48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4" w:type="dxa"/>
            <w:tcBorders/>
            <w:shd w:fill="CCEEFF" w:val="clear"/>
            <w:vAlign w:val="center"/>
          </w:tcPr>
          <w:p>
            <w:pPr>
              <w:pStyle w:val="TableContents"/>
              <w:bidi w:val="0"/>
              <w:spacing w:before="0" w:after="0"/>
              <w:ind w:left="0" w:right="0" w:hanging="0"/>
              <w:jc w:val="left"/>
              <w:rPr/>
            </w:pPr>
            <w:r>
              <w:rPr/>
              <w:t> </w:t>
            </w:r>
          </w:p>
        </w:tc>
        <w:tc>
          <w:tcPr>
            <w:tcW w:w="75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shd w:fill="CCEEFF" w:val="clear"/>
            <w:vAlign w:val="center"/>
          </w:tcPr>
          <w:p>
            <w:pPr>
              <w:pStyle w:val="TableContents"/>
              <w:bidi w:val="0"/>
              <w:spacing w:before="0" w:after="0"/>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shd w:fill="CCEEFF" w:val="clear"/>
            <w:vAlign w:val="center"/>
          </w:tcPr>
          <w:p>
            <w:pPr>
              <w:pStyle w:val="TableContents"/>
              <w:bidi w:val="0"/>
              <w:spacing w:before="0" w:after="0"/>
              <w:ind w:left="0" w:right="0" w:hanging="0"/>
              <w:jc w:val="left"/>
              <w:rPr/>
            </w:pPr>
            <w:r>
              <w:rPr/>
              <w:t> </w:t>
            </w:r>
          </w:p>
        </w:tc>
        <w:tc>
          <w:tcPr>
            <w:tcW w:w="8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5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Recoveries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8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charge-offs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8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7,070</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7,654</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15,075</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2,390</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32,189</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sz w:val="20"/>
        </w:rPr>
        <w:t>The increase in the provision for credit losses on loans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was primarily attributable to higher charge-offs in the consumer portfolio, as well as a $2.3 million charge-off on a commercial construction loan.</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Loan Modifications to Borrowers Experiencing Financial Difficulty</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modify the contractual terms of a loan to a borrower experiencing financial difficulty as a part of ongoing loss mitigation strategies. These modifications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result in an interest rate reduction, term extension, an other-than-insignificant payment delay, or a combination thereof. The Company typically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offer principal forgiveness. An assessment of whether a borrower is experiencing financial difficulty is made on the date of a modification. The effect of most modifications made to borrowers experiencing financial difficulty is already included in the ACL on loans because of the measurement methodologies used to estimate the allowance.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present the amortized cost basis of loans that were both experiencing financial difficulty and modified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by class and by type of modification. The tables also present the percentage of the amortized cost basis of loans that were modified to borrowers experiencing financial difficulty relative to the total amortized cost basis of each class of financing receivable, as well as the financial effect of the modification.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87"/>
        <w:gridCol w:w="60"/>
        <w:gridCol w:w="357"/>
        <w:gridCol w:w="743"/>
        <w:gridCol w:w="156"/>
        <w:gridCol w:w="156"/>
        <w:gridCol w:w="292"/>
        <w:gridCol w:w="679"/>
        <w:gridCol w:w="483"/>
        <w:gridCol w:w="156"/>
        <w:gridCol w:w="177"/>
        <w:gridCol w:w="681"/>
        <w:gridCol w:w="60"/>
        <w:gridCol w:w="60"/>
        <w:gridCol w:w="298"/>
        <w:gridCol w:w="802"/>
        <w:gridCol w:w="133"/>
        <w:gridCol w:w="133"/>
        <w:gridCol w:w="261"/>
        <w:gridCol w:w="659"/>
        <w:gridCol w:w="413"/>
        <w:gridCol w:w="133"/>
        <w:gridCol w:w="153"/>
        <w:gridCol w:w="705"/>
        <w:gridCol w:w="68"/>
      </w:tblGrid>
      <w:tr>
        <w:trPr/>
        <w:tc>
          <w:tcPr>
            <w:tcW w:w="238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88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For the Three Months Ended June 30, 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690"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For the Six Months Ended June 30, 2026</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38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57" w:type="dxa"/>
            <w:tcBorders/>
            <w:shd w:fill="FFFFFF" w:val="clear"/>
            <w:vAlign w:val="center"/>
          </w:tcPr>
          <w:p>
            <w:pPr>
              <w:pStyle w:val="TableContents"/>
              <w:bidi w:val="0"/>
              <w:spacing w:before="0" w:after="0"/>
              <w:ind w:left="0" w:right="0" w:hanging="0"/>
              <w:jc w:val="left"/>
              <w:rPr/>
            </w:pPr>
            <w:r>
              <w:rPr/>
              <w:t> </w:t>
            </w:r>
          </w:p>
        </w:tc>
        <w:tc>
          <w:tcPr>
            <w:tcW w:w="743" w:type="dxa"/>
            <w:tcBorders/>
            <w:shd w:fill="FFFFFF" w:val="clear"/>
            <w:vAlign w:val="center"/>
          </w:tcPr>
          <w:p>
            <w:pPr>
              <w:pStyle w:val="TableContents"/>
              <w:bidi w:val="0"/>
              <w:spacing w:before="0" w:after="0"/>
              <w:ind w:left="0" w:right="0" w:hanging="0"/>
              <w:jc w:val="left"/>
              <w:rPr/>
            </w:pPr>
            <w:r>
              <w:rPr>
                <w:rStyle w:val="Emphasis"/>
              </w:rPr>
              <w:t> </w:t>
            </w:r>
          </w:p>
        </w:tc>
        <w:tc>
          <w:tcPr>
            <w:tcW w:w="156" w:type="dxa"/>
            <w:tcBorders/>
            <w:shd w:fill="FFFFFF" w:val="clear"/>
            <w:vAlign w:val="center"/>
          </w:tcPr>
          <w:p>
            <w:pPr>
              <w:pStyle w:val="TableContents"/>
              <w:bidi w:val="0"/>
              <w:spacing w:before="0" w:after="0"/>
              <w:ind w:left="0" w:right="0" w:hanging="0"/>
              <w:jc w:val="left"/>
              <w:rPr/>
            </w:pPr>
            <w:r>
              <w:rPr/>
              <w:t>​</w:t>
            </w:r>
          </w:p>
        </w:tc>
        <w:tc>
          <w:tcPr>
            <w:tcW w:w="156" w:type="dxa"/>
            <w:tcBorders/>
            <w:shd w:fill="FFFFFF" w:val="clear"/>
            <w:vAlign w:val="center"/>
          </w:tcPr>
          <w:p>
            <w:pPr>
              <w:pStyle w:val="TableContents"/>
              <w:bidi w:val="0"/>
              <w:spacing w:before="0" w:after="0"/>
              <w:ind w:left="0" w:right="0" w:hanging="0"/>
              <w:jc w:val="left"/>
              <w:rPr/>
            </w:pPr>
            <w:r>
              <w:rPr/>
              <w:t> </w:t>
            </w:r>
          </w:p>
        </w:tc>
        <w:tc>
          <w:tcPr>
            <w:tcW w:w="292" w:type="dxa"/>
            <w:tcBorders/>
            <w:shd w:fill="FFFFFF" w:val="clear"/>
            <w:vAlign w:val="center"/>
          </w:tcPr>
          <w:p>
            <w:pPr>
              <w:pStyle w:val="TableContents"/>
              <w:bidi w:val="0"/>
              <w:spacing w:before="0" w:after="0"/>
              <w:ind w:left="0" w:right="0" w:hanging="0"/>
              <w:jc w:val="left"/>
              <w:rPr/>
            </w:pPr>
            <w:r>
              <w:rPr/>
              <w:t> </w:t>
            </w:r>
          </w:p>
        </w:tc>
        <w:tc>
          <w:tcPr>
            <w:tcW w:w="679" w:type="dxa"/>
            <w:tcBorders/>
            <w:shd w:fill="FFFFFF" w:val="clear"/>
            <w:vAlign w:val="center"/>
          </w:tcPr>
          <w:p>
            <w:pPr>
              <w:pStyle w:val="TableContents"/>
              <w:bidi w:val="0"/>
              <w:spacing w:before="0" w:after="0"/>
              <w:ind w:left="0" w:right="0" w:hanging="0"/>
              <w:jc w:val="left"/>
              <w:rPr/>
            </w:pPr>
            <w:r>
              <w:rPr>
                <w:rStyle w:val="Emphasis"/>
              </w:rPr>
              <w:t> </w:t>
            </w:r>
          </w:p>
        </w:tc>
        <w:tc>
          <w:tcPr>
            <w:tcW w:w="483" w:type="dxa"/>
            <w:tcBorders/>
            <w:shd w:fill="FFFFFF" w:val="clear"/>
            <w:vAlign w:val="center"/>
          </w:tcPr>
          <w:p>
            <w:pPr>
              <w:pStyle w:val="TableContents"/>
              <w:bidi w:val="0"/>
              <w:spacing w:before="0" w:after="0"/>
              <w:ind w:left="0" w:right="0" w:hanging="0"/>
              <w:jc w:val="left"/>
              <w:rPr/>
            </w:pPr>
            <w:r>
              <w:rPr/>
              <w:t>​</w:t>
            </w:r>
          </w:p>
        </w:tc>
        <w:tc>
          <w:tcPr>
            <w:tcW w:w="156"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Weighted-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802" w:type="dxa"/>
            <w:tcBorders/>
            <w:shd w:fill="FFFFFF" w:val="clear"/>
            <w:vAlign w:val="center"/>
          </w:tcPr>
          <w:p>
            <w:pPr>
              <w:pStyle w:val="TableContents"/>
              <w:bidi w:val="0"/>
              <w:spacing w:before="0" w:after="0"/>
              <w:ind w:left="0" w:right="0" w:hanging="0"/>
              <w:jc w:val="left"/>
              <w:rPr/>
            </w:pPr>
            <w:r>
              <w:rPr>
                <w:rStyle w:val="Emphasis"/>
              </w:rPr>
              <w:t> </w:t>
            </w:r>
          </w:p>
        </w:tc>
        <w:tc>
          <w:tcPr>
            <w:tcW w:w="133" w:type="dxa"/>
            <w:tcBorders/>
            <w:shd w:fill="FFFFFF" w:val="clear"/>
            <w:vAlign w:val="center"/>
          </w:tcPr>
          <w:p>
            <w:pPr>
              <w:pStyle w:val="TableContents"/>
              <w:bidi w:val="0"/>
              <w:spacing w:before="0" w:after="0"/>
              <w:ind w:left="0" w:right="0" w:hanging="0"/>
              <w:jc w:val="left"/>
              <w:rPr/>
            </w:pPr>
            <w:r>
              <w:rPr/>
              <w:t>​</w:t>
            </w:r>
          </w:p>
        </w:tc>
        <w:tc>
          <w:tcPr>
            <w:tcW w:w="133" w:type="dxa"/>
            <w:tcBorders/>
            <w:shd w:fill="FFFFFF" w:val="clear"/>
            <w:vAlign w:val="center"/>
          </w:tcPr>
          <w:p>
            <w:pPr>
              <w:pStyle w:val="TableContents"/>
              <w:bidi w:val="0"/>
              <w:spacing w:before="0" w:after="0"/>
              <w:ind w:left="0" w:right="0" w:hanging="0"/>
              <w:jc w:val="left"/>
              <w:rPr/>
            </w:pPr>
            <w:r>
              <w:rPr/>
              <w:t> </w:t>
            </w:r>
          </w:p>
        </w:tc>
        <w:tc>
          <w:tcPr>
            <w:tcW w:w="261" w:type="dxa"/>
            <w:tcBorders/>
            <w:shd w:fill="FFFFFF" w:val="clear"/>
            <w:vAlign w:val="center"/>
          </w:tcPr>
          <w:p>
            <w:pPr>
              <w:pStyle w:val="TableContents"/>
              <w:bidi w:val="0"/>
              <w:spacing w:before="0" w:after="0"/>
              <w:ind w:left="0" w:right="0" w:hanging="0"/>
              <w:jc w:val="left"/>
              <w:rPr/>
            </w:pPr>
            <w:r>
              <w:rPr/>
              <w:t> </w:t>
            </w:r>
          </w:p>
        </w:tc>
        <w:tc>
          <w:tcPr>
            <w:tcW w:w="659" w:type="dxa"/>
            <w:tcBorders/>
            <w:shd w:fill="FFFFFF" w:val="clear"/>
            <w:vAlign w:val="center"/>
          </w:tcPr>
          <w:p>
            <w:pPr>
              <w:pStyle w:val="TableContents"/>
              <w:bidi w:val="0"/>
              <w:spacing w:before="0" w:after="0"/>
              <w:ind w:left="0" w:right="0" w:hanging="0"/>
              <w:jc w:val="left"/>
              <w:rPr/>
            </w:pPr>
            <w:r>
              <w:rPr>
                <w:rStyle w:val="Emphasis"/>
              </w:rPr>
              <w:t> </w:t>
            </w:r>
          </w:p>
        </w:tc>
        <w:tc>
          <w:tcPr>
            <w:tcW w:w="413" w:type="dxa"/>
            <w:tcBorders/>
            <w:shd w:fill="FFFFFF" w:val="clear"/>
            <w:vAlign w:val="center"/>
          </w:tcPr>
          <w:p>
            <w:pPr>
              <w:pStyle w:val="TableContents"/>
              <w:bidi w:val="0"/>
              <w:spacing w:before="0" w:after="0"/>
              <w:ind w:left="0" w:right="0" w:hanging="0"/>
              <w:jc w:val="left"/>
              <w:rPr/>
            </w:pPr>
            <w:r>
              <w:rPr/>
              <w:t>​</w:t>
            </w:r>
          </w:p>
        </w:tc>
        <w:tc>
          <w:tcPr>
            <w:tcW w:w="133"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Weighted-</w:t>
            </w:r>
          </w:p>
        </w:tc>
        <w:tc>
          <w:tcPr>
            <w:tcW w:w="68" w:type="dxa"/>
            <w:tcBorders/>
            <w:shd w:fill="FFFFFF" w:val="clear"/>
            <w:vAlign w:val="center"/>
          </w:tcPr>
          <w:p>
            <w:pPr>
              <w:pStyle w:val="TableContents"/>
              <w:bidi w:val="0"/>
              <w:spacing w:before="0" w:after="0"/>
              <w:ind w:left="0" w:right="0" w:hanging="0"/>
              <w:jc w:val="left"/>
              <w:rPr/>
            </w:pPr>
            <w:r>
              <w:rPr/>
              <w:t> </w:t>
            </w:r>
          </w:p>
        </w:tc>
      </w:tr>
      <w:tr>
        <w:trPr/>
        <w:tc>
          <w:tcPr>
            <w:tcW w:w="238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57" w:type="dxa"/>
            <w:tcBorders/>
            <w:shd w:fill="FFFFFF" w:val="clear"/>
            <w:vAlign w:val="center"/>
          </w:tcPr>
          <w:p>
            <w:pPr>
              <w:pStyle w:val="TableContents"/>
              <w:bidi w:val="0"/>
              <w:spacing w:before="0" w:after="0"/>
              <w:ind w:left="0" w:right="0" w:hanging="0"/>
              <w:jc w:val="left"/>
              <w:rPr/>
            </w:pPr>
            <w:r>
              <w:rPr/>
              <w:t> </w:t>
            </w:r>
          </w:p>
        </w:tc>
        <w:tc>
          <w:tcPr>
            <w:tcW w:w="743" w:type="dxa"/>
            <w:tcBorders/>
            <w:shd w:fill="FFFFFF" w:val="clear"/>
            <w:vAlign w:val="center"/>
          </w:tcPr>
          <w:p>
            <w:pPr>
              <w:pStyle w:val="TableContents"/>
              <w:bidi w:val="0"/>
              <w:spacing w:before="0" w:after="0"/>
              <w:ind w:left="0" w:right="0" w:hanging="0"/>
              <w:jc w:val="left"/>
              <w:rPr/>
            </w:pPr>
            <w:r>
              <w:rPr>
                <w:rStyle w:val="Emphasis"/>
              </w:rPr>
              <w:t> </w:t>
            </w:r>
          </w:p>
        </w:tc>
        <w:tc>
          <w:tcPr>
            <w:tcW w:w="156" w:type="dxa"/>
            <w:tcBorders/>
            <w:shd w:fill="FFFFFF" w:val="clear"/>
            <w:vAlign w:val="center"/>
          </w:tcPr>
          <w:p>
            <w:pPr>
              <w:pStyle w:val="TableContents"/>
              <w:bidi w:val="0"/>
              <w:spacing w:before="0" w:after="0"/>
              <w:ind w:left="0" w:right="0" w:hanging="0"/>
              <w:jc w:val="left"/>
              <w:rPr/>
            </w:pPr>
            <w:r>
              <w:rPr/>
              <w:t>​</w:t>
            </w:r>
          </w:p>
        </w:tc>
        <w:tc>
          <w:tcPr>
            <w:tcW w:w="156" w:type="dxa"/>
            <w:tcBorders/>
            <w:shd w:fill="FFFFFF" w:val="clear"/>
            <w:vAlign w:val="center"/>
          </w:tcPr>
          <w:p>
            <w:pPr>
              <w:pStyle w:val="TableContents"/>
              <w:bidi w:val="0"/>
              <w:spacing w:before="0" w:after="0"/>
              <w:ind w:left="0" w:right="0" w:hanging="0"/>
              <w:jc w:val="left"/>
              <w:rPr/>
            </w:pPr>
            <w:r>
              <w:rPr/>
              <w:t> </w:t>
            </w:r>
          </w:p>
        </w:tc>
        <w:tc>
          <w:tcPr>
            <w:tcW w:w="292" w:type="dxa"/>
            <w:tcBorders/>
            <w:shd w:fill="FFFFFF" w:val="clear"/>
            <w:vAlign w:val="center"/>
          </w:tcPr>
          <w:p>
            <w:pPr>
              <w:pStyle w:val="TableContents"/>
              <w:bidi w:val="0"/>
              <w:spacing w:before="0" w:after="0"/>
              <w:ind w:left="0" w:right="0" w:hanging="0"/>
              <w:jc w:val="left"/>
              <w:rPr/>
            </w:pPr>
            <w:r>
              <w:rPr/>
              <w:t> </w:t>
            </w:r>
          </w:p>
        </w:tc>
        <w:tc>
          <w:tcPr>
            <w:tcW w:w="679" w:type="dxa"/>
            <w:tcBorders/>
            <w:shd w:fill="FFFFFF" w:val="clear"/>
            <w:vAlign w:val="center"/>
          </w:tcPr>
          <w:p>
            <w:pPr>
              <w:pStyle w:val="TableContents"/>
              <w:bidi w:val="0"/>
              <w:spacing w:before="0" w:after="0"/>
              <w:ind w:left="0" w:right="0" w:hanging="0"/>
              <w:jc w:val="left"/>
              <w:rPr/>
            </w:pPr>
            <w:r>
              <w:rPr>
                <w:rStyle w:val="Emphasis"/>
              </w:rPr>
              <w:t> </w:t>
            </w:r>
          </w:p>
        </w:tc>
        <w:tc>
          <w:tcPr>
            <w:tcW w:w="483" w:type="dxa"/>
            <w:tcBorders/>
            <w:shd w:fill="FFFFFF" w:val="clear"/>
            <w:vAlign w:val="center"/>
          </w:tcPr>
          <w:p>
            <w:pPr>
              <w:pStyle w:val="TableContents"/>
              <w:bidi w:val="0"/>
              <w:spacing w:before="0" w:after="0"/>
              <w:ind w:left="0" w:right="0" w:hanging="0"/>
              <w:jc w:val="left"/>
              <w:rPr/>
            </w:pPr>
            <w:r>
              <w:rPr/>
              <w:t>​</w:t>
            </w:r>
          </w:p>
        </w:tc>
        <w:tc>
          <w:tcPr>
            <w:tcW w:w="156"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Average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8" w:type="dxa"/>
            <w:tcBorders/>
            <w:shd w:fill="FFFFFF" w:val="clear"/>
            <w:vAlign w:val="center"/>
          </w:tcPr>
          <w:p>
            <w:pPr>
              <w:pStyle w:val="TableContents"/>
              <w:bidi w:val="0"/>
              <w:spacing w:before="0" w:after="0"/>
              <w:ind w:left="0" w:right="0" w:hanging="0"/>
              <w:jc w:val="left"/>
              <w:rPr/>
            </w:pPr>
            <w:r>
              <w:rPr/>
              <w:t> </w:t>
            </w:r>
          </w:p>
        </w:tc>
        <w:tc>
          <w:tcPr>
            <w:tcW w:w="802" w:type="dxa"/>
            <w:tcBorders/>
            <w:shd w:fill="FFFFFF" w:val="clear"/>
            <w:vAlign w:val="center"/>
          </w:tcPr>
          <w:p>
            <w:pPr>
              <w:pStyle w:val="TableContents"/>
              <w:bidi w:val="0"/>
              <w:spacing w:before="0" w:after="0"/>
              <w:ind w:left="0" w:right="0" w:hanging="0"/>
              <w:jc w:val="left"/>
              <w:rPr/>
            </w:pPr>
            <w:r>
              <w:rPr>
                <w:rStyle w:val="Emphasis"/>
              </w:rPr>
              <w:t> </w:t>
            </w:r>
          </w:p>
        </w:tc>
        <w:tc>
          <w:tcPr>
            <w:tcW w:w="133" w:type="dxa"/>
            <w:tcBorders/>
            <w:shd w:fill="FFFFFF" w:val="clear"/>
            <w:vAlign w:val="center"/>
          </w:tcPr>
          <w:p>
            <w:pPr>
              <w:pStyle w:val="TableContents"/>
              <w:bidi w:val="0"/>
              <w:spacing w:before="0" w:after="0"/>
              <w:ind w:left="0" w:right="0" w:hanging="0"/>
              <w:jc w:val="left"/>
              <w:rPr/>
            </w:pPr>
            <w:r>
              <w:rPr/>
              <w:t>​</w:t>
            </w:r>
          </w:p>
        </w:tc>
        <w:tc>
          <w:tcPr>
            <w:tcW w:w="133" w:type="dxa"/>
            <w:tcBorders/>
            <w:shd w:fill="FFFFFF" w:val="clear"/>
            <w:vAlign w:val="center"/>
          </w:tcPr>
          <w:p>
            <w:pPr>
              <w:pStyle w:val="TableContents"/>
              <w:bidi w:val="0"/>
              <w:spacing w:before="0" w:after="0"/>
              <w:ind w:left="0" w:right="0" w:hanging="0"/>
              <w:jc w:val="left"/>
              <w:rPr/>
            </w:pPr>
            <w:r>
              <w:rPr/>
              <w:t> </w:t>
            </w:r>
          </w:p>
        </w:tc>
        <w:tc>
          <w:tcPr>
            <w:tcW w:w="261" w:type="dxa"/>
            <w:tcBorders/>
            <w:shd w:fill="FFFFFF" w:val="clear"/>
            <w:vAlign w:val="center"/>
          </w:tcPr>
          <w:p>
            <w:pPr>
              <w:pStyle w:val="TableContents"/>
              <w:bidi w:val="0"/>
              <w:spacing w:before="0" w:after="0"/>
              <w:ind w:left="0" w:right="0" w:hanging="0"/>
              <w:jc w:val="left"/>
              <w:rPr/>
            </w:pPr>
            <w:r>
              <w:rPr/>
              <w:t> </w:t>
            </w:r>
          </w:p>
        </w:tc>
        <w:tc>
          <w:tcPr>
            <w:tcW w:w="659" w:type="dxa"/>
            <w:tcBorders/>
            <w:shd w:fill="FFFFFF" w:val="clear"/>
            <w:vAlign w:val="center"/>
          </w:tcPr>
          <w:p>
            <w:pPr>
              <w:pStyle w:val="TableContents"/>
              <w:bidi w:val="0"/>
              <w:spacing w:before="0" w:after="0"/>
              <w:ind w:left="0" w:right="0" w:hanging="0"/>
              <w:jc w:val="left"/>
              <w:rPr/>
            </w:pPr>
            <w:r>
              <w:rPr>
                <w:rStyle w:val="Emphasis"/>
              </w:rPr>
              <w:t> </w:t>
            </w:r>
          </w:p>
        </w:tc>
        <w:tc>
          <w:tcPr>
            <w:tcW w:w="413" w:type="dxa"/>
            <w:tcBorders/>
            <w:shd w:fill="FFFFFF" w:val="clear"/>
            <w:vAlign w:val="center"/>
          </w:tcPr>
          <w:p>
            <w:pPr>
              <w:pStyle w:val="TableContents"/>
              <w:bidi w:val="0"/>
              <w:spacing w:before="0" w:after="0"/>
              <w:ind w:left="0" w:right="0" w:hanging="0"/>
              <w:jc w:val="left"/>
              <w:rPr/>
            </w:pPr>
            <w:r>
              <w:rPr/>
              <w:t>​</w:t>
            </w:r>
          </w:p>
        </w:tc>
        <w:tc>
          <w:tcPr>
            <w:tcW w:w="133"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Average</w:t>
            </w:r>
          </w:p>
        </w:tc>
        <w:tc>
          <w:tcPr>
            <w:tcW w:w="68" w:type="dxa"/>
            <w:tcBorders/>
            <w:shd w:fill="FFFFFF" w:val="clear"/>
            <w:vAlign w:val="center"/>
          </w:tcPr>
          <w:p>
            <w:pPr>
              <w:pStyle w:val="TableContents"/>
              <w:bidi w:val="0"/>
              <w:spacing w:before="0" w:after="0"/>
              <w:ind w:left="0" w:right="0" w:hanging="0"/>
              <w:jc w:val="left"/>
              <w:rPr/>
            </w:pPr>
            <w:r>
              <w:rPr/>
              <w:t> </w:t>
            </w:r>
          </w:p>
        </w:tc>
      </w:tr>
      <w:tr>
        <w:trPr/>
        <w:tc>
          <w:tcPr>
            <w:tcW w:w="238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Combination</w:t>
            </w:r>
          </w:p>
        </w:tc>
        <w:tc>
          <w:tcPr>
            <w:tcW w:w="156"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p>
        </w:tc>
        <w:tc>
          <w:tcPr>
            <w:tcW w:w="292" w:type="dxa"/>
            <w:tcBorders/>
            <w:shd w:fill="FFFFFF" w:val="clear"/>
            <w:vAlign w:val="center"/>
          </w:tcPr>
          <w:p>
            <w:pPr>
              <w:pStyle w:val="TableContents"/>
              <w:bidi w:val="0"/>
              <w:spacing w:before="0" w:after="0"/>
              <w:ind w:left="0" w:right="0" w:hanging="0"/>
              <w:jc w:val="left"/>
              <w:rPr/>
            </w:pPr>
            <w:r>
              <w:rPr/>
              <w:t> </w:t>
            </w:r>
          </w:p>
        </w:tc>
        <w:tc>
          <w:tcPr>
            <w:tcW w:w="679" w:type="dxa"/>
            <w:tcBorders/>
            <w:shd w:fill="FFFFFF" w:val="clear"/>
            <w:vAlign w:val="center"/>
          </w:tcPr>
          <w:p>
            <w:pPr>
              <w:pStyle w:val="TableContents"/>
              <w:bidi w:val="0"/>
              <w:spacing w:before="0" w:after="0"/>
              <w:ind w:left="0" w:right="0" w:hanging="0"/>
              <w:jc w:val="left"/>
              <w:rPr/>
            </w:pPr>
            <w:r>
              <w:rPr>
                <w:rStyle w:val="Emphasis"/>
              </w:rPr>
              <w:t> </w:t>
            </w:r>
          </w:p>
        </w:tc>
        <w:tc>
          <w:tcPr>
            <w:tcW w:w="483" w:type="dxa"/>
            <w:tcBorders/>
            <w:shd w:fill="FFFFFF" w:val="clear"/>
            <w:vAlign w:val="center"/>
          </w:tcPr>
          <w:p>
            <w:pPr>
              <w:pStyle w:val="TableContents"/>
              <w:bidi w:val="0"/>
              <w:spacing w:before="0" w:after="0"/>
              <w:ind w:left="0" w:right="0" w:hanging="0"/>
              <w:jc w:val="left"/>
              <w:rPr/>
            </w:pPr>
            <w:r>
              <w:rPr/>
              <w:t>​</w:t>
            </w:r>
          </w:p>
        </w:tc>
        <w:tc>
          <w:tcPr>
            <w:tcW w:w="156"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Term</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Combination</w:t>
            </w:r>
          </w:p>
        </w:tc>
        <w:tc>
          <w:tcPr>
            <w:tcW w:w="133"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261" w:type="dxa"/>
            <w:tcBorders/>
            <w:shd w:fill="FFFFFF" w:val="clear"/>
            <w:vAlign w:val="center"/>
          </w:tcPr>
          <w:p>
            <w:pPr>
              <w:pStyle w:val="TableContents"/>
              <w:bidi w:val="0"/>
              <w:spacing w:before="0" w:after="0"/>
              <w:ind w:left="0" w:right="0" w:hanging="0"/>
              <w:jc w:val="left"/>
              <w:rPr/>
            </w:pPr>
            <w:r>
              <w:rPr/>
              <w:t> </w:t>
            </w:r>
          </w:p>
        </w:tc>
        <w:tc>
          <w:tcPr>
            <w:tcW w:w="659" w:type="dxa"/>
            <w:tcBorders/>
            <w:shd w:fill="FFFFFF" w:val="clear"/>
            <w:vAlign w:val="center"/>
          </w:tcPr>
          <w:p>
            <w:pPr>
              <w:pStyle w:val="TableContents"/>
              <w:bidi w:val="0"/>
              <w:spacing w:before="0" w:after="0"/>
              <w:ind w:left="0" w:right="0" w:hanging="0"/>
              <w:jc w:val="left"/>
              <w:rPr/>
            </w:pPr>
            <w:r>
              <w:rPr>
                <w:rStyle w:val="Emphasis"/>
              </w:rPr>
              <w:t> </w:t>
            </w:r>
          </w:p>
        </w:tc>
        <w:tc>
          <w:tcPr>
            <w:tcW w:w="413" w:type="dxa"/>
            <w:tcBorders/>
            <w:shd w:fill="FFFFFF" w:val="clear"/>
            <w:vAlign w:val="center"/>
          </w:tcPr>
          <w:p>
            <w:pPr>
              <w:pStyle w:val="TableContents"/>
              <w:bidi w:val="0"/>
              <w:spacing w:before="0" w:after="0"/>
              <w:ind w:left="0" w:right="0" w:hanging="0"/>
              <w:jc w:val="left"/>
              <w:rPr/>
            </w:pPr>
            <w:r>
              <w:rPr/>
              <w:t>​</w:t>
            </w:r>
          </w:p>
        </w:tc>
        <w:tc>
          <w:tcPr>
            <w:tcW w:w="133"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Term</w:t>
            </w:r>
          </w:p>
        </w:tc>
        <w:tc>
          <w:tcPr>
            <w:tcW w:w="68" w:type="dxa"/>
            <w:tcBorders/>
            <w:shd w:fill="FFFFFF" w:val="clear"/>
            <w:vAlign w:val="center"/>
          </w:tcPr>
          <w:p>
            <w:pPr>
              <w:pStyle w:val="TableContents"/>
              <w:bidi w:val="0"/>
              <w:spacing w:before="0" w:after="0"/>
              <w:ind w:left="0" w:right="0" w:hanging="0"/>
              <w:jc w:val="left"/>
              <w:rPr/>
            </w:pPr>
            <w:r>
              <w:rPr/>
              <w:t> </w:t>
            </w:r>
          </w:p>
        </w:tc>
      </w:tr>
      <w:tr>
        <w:trPr/>
        <w:tc>
          <w:tcPr>
            <w:tcW w:w="238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Term</w:t>
            </w:r>
          </w:p>
        </w:tc>
        <w:tc>
          <w:tcPr>
            <w:tcW w:w="156"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p>
        </w:tc>
        <w:tc>
          <w:tcPr>
            <w:tcW w:w="97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483"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Extension</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Term</w:t>
            </w:r>
          </w:p>
        </w:tc>
        <w:tc>
          <w:tcPr>
            <w:tcW w:w="133"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413"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Extension</w:t>
            </w:r>
          </w:p>
        </w:tc>
        <w:tc>
          <w:tcPr>
            <w:tcW w:w="68" w:type="dxa"/>
            <w:tcBorders/>
            <w:shd w:fill="FFFFFF" w:val="clear"/>
            <w:vAlign w:val="center"/>
          </w:tcPr>
          <w:p>
            <w:pPr>
              <w:pStyle w:val="TableContents"/>
              <w:bidi w:val="0"/>
              <w:spacing w:before="0" w:after="0"/>
              <w:ind w:left="0" w:right="0" w:hanging="0"/>
              <w:jc w:val="left"/>
              <w:rPr/>
            </w:pPr>
            <w:r>
              <w:rPr/>
              <w:t> </w:t>
            </w:r>
          </w:p>
        </w:tc>
      </w:tr>
      <w:tr>
        <w:trPr/>
        <w:tc>
          <w:tcPr>
            <w:tcW w:w="238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Extension</w:t>
            </w:r>
          </w:p>
        </w:tc>
        <w:tc>
          <w:tcPr>
            <w:tcW w:w="156"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p>
        </w:tc>
        <w:tc>
          <w:tcPr>
            <w:tcW w:w="97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Class of</w:t>
            </w:r>
          </w:p>
        </w:tc>
        <w:tc>
          <w:tcPr>
            <w:tcW w:w="483"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Payment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Extension</w:t>
            </w:r>
          </w:p>
        </w:tc>
        <w:tc>
          <w:tcPr>
            <w:tcW w:w="133"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Class of</w:t>
            </w:r>
          </w:p>
        </w:tc>
        <w:tc>
          <w:tcPr>
            <w:tcW w:w="413"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Payment</w:t>
            </w:r>
          </w:p>
        </w:tc>
        <w:tc>
          <w:tcPr>
            <w:tcW w:w="68" w:type="dxa"/>
            <w:tcBorders/>
            <w:shd w:fill="FFFFFF" w:val="clear"/>
            <w:vAlign w:val="center"/>
          </w:tcPr>
          <w:p>
            <w:pPr>
              <w:pStyle w:val="TableContents"/>
              <w:bidi w:val="0"/>
              <w:spacing w:before="0" w:after="0"/>
              <w:ind w:left="0" w:right="0" w:hanging="0"/>
              <w:jc w:val="left"/>
              <w:rPr/>
            </w:pPr>
            <w:r>
              <w:rPr/>
              <w:t> </w:t>
            </w:r>
          </w:p>
        </w:tc>
      </w:tr>
      <w:tr>
        <w:trPr/>
        <w:tc>
          <w:tcPr>
            <w:tcW w:w="2387"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COMMERCIAL BUSINESS</w:t>
            </w:r>
          </w:p>
        </w:tc>
        <w:tc>
          <w:tcPr>
            <w:tcW w:w="60" w:type="dxa"/>
            <w:tcBorders/>
            <w:shd w:fill="FFFFFF" w:val="clear"/>
            <w:vAlign w:val="center"/>
          </w:tcPr>
          <w:p>
            <w:pPr>
              <w:pStyle w:val="TableContents"/>
              <w:bidi w:val="0"/>
              <w:spacing w:before="0" w:after="0"/>
              <w:ind w:left="0" w:right="0" w:hanging="0"/>
              <w:jc w:val="left"/>
              <w:rPr/>
            </w:pPr>
            <w:r>
              <w:rPr/>
              <w:t> </w:t>
            </w:r>
          </w:p>
        </w:tc>
        <w:tc>
          <w:tcPr>
            <w:tcW w:w="110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Payment</w:t>
            </w:r>
          </w:p>
        </w:tc>
        <w:tc>
          <w:tcPr>
            <w:tcW w:w="156"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p>
        </w:tc>
        <w:tc>
          <w:tcPr>
            <w:tcW w:w="971"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Financing</w:t>
            </w:r>
          </w:p>
        </w:tc>
        <w:tc>
          <w:tcPr>
            <w:tcW w:w="483" w:type="dxa"/>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Delay</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Payment</w:t>
            </w:r>
          </w:p>
        </w:tc>
        <w:tc>
          <w:tcPr>
            <w:tcW w:w="133"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Financing</w:t>
            </w:r>
          </w:p>
        </w:tc>
        <w:tc>
          <w:tcPr>
            <w:tcW w:w="413" w:type="dxa"/>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Delay</w:t>
            </w:r>
          </w:p>
        </w:tc>
        <w:tc>
          <w:tcPr>
            <w:tcW w:w="68" w:type="dxa"/>
            <w:tcBorders/>
            <w:shd w:fill="FFFFFF" w:val="clear"/>
            <w:vAlign w:val="center"/>
          </w:tcPr>
          <w:p>
            <w:pPr>
              <w:pStyle w:val="TableContents"/>
              <w:bidi w:val="0"/>
              <w:spacing w:before="0" w:after="0"/>
              <w:ind w:left="0" w:right="0" w:hanging="0"/>
              <w:jc w:val="left"/>
              <w:rPr/>
            </w:pPr>
            <w:r>
              <w:rPr/>
              <w:t> </w:t>
            </w:r>
          </w:p>
        </w:tc>
      </w:tr>
      <w:tr>
        <w:trPr/>
        <w:tc>
          <w:tcPr>
            <w:tcW w:w="2387"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LOANS</w:t>
            </w:r>
          </w:p>
        </w:tc>
        <w:tc>
          <w:tcPr>
            <w:tcW w:w="60" w:type="dxa"/>
            <w:tcBorders/>
            <w:shd w:fill="FFFFFF" w:val="clear"/>
            <w:vAlign w:val="center"/>
          </w:tcPr>
          <w:p>
            <w:pPr>
              <w:pStyle w:val="TableContents"/>
              <w:bidi w:val="0"/>
              <w:spacing w:before="0" w:after="0"/>
              <w:ind w:left="0" w:right="0" w:hanging="0"/>
              <w:jc w:val="left"/>
              <w:rPr/>
            </w:pPr>
            <w:r>
              <w:rPr/>
              <w:t> </w:t>
            </w:r>
          </w:p>
        </w:tc>
        <w:tc>
          <w:tcPr>
            <w:tcW w:w="11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Delay</w:t>
            </w:r>
          </w:p>
        </w:tc>
        <w:tc>
          <w:tcPr>
            <w:tcW w:w="15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p>
        </w:tc>
        <w:tc>
          <w:tcPr>
            <w:tcW w:w="9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Receivable</w:t>
            </w:r>
          </w:p>
        </w:tc>
        <w:tc>
          <w:tcPr>
            <w:tcW w:w="48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 years)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Delay</w:t>
            </w:r>
          </w:p>
        </w:tc>
        <w:tc>
          <w:tcPr>
            <w:tcW w:w="13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Receivable</w:t>
            </w:r>
          </w:p>
        </w:tc>
        <w:tc>
          <w:tcPr>
            <w:tcW w:w="41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 years)</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387"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C&amp;I</w:t>
            </w:r>
          </w:p>
        </w:tc>
        <w:tc>
          <w:tcPr>
            <w:tcW w:w="60" w:type="dxa"/>
            <w:tcBorders/>
            <w:shd w:fill="CCEEFF" w:val="clear"/>
            <w:vAlign w:val="center"/>
          </w:tcPr>
          <w:p>
            <w:pPr>
              <w:pStyle w:val="TableContents"/>
              <w:bidi w:val="0"/>
              <w:spacing w:before="0" w:after="0"/>
              <w:ind w:left="0" w:right="0" w:hanging="0"/>
              <w:jc w:val="left"/>
              <w:rPr/>
            </w:pPr>
            <w:r>
              <w:rPr/>
              <w:t> </w:t>
            </w:r>
          </w:p>
        </w:tc>
        <w:tc>
          <w:tcPr>
            <w:tcW w:w="3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43" w:type="dxa"/>
            <w:tcBorders/>
            <w:shd w:fill="CCEEFF" w:val="clear"/>
            <w:vAlign w:val="center"/>
          </w:tcPr>
          <w:p>
            <w:pPr>
              <w:pStyle w:val="TableContents"/>
              <w:bidi w:val="0"/>
              <w:spacing w:before="0" w:after="0"/>
              <w:ind w:left="0" w:right="0" w:hanging="0"/>
              <w:jc w:val="right"/>
              <w:rPr/>
            </w:pPr>
            <w:r>
              <w:rPr/>
              <w:t>—</w:t>
            </w:r>
          </w:p>
        </w:tc>
        <w:tc>
          <w:tcPr>
            <w:tcW w:w="156" w:type="dxa"/>
            <w:tcBorders/>
            <w:shd w:fill="CCEEFF" w:val="clear"/>
            <w:vAlign w:val="center"/>
          </w:tcPr>
          <w:p>
            <w:pPr>
              <w:pStyle w:val="TableContents"/>
              <w:bidi w:val="0"/>
              <w:spacing w:before="0" w:after="0"/>
              <w:ind w:left="0" w:right="0" w:hanging="0"/>
              <w:jc w:val="left"/>
              <w:rPr/>
            </w:pPr>
            <w:r>
              <w:rPr/>
              <w:t> </w:t>
            </w:r>
          </w:p>
        </w:tc>
        <w:tc>
          <w:tcPr>
            <w:tcW w:w="156" w:type="dxa"/>
            <w:tcBorders/>
            <w:shd w:fill="CCEEFF" w:val="clear"/>
            <w:vAlign w:val="center"/>
          </w:tcPr>
          <w:p>
            <w:pPr>
              <w:pStyle w:val="TableContents"/>
              <w:bidi w:val="0"/>
              <w:spacing w:before="0" w:after="0"/>
              <w:ind w:left="0" w:right="0" w:hanging="0"/>
              <w:jc w:val="left"/>
              <w:rPr/>
            </w:pPr>
            <w:r>
              <w:rPr/>
              <w:t> </w:t>
            </w:r>
          </w:p>
        </w:tc>
        <w:tc>
          <w:tcPr>
            <w:tcW w:w="292" w:type="dxa"/>
            <w:tcBorders/>
            <w:shd w:fill="CCEEFF" w:val="clear"/>
            <w:vAlign w:val="center"/>
          </w:tcPr>
          <w:p>
            <w:pPr>
              <w:pStyle w:val="TableContents"/>
              <w:bidi w:val="0"/>
              <w:spacing w:before="0" w:after="0"/>
              <w:ind w:left="0" w:right="0" w:hanging="0"/>
              <w:jc w:val="left"/>
              <w:rPr/>
            </w:pPr>
            <w:r>
              <w:rPr/>
              <w:t> </w:t>
            </w:r>
          </w:p>
        </w:tc>
        <w:tc>
          <w:tcPr>
            <w:tcW w:w="679" w:type="dxa"/>
            <w:tcBorders/>
            <w:shd w:fill="CCEEFF" w:val="clear"/>
            <w:vAlign w:val="center"/>
          </w:tcPr>
          <w:p>
            <w:pPr>
              <w:pStyle w:val="TableContents"/>
              <w:bidi w:val="0"/>
              <w:spacing w:before="0" w:after="0"/>
              <w:ind w:left="0" w:right="0" w:hanging="0"/>
              <w:jc w:val="right"/>
              <w:rPr/>
            </w:pPr>
            <w:r>
              <w:rPr/>
              <w:t>—</w:t>
            </w:r>
          </w:p>
        </w:tc>
        <w:tc>
          <w:tcPr>
            <w:tcW w:w="48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6"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0"/>
              <w:ind w:left="0" w:right="0" w:hanging="0"/>
              <w:jc w:val="left"/>
              <w:rPr/>
            </w:pPr>
            <w:r>
              <w:rPr/>
              <w:t> </w:t>
            </w:r>
          </w:p>
        </w:tc>
        <w:tc>
          <w:tcPr>
            <w:tcW w:w="681" w:type="dxa"/>
            <w:tcBorders/>
            <w:shd w:fill="CCEEFF" w:val="cle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9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0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545</w:t>
            </w:r>
          </w:p>
        </w:tc>
        <w:tc>
          <w:tcPr>
            <w:tcW w:w="133" w:type="dxa"/>
            <w:tcBorders/>
            <w:shd w:fill="CCEEFF" w:val="clear"/>
            <w:vAlign w:val="center"/>
          </w:tcPr>
          <w:p>
            <w:pPr>
              <w:pStyle w:val="TableContents"/>
              <w:bidi w:val="0"/>
              <w:spacing w:before="0" w:after="0"/>
              <w:ind w:left="0" w:right="0" w:hanging="0"/>
              <w:jc w:val="left"/>
              <w:rPr/>
            </w:pPr>
            <w:r>
              <w:rPr/>
              <w:t> </w:t>
            </w:r>
          </w:p>
        </w:tc>
        <w:tc>
          <w:tcPr>
            <w:tcW w:w="133" w:type="dxa"/>
            <w:tcBorders/>
            <w:shd w:fill="CCEEFF" w:val="clear"/>
            <w:vAlign w:val="center"/>
          </w:tcPr>
          <w:p>
            <w:pPr>
              <w:pStyle w:val="TableContents"/>
              <w:bidi w:val="0"/>
              <w:spacing w:before="0" w:after="0"/>
              <w:ind w:left="0" w:right="0" w:hanging="0"/>
              <w:jc w:val="left"/>
              <w:rPr/>
            </w:pPr>
            <w:r>
              <w:rPr/>
              <w:t> </w:t>
            </w:r>
          </w:p>
        </w:tc>
        <w:tc>
          <w:tcPr>
            <w:tcW w:w="261" w:type="dxa"/>
            <w:tcBorders/>
            <w:shd w:fill="CCEEFF" w:val="clear"/>
            <w:vAlign w:val="center"/>
          </w:tcPr>
          <w:p>
            <w:pPr>
              <w:pStyle w:val="TableContents"/>
              <w:bidi w:val="0"/>
              <w:spacing w:before="0" w:after="0"/>
              <w:ind w:left="0" w:right="0" w:hanging="0"/>
              <w:jc w:val="left"/>
              <w:rPr/>
            </w:pPr>
            <w:r>
              <w:rPr/>
              <w:t> </w:t>
            </w:r>
          </w:p>
        </w:tc>
        <w:tc>
          <w:tcPr>
            <w:tcW w:w="6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w:t>
            </w:r>
          </w:p>
        </w:tc>
        <w:tc>
          <w:tcPr>
            <w:tcW w:w="41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3" w:type="dxa"/>
            <w:tcBorders/>
            <w:shd w:fill="CCEEFF" w:val="clear"/>
            <w:vAlign w:val="center"/>
          </w:tcPr>
          <w:p>
            <w:pPr>
              <w:pStyle w:val="TableContents"/>
              <w:bidi w:val="0"/>
              <w:spacing w:before="0" w:after="0"/>
              <w:ind w:left="0" w:right="0" w:hanging="0"/>
              <w:jc w:val="left"/>
              <w:rPr/>
            </w:pPr>
            <w:r>
              <w:rPr/>
              <w:t> </w:t>
            </w:r>
          </w:p>
        </w:tc>
        <w:tc>
          <w:tcPr>
            <w:tcW w:w="153" w:type="dxa"/>
            <w:tcBorders/>
            <w:shd w:fill="CCEEFF" w:val="clear"/>
            <w:vAlign w:val="center"/>
          </w:tcPr>
          <w:p>
            <w:pPr>
              <w:pStyle w:val="TableContents"/>
              <w:bidi w:val="0"/>
              <w:spacing w:before="0" w:after="0"/>
              <w:ind w:left="0" w:right="0" w:hanging="0"/>
              <w:jc w:val="left"/>
              <w:rPr/>
            </w:pPr>
            <w:r>
              <w:rPr/>
              <w:t> </w:t>
            </w:r>
          </w:p>
        </w:tc>
        <w:tc>
          <w:tcPr>
            <w:tcW w:w="70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68" w:type="dxa"/>
            <w:tcBorders/>
            <w:shd w:fill="CCEEFF" w:val="clear"/>
            <w:vAlign w:val="center"/>
          </w:tcPr>
          <w:p>
            <w:pPr>
              <w:pStyle w:val="TableContents"/>
              <w:bidi w:val="0"/>
              <w:spacing w:before="0" w:after="0"/>
              <w:ind w:left="0" w:right="0" w:hanging="0"/>
              <w:jc w:val="left"/>
              <w:rPr/>
            </w:pPr>
            <w:r>
              <w:rPr/>
              <w:t> </w:t>
            </w:r>
          </w:p>
        </w:tc>
      </w:tr>
      <w:tr>
        <w:trPr/>
        <w:tc>
          <w:tcPr>
            <w:tcW w:w="238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0" w:type="dxa"/>
            <w:gridSpan w:val="2"/>
            <w:tcBorders/>
            <w:shd w:fill="FFFFFF" w:val="clear"/>
            <w:vAlign w:val="center"/>
          </w:tcPr>
          <w:p>
            <w:pPr>
              <w:pStyle w:val="TableContents"/>
              <w:bidi w:val="0"/>
              <w:spacing w:before="0" w:after="0"/>
              <w:ind w:left="0" w:right="0" w:hanging="0"/>
              <w:jc w:val="left"/>
              <w:rPr/>
            </w:pPr>
            <w:r>
              <w:rPr/>
              <w:t> </w:t>
            </w:r>
          </w:p>
        </w:tc>
        <w:tc>
          <w:tcPr>
            <w:tcW w:w="156" w:type="dxa"/>
            <w:tcBorders/>
            <w:shd w:fill="FFFFFF" w:val="clear"/>
            <w:vAlign w:val="center"/>
          </w:tcPr>
          <w:p>
            <w:pPr>
              <w:pStyle w:val="TableContents"/>
              <w:bidi w:val="0"/>
              <w:spacing w:before="0" w:after="0"/>
              <w:ind w:left="0" w:right="0" w:hanging="0"/>
              <w:jc w:val="left"/>
              <w:rPr/>
            </w:pPr>
            <w:r>
              <w:rPr/>
              <w:t>​</w:t>
            </w:r>
          </w:p>
        </w:tc>
        <w:tc>
          <w:tcPr>
            <w:tcW w:w="156" w:type="dxa"/>
            <w:tcBorders/>
            <w:shd w:fill="FFFFFF" w:val="clear"/>
            <w:vAlign w:val="center"/>
          </w:tcPr>
          <w:p>
            <w:pPr>
              <w:pStyle w:val="TableContents"/>
              <w:bidi w:val="0"/>
              <w:spacing w:before="0" w:after="0"/>
              <w:ind w:left="0" w:right="0" w:hanging="0"/>
              <w:jc w:val="left"/>
              <w:rPr/>
            </w:pPr>
            <w:r>
              <w:rPr/>
              <w:t> </w:t>
            </w:r>
          </w:p>
        </w:tc>
        <w:tc>
          <w:tcPr>
            <w:tcW w:w="971" w:type="dxa"/>
            <w:gridSpan w:val="2"/>
            <w:tcBorders/>
            <w:shd w:fill="FFFFFF" w:val="clear"/>
            <w:vAlign w:val="center"/>
          </w:tcPr>
          <w:p>
            <w:pPr>
              <w:pStyle w:val="TableContents"/>
              <w:bidi w:val="0"/>
              <w:spacing w:before="0" w:after="0"/>
              <w:ind w:left="0" w:right="0" w:hanging="0"/>
              <w:jc w:val="left"/>
              <w:rPr/>
            </w:pPr>
            <w:r>
              <w:rPr/>
              <w:t> </w:t>
            </w:r>
          </w:p>
        </w:tc>
        <w:tc>
          <w:tcPr>
            <w:tcW w:w="483" w:type="dxa"/>
            <w:tcBorders/>
            <w:shd w:fill="FFFFFF" w:val="clear"/>
            <w:vAlign w:val="center"/>
          </w:tcPr>
          <w:p>
            <w:pPr>
              <w:pStyle w:val="TableContents"/>
              <w:bidi w:val="0"/>
              <w:spacing w:before="0" w:after="0"/>
              <w:ind w:left="0" w:right="0" w:hanging="0"/>
              <w:jc w:val="left"/>
              <w:rPr/>
            </w:pPr>
            <w:r>
              <w:rPr/>
              <w:t>​</w:t>
            </w:r>
          </w:p>
        </w:tc>
        <w:tc>
          <w:tcPr>
            <w:tcW w:w="156"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0" w:type="dxa"/>
            <w:gridSpan w:val="2"/>
            <w:tcBorders/>
            <w:shd w:fill="FFFFFF" w:val="clear"/>
            <w:vAlign w:val="center"/>
          </w:tcPr>
          <w:p>
            <w:pPr>
              <w:pStyle w:val="TableContents"/>
              <w:bidi w:val="0"/>
              <w:spacing w:before="0" w:after="0"/>
              <w:ind w:left="0" w:right="0" w:hanging="0"/>
              <w:jc w:val="left"/>
              <w:rPr/>
            </w:pPr>
            <w:r>
              <w:rPr/>
              <w:t> </w:t>
            </w:r>
          </w:p>
        </w:tc>
        <w:tc>
          <w:tcPr>
            <w:tcW w:w="133" w:type="dxa"/>
            <w:tcBorders/>
            <w:shd w:fill="FFFFFF" w:val="clear"/>
            <w:vAlign w:val="center"/>
          </w:tcPr>
          <w:p>
            <w:pPr>
              <w:pStyle w:val="TableContents"/>
              <w:bidi w:val="0"/>
              <w:spacing w:before="0" w:after="0"/>
              <w:ind w:left="0" w:right="0" w:hanging="0"/>
              <w:jc w:val="left"/>
              <w:rPr/>
            </w:pPr>
            <w:r>
              <w:rPr/>
              <w:t>​</w:t>
            </w:r>
          </w:p>
        </w:tc>
        <w:tc>
          <w:tcPr>
            <w:tcW w:w="133" w:type="dxa"/>
            <w:tcBorders/>
            <w:shd w:fill="FFFFFF" w:val="clear"/>
            <w:vAlign w:val="center"/>
          </w:tcPr>
          <w:p>
            <w:pPr>
              <w:pStyle w:val="TableContents"/>
              <w:bidi w:val="0"/>
              <w:spacing w:before="0" w:after="0"/>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left"/>
              <w:rPr/>
            </w:pPr>
            <w:r>
              <w:rPr/>
              <w:t> </w:t>
            </w:r>
          </w:p>
        </w:tc>
        <w:tc>
          <w:tcPr>
            <w:tcW w:w="413" w:type="dxa"/>
            <w:tcBorders/>
            <w:shd w:fill="FFFFFF" w:val="clear"/>
            <w:vAlign w:val="center"/>
          </w:tcPr>
          <w:p>
            <w:pPr>
              <w:pStyle w:val="TableContents"/>
              <w:bidi w:val="0"/>
              <w:spacing w:before="0" w:after="0"/>
              <w:ind w:left="0" w:right="0" w:hanging="0"/>
              <w:jc w:val="left"/>
              <w:rPr/>
            </w:pPr>
            <w:r>
              <w:rPr/>
              <w:t>​</w:t>
            </w:r>
          </w:p>
        </w:tc>
        <w:tc>
          <w:tcPr>
            <w:tcW w:w="133"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tbl>
      <w:tblPr>
        <w:tblW w:w="9922" w:type="dxa"/>
        <w:jc w:val="left"/>
        <w:tblInd w:w="0" w:type="dxa"/>
        <w:tblLayout w:type="fixed"/>
        <w:tblCellMar>
          <w:top w:w="0" w:type="dxa"/>
          <w:left w:w="0" w:type="dxa"/>
          <w:bottom w:w="0" w:type="dxa"/>
          <w:right w:w="0" w:type="dxa"/>
        </w:tblCellMar>
      </w:tblPr>
      <w:tblGrid>
        <w:gridCol w:w="2390"/>
        <w:gridCol w:w="23"/>
        <w:gridCol w:w="272"/>
        <w:gridCol w:w="1055"/>
        <w:gridCol w:w="50"/>
        <w:gridCol w:w="50"/>
        <w:gridCol w:w="97"/>
        <w:gridCol w:w="823"/>
        <w:gridCol w:w="402"/>
        <w:gridCol w:w="50"/>
        <w:gridCol w:w="272"/>
        <w:gridCol w:w="729"/>
        <w:gridCol w:w="23"/>
        <w:gridCol w:w="23"/>
        <w:gridCol w:w="257"/>
        <w:gridCol w:w="997"/>
        <w:gridCol w:w="47"/>
        <w:gridCol w:w="47"/>
        <w:gridCol w:w="91"/>
        <w:gridCol w:w="829"/>
        <w:gridCol w:w="380"/>
        <w:gridCol w:w="47"/>
        <w:gridCol w:w="257"/>
        <w:gridCol w:w="688"/>
        <w:gridCol w:w="23"/>
      </w:tblGrid>
      <w:tr>
        <w:trPr/>
        <w:tc>
          <w:tcPr>
            <w:tcW w:w="239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380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Three Months Ended June 30, 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64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Six Months Ended June 30, 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39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center"/>
              <w:rPr/>
            </w:pPr>
            <w:r>
              <w:rPr/>
              <w:t>​</w:t>
            </w:r>
          </w:p>
        </w:tc>
        <w:tc>
          <w:tcPr>
            <w:tcW w:w="50" w:type="dxa"/>
            <w:tcBorders/>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97"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center"/>
              <w:rPr/>
            </w:pPr>
            <w:r>
              <w:rPr/>
              <w:t>​</w:t>
            </w:r>
          </w:p>
        </w:tc>
        <w:tc>
          <w:tcPr>
            <w:tcW w:w="402" w:type="dxa"/>
            <w:tcBorders/>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1001"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Weighted-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center"/>
              <w:rPr/>
            </w:pPr>
            <w:r>
              <w:rPr/>
              <w:t>​</w:t>
            </w:r>
          </w:p>
        </w:tc>
        <w:tc>
          <w:tcPr>
            <w:tcW w:w="47" w:type="dxa"/>
            <w:tcBorders/>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1"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pPr>
            <w:r>
              <w:rPr/>
              <w:t>​</w:t>
            </w:r>
          </w:p>
        </w:tc>
        <w:tc>
          <w:tcPr>
            <w:tcW w:w="380" w:type="dxa"/>
            <w:tcBorders/>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Weighted-</w:t>
            </w:r>
          </w:p>
        </w:tc>
        <w:tc>
          <w:tcPr>
            <w:tcW w:w="23" w:type="dxa"/>
            <w:tcBorders/>
            <w:vAlign w:val="center"/>
          </w:tcPr>
          <w:p>
            <w:pPr>
              <w:pStyle w:val="TableContents"/>
              <w:bidi w:val="0"/>
              <w:spacing w:before="0" w:after="0"/>
              <w:ind w:left="0" w:right="0" w:hanging="0"/>
              <w:jc w:val="left"/>
              <w:rPr/>
            </w:pPr>
            <w:r>
              <w:rPr/>
              <w:t>​</w:t>
            </w:r>
          </w:p>
        </w:tc>
      </w:tr>
      <w:tr>
        <w:trPr/>
        <w:tc>
          <w:tcPr>
            <w:tcW w:w="239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center"/>
              <w:rPr/>
            </w:pPr>
            <w:r>
              <w:rPr/>
              <w:t>​</w:t>
            </w:r>
          </w:p>
        </w:tc>
        <w:tc>
          <w:tcPr>
            <w:tcW w:w="50" w:type="dxa"/>
            <w:tcBorders/>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97"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center"/>
              <w:rPr/>
            </w:pPr>
            <w:r>
              <w:rPr/>
              <w:t>​</w:t>
            </w:r>
          </w:p>
        </w:tc>
        <w:tc>
          <w:tcPr>
            <w:tcW w:w="402" w:type="dxa"/>
            <w:tcBorders/>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1001"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center"/>
              <w:rPr/>
            </w:pPr>
            <w:r>
              <w:rPr/>
              <w:t>​</w:t>
            </w:r>
          </w:p>
        </w:tc>
        <w:tc>
          <w:tcPr>
            <w:tcW w:w="47" w:type="dxa"/>
            <w:tcBorders/>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1"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pPr>
            <w:r>
              <w:rPr/>
              <w:t>​</w:t>
            </w:r>
          </w:p>
        </w:tc>
        <w:tc>
          <w:tcPr>
            <w:tcW w:w="380" w:type="dxa"/>
            <w:tcBorders/>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tc>
        <w:tc>
          <w:tcPr>
            <w:tcW w:w="23" w:type="dxa"/>
            <w:tcBorders/>
            <w:vAlign w:val="center"/>
          </w:tcPr>
          <w:p>
            <w:pPr>
              <w:pStyle w:val="TableContents"/>
              <w:bidi w:val="0"/>
              <w:spacing w:before="0" w:after="0"/>
              <w:ind w:left="0" w:right="0" w:hanging="0"/>
              <w:jc w:val="left"/>
              <w:rPr/>
            </w:pPr>
            <w:r>
              <w:rPr/>
              <w:t>​</w:t>
            </w:r>
          </w:p>
        </w:tc>
      </w:tr>
      <w:tr>
        <w:trPr/>
        <w:tc>
          <w:tcPr>
            <w:tcW w:w="239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27"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Combination</w:t>
            </w:r>
          </w:p>
        </w:tc>
        <w:tc>
          <w:tcPr>
            <w:tcW w:w="50" w:type="dxa"/>
            <w:tcBorders/>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97" w:type="dxa"/>
            <w:tcBorders/>
            <w:vAlign w:val="center"/>
          </w:tcPr>
          <w:p>
            <w:pPr>
              <w:pStyle w:val="TableContents"/>
              <w:bidi w:val="0"/>
              <w:spacing w:before="0" w:after="0"/>
              <w:ind w:left="0" w:right="0" w:hanging="0"/>
              <w:jc w:val="left"/>
              <w:rPr/>
            </w:pPr>
            <w:r>
              <w:rPr/>
              <w:t>​</w:t>
            </w:r>
          </w:p>
        </w:tc>
        <w:tc>
          <w:tcPr>
            <w:tcW w:w="823" w:type="dxa"/>
            <w:tcBorders/>
            <w:vAlign w:val="center"/>
          </w:tcPr>
          <w:p>
            <w:pPr>
              <w:pStyle w:val="TableContents"/>
              <w:bidi w:val="0"/>
              <w:spacing w:before="0" w:after="0"/>
              <w:ind w:left="0" w:right="0" w:hanging="0"/>
              <w:jc w:val="center"/>
              <w:rPr/>
            </w:pPr>
            <w:r>
              <w:rPr>
                <w:rStyle w:val="Emphasis"/>
              </w:rPr>
              <w:t>​</w:t>
            </w:r>
          </w:p>
        </w:tc>
        <w:tc>
          <w:tcPr>
            <w:tcW w:w="402" w:type="dxa"/>
            <w:tcBorders/>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1001"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Term</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4"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Combination</w:t>
            </w:r>
          </w:p>
        </w:tc>
        <w:tc>
          <w:tcPr>
            <w:tcW w:w="47" w:type="dxa"/>
            <w:tcBorders/>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1" w:type="dxa"/>
            <w:tcBorders/>
            <w:vAlign w:val="center"/>
          </w:tcPr>
          <w:p>
            <w:pPr>
              <w:pStyle w:val="TableContents"/>
              <w:bidi w:val="0"/>
              <w:spacing w:before="0" w:after="0"/>
              <w:ind w:left="0" w:right="0" w:hanging="0"/>
              <w:jc w:val="left"/>
              <w:rPr/>
            </w:pPr>
            <w:r>
              <w:rPr/>
              <w:t>​</w:t>
            </w:r>
          </w:p>
        </w:tc>
        <w:tc>
          <w:tcPr>
            <w:tcW w:w="829" w:type="dxa"/>
            <w:tcBorders/>
            <w:vAlign w:val="center"/>
          </w:tcPr>
          <w:p>
            <w:pPr>
              <w:pStyle w:val="TableContents"/>
              <w:bidi w:val="0"/>
              <w:spacing w:before="0" w:after="0"/>
              <w:ind w:left="0" w:right="0" w:hanging="0"/>
              <w:jc w:val="center"/>
              <w:rPr/>
            </w:pPr>
            <w:r>
              <w:rPr>
                <w:rStyle w:val="Emphasis"/>
              </w:rPr>
              <w:t>​</w:t>
            </w:r>
          </w:p>
        </w:tc>
        <w:tc>
          <w:tcPr>
            <w:tcW w:w="380" w:type="dxa"/>
            <w:tcBorders/>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Term</w:t>
            </w:r>
          </w:p>
        </w:tc>
        <w:tc>
          <w:tcPr>
            <w:tcW w:w="23" w:type="dxa"/>
            <w:tcBorders/>
            <w:vAlign w:val="center"/>
          </w:tcPr>
          <w:p>
            <w:pPr>
              <w:pStyle w:val="TableContents"/>
              <w:bidi w:val="0"/>
              <w:spacing w:before="0" w:after="0"/>
              <w:ind w:left="0" w:right="0" w:hanging="0"/>
              <w:jc w:val="left"/>
              <w:rPr/>
            </w:pPr>
            <w:r>
              <w:rPr/>
              <w:t>​</w:t>
            </w:r>
          </w:p>
        </w:tc>
      </w:tr>
      <w:tr>
        <w:trPr/>
        <w:tc>
          <w:tcPr>
            <w:tcW w:w="239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27"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Term</w:t>
            </w:r>
          </w:p>
        </w:tc>
        <w:tc>
          <w:tcPr>
            <w:tcW w:w="50" w:type="dxa"/>
            <w:tcBorders/>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402" w:type="dxa"/>
            <w:tcBorders/>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1001"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Extension</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4"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Term</w:t>
            </w:r>
          </w:p>
        </w:tc>
        <w:tc>
          <w:tcPr>
            <w:tcW w:w="47" w:type="dxa"/>
            <w:tcBorders/>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380" w:type="dxa"/>
            <w:tcBorders/>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Extension</w:t>
            </w:r>
          </w:p>
        </w:tc>
        <w:tc>
          <w:tcPr>
            <w:tcW w:w="23" w:type="dxa"/>
            <w:tcBorders/>
            <w:vAlign w:val="center"/>
          </w:tcPr>
          <w:p>
            <w:pPr>
              <w:pStyle w:val="TableContents"/>
              <w:bidi w:val="0"/>
              <w:spacing w:before="0" w:after="0"/>
              <w:ind w:left="0" w:right="0" w:hanging="0"/>
              <w:jc w:val="left"/>
              <w:rPr/>
            </w:pPr>
            <w:r>
              <w:rPr/>
              <w:t>​</w:t>
            </w:r>
          </w:p>
        </w:tc>
      </w:tr>
      <w:tr>
        <w:trPr/>
        <w:tc>
          <w:tcPr>
            <w:tcW w:w="239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27"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Extension</w:t>
            </w:r>
          </w:p>
        </w:tc>
        <w:tc>
          <w:tcPr>
            <w:tcW w:w="50" w:type="dxa"/>
            <w:tcBorders/>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Class of</w:t>
            </w:r>
          </w:p>
        </w:tc>
        <w:tc>
          <w:tcPr>
            <w:tcW w:w="402" w:type="dxa"/>
            <w:tcBorders/>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1001"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Payment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4"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Extension</w:t>
            </w:r>
          </w:p>
        </w:tc>
        <w:tc>
          <w:tcPr>
            <w:tcW w:w="47" w:type="dxa"/>
            <w:tcBorders/>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Class of</w:t>
            </w:r>
          </w:p>
        </w:tc>
        <w:tc>
          <w:tcPr>
            <w:tcW w:w="380" w:type="dxa"/>
            <w:tcBorders/>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Payment</w:t>
            </w:r>
          </w:p>
        </w:tc>
        <w:tc>
          <w:tcPr>
            <w:tcW w:w="23" w:type="dxa"/>
            <w:tcBorders/>
            <w:vAlign w:val="center"/>
          </w:tcPr>
          <w:p>
            <w:pPr>
              <w:pStyle w:val="TableContents"/>
              <w:bidi w:val="0"/>
              <w:spacing w:before="0" w:after="0"/>
              <w:ind w:left="0" w:right="0" w:hanging="0"/>
              <w:jc w:val="left"/>
              <w:rPr/>
            </w:pPr>
            <w:r>
              <w:rPr/>
              <w:t>​</w:t>
            </w:r>
          </w:p>
        </w:tc>
      </w:tr>
      <w:tr>
        <w:trPr/>
        <w:tc>
          <w:tcPr>
            <w:tcW w:w="239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27"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Payment</w:t>
            </w:r>
          </w:p>
        </w:tc>
        <w:tc>
          <w:tcPr>
            <w:tcW w:w="50" w:type="dxa"/>
            <w:tcBorders/>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Financing</w:t>
            </w:r>
          </w:p>
        </w:tc>
        <w:tc>
          <w:tcPr>
            <w:tcW w:w="402" w:type="dxa"/>
            <w:tcBorders/>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1001"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Delay</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4"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Payment</w:t>
            </w:r>
          </w:p>
        </w:tc>
        <w:tc>
          <w:tcPr>
            <w:tcW w:w="47" w:type="dxa"/>
            <w:tcBorders/>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Financing</w:t>
            </w:r>
          </w:p>
        </w:tc>
        <w:tc>
          <w:tcPr>
            <w:tcW w:w="380" w:type="dxa"/>
            <w:tcBorders/>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Delay</w:t>
            </w:r>
          </w:p>
        </w:tc>
        <w:tc>
          <w:tcPr>
            <w:tcW w:w="23" w:type="dxa"/>
            <w:tcBorders/>
            <w:vAlign w:val="center"/>
          </w:tcPr>
          <w:p>
            <w:pPr>
              <w:pStyle w:val="TableContents"/>
              <w:bidi w:val="0"/>
              <w:spacing w:before="0" w:after="0"/>
              <w:ind w:left="0" w:right="0" w:hanging="0"/>
              <w:jc w:val="left"/>
              <w:rPr/>
            </w:pPr>
            <w:r>
              <w:rPr/>
              <w:t>​</w:t>
            </w:r>
          </w:p>
        </w:tc>
      </w:tr>
      <w:tr>
        <w:trPr/>
        <w:tc>
          <w:tcPr>
            <w:tcW w:w="2390"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CRE LOANS</w:t>
            </w:r>
          </w:p>
        </w:tc>
        <w:tc>
          <w:tcPr>
            <w:tcW w:w="23" w:type="dxa"/>
            <w:tcBorders/>
            <w:vAlign w:val="center"/>
          </w:tcPr>
          <w:p>
            <w:pPr>
              <w:pStyle w:val="TableContents"/>
              <w:bidi w:val="0"/>
              <w:spacing w:before="0" w:after="0"/>
              <w:ind w:left="0" w:right="0" w:hanging="0"/>
              <w:jc w:val="left"/>
              <w:rPr/>
            </w:pPr>
            <w:r>
              <w:rPr/>
              <w:t>​</w:t>
            </w:r>
          </w:p>
        </w:tc>
        <w:tc>
          <w:tcPr>
            <w:tcW w:w="132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Delay</w:t>
            </w:r>
          </w:p>
        </w:tc>
        <w:tc>
          <w:tcPr>
            <w:tcW w:w="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Receivable</w:t>
            </w:r>
          </w:p>
        </w:tc>
        <w:tc>
          <w:tcPr>
            <w:tcW w:w="4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 years)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Delay</w:t>
            </w:r>
          </w:p>
        </w:tc>
        <w:tc>
          <w:tcPr>
            <w:tcW w:w="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Receivable</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 years)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39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CRE owner occupied</w:t>
            </w:r>
          </w:p>
        </w:tc>
        <w:tc>
          <w:tcPr>
            <w:tcW w:w="23"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1,202</w:t>
            </w:r>
          </w:p>
        </w:tc>
        <w:tc>
          <w:tcPr>
            <w:tcW w:w="50" w:type="dxa"/>
            <w:tcBorders/>
            <w:shd w:fill="CCEEFF" w:val="clear"/>
            <w:vAlign w:val="center"/>
          </w:tcPr>
          <w:p>
            <w:pPr>
              <w:pStyle w:val="TableContents"/>
              <w:bidi w:val="0"/>
              <w:spacing w:before="0" w:after="0"/>
              <w:ind w:left="0" w:right="0" w:hanging="0"/>
              <w:jc w:val="left"/>
              <w:rPr/>
            </w:pPr>
            <w:r>
              <w:rPr/>
              <w:t>​</w:t>
            </w:r>
          </w:p>
        </w:tc>
        <w:tc>
          <w:tcPr>
            <w:tcW w:w="50" w:type="dxa"/>
            <w:tcBorders/>
            <w:shd w:fill="CCEEFF" w:val="clear"/>
            <w:vAlign w:val="center"/>
          </w:tcPr>
          <w:p>
            <w:pPr>
              <w:pStyle w:val="TableContents"/>
              <w:bidi w:val="0"/>
              <w:spacing w:before="0" w:after="0"/>
              <w:ind w:left="0" w:right="0" w:hanging="0"/>
              <w:jc w:val="left"/>
              <w:rPr/>
            </w:pPr>
            <w:r>
              <w:rPr/>
              <w:t>​</w:t>
            </w:r>
          </w:p>
        </w:tc>
        <w:tc>
          <w:tcPr>
            <w:tcW w:w="97"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0.7</w:t>
            </w:r>
          </w:p>
        </w:tc>
        <w:tc>
          <w:tcPr>
            <w:tcW w:w="4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pPr>
            <w:r>
              <w:rPr/>
              <w:t>​</w:t>
            </w:r>
          </w:p>
        </w:tc>
        <w:tc>
          <w:tcPr>
            <w:tcW w:w="7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1,202</w:t>
            </w:r>
          </w:p>
        </w:tc>
        <w:tc>
          <w:tcPr>
            <w:tcW w:w="47" w:type="dxa"/>
            <w:tcBorders/>
            <w:shd w:fill="CCEEFF" w:val="clear"/>
            <w:vAlign w:val="center"/>
          </w:tcPr>
          <w:p>
            <w:pPr>
              <w:pStyle w:val="TableContents"/>
              <w:bidi w:val="0"/>
              <w:spacing w:before="0" w:after="0"/>
              <w:ind w:left="0" w:right="0" w:hanging="0"/>
              <w:jc w:val="left"/>
              <w:rPr/>
            </w:pPr>
            <w:r>
              <w:rPr/>
              <w:t>​</w:t>
            </w:r>
          </w:p>
        </w:tc>
        <w:tc>
          <w:tcPr>
            <w:tcW w:w="47" w:type="dxa"/>
            <w:tcBorders/>
            <w:shd w:fill="CCEEFF" w:val="clear"/>
            <w:vAlign w:val="center"/>
          </w:tcPr>
          <w:p>
            <w:pPr>
              <w:pStyle w:val="TableContents"/>
              <w:bidi w:val="0"/>
              <w:spacing w:before="0" w:after="0"/>
              <w:ind w:left="0" w:right="0" w:hanging="0"/>
              <w:jc w:val="left"/>
              <w:rPr/>
            </w:pPr>
            <w:r>
              <w:rPr/>
              <w:t>​</w:t>
            </w:r>
          </w:p>
        </w:tc>
        <w:tc>
          <w:tcPr>
            <w:tcW w:w="91"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w:t>
            </w:r>
          </w:p>
        </w:tc>
        <w:tc>
          <w:tcPr>
            <w:tcW w:w="3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7"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pPr>
            <w:r>
              <w:rPr/>
              <w:t>​</w:t>
            </w:r>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390" w:type="dxa"/>
            <w:tcBorders/>
            <w:shd w:fill="FFFFFF" w:val="clear"/>
            <w:vAlign w:val="center"/>
          </w:tcPr>
          <w:p>
            <w:pPr>
              <w:pStyle w:val="TableContents"/>
              <w:bidi w:val="0"/>
              <w:spacing w:before="0" w:after="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72" w:type="dxa"/>
            <w:tcBorders/>
            <w:shd w:fill="FFFFFF" w:val="clear"/>
            <w:vAlign w:val="center"/>
          </w:tcPr>
          <w:p>
            <w:pPr>
              <w:pStyle w:val="TableContents"/>
              <w:bidi w:val="0"/>
              <w:spacing w:before="0" w:after="0"/>
              <w:ind w:left="0" w:right="0" w:hanging="0"/>
              <w:jc w:val="left"/>
              <w:rPr/>
            </w:pPr>
            <w:r>
              <w:rPr/>
              <w:t>​</w:t>
            </w:r>
          </w:p>
        </w:tc>
        <w:tc>
          <w:tcPr>
            <w:tcW w:w="1055" w:type="dxa"/>
            <w:tcBorders/>
            <w:shd w:fill="FFFFFF" w:val="clear"/>
            <w:vAlign w:val="center"/>
          </w:tcPr>
          <w:p>
            <w:pPr>
              <w:pStyle w:val="TableContents"/>
              <w:bidi w:val="0"/>
              <w:spacing w:before="0" w:after="0"/>
              <w:ind w:left="0" w:right="0" w:hanging="0"/>
              <w:jc w:val="left"/>
              <w:rPr/>
            </w:pPr>
            <w:r>
              <w:rPr/>
              <w:t>​</w:t>
            </w:r>
          </w:p>
        </w:tc>
        <w:tc>
          <w:tcPr>
            <w:tcW w:w="50" w:type="dxa"/>
            <w:tcBorders/>
            <w:shd w:fill="FFFFFF" w:val="clear"/>
            <w:vAlign w:val="center"/>
          </w:tcPr>
          <w:p>
            <w:pPr>
              <w:pStyle w:val="TableContents"/>
              <w:bidi w:val="0"/>
              <w:spacing w:before="0" w:after="0"/>
              <w:ind w:left="0" w:right="0" w:hanging="0"/>
              <w:jc w:val="left"/>
              <w:rPr/>
            </w:pPr>
            <w:r>
              <w:rPr/>
              <w:t>​</w:t>
            </w:r>
          </w:p>
        </w:tc>
        <w:tc>
          <w:tcPr>
            <w:tcW w:w="50" w:type="dxa"/>
            <w:tcBorders/>
            <w:shd w:fill="FFFFFF" w:val="clear"/>
            <w:vAlign w:val="center"/>
          </w:tcPr>
          <w:p>
            <w:pPr>
              <w:pStyle w:val="TableContents"/>
              <w:bidi w:val="0"/>
              <w:spacing w:before="0" w:after="0"/>
              <w:ind w:left="0" w:right="0" w:hanging="0"/>
              <w:jc w:val="left"/>
              <w:rPr/>
            </w:pPr>
            <w:r>
              <w:rPr/>
              <w:t>​</w:t>
            </w:r>
          </w:p>
        </w:tc>
        <w:tc>
          <w:tcPr>
            <w:tcW w:w="97" w:type="dxa"/>
            <w:tcBorders/>
            <w:shd w:fill="FFFFFF" w:val="clear"/>
            <w:vAlign w:val="center"/>
          </w:tcPr>
          <w:p>
            <w:pPr>
              <w:pStyle w:val="TableContents"/>
              <w:bidi w:val="0"/>
              <w:spacing w:before="0" w:after="0"/>
              <w:ind w:left="0" w:right="0" w:hanging="0"/>
              <w:jc w:val="left"/>
              <w:rPr/>
            </w:pPr>
            <w:r>
              <w:rPr/>
              <w:t>​</w:t>
            </w:r>
          </w:p>
        </w:tc>
        <w:tc>
          <w:tcPr>
            <w:tcW w:w="823" w:type="dxa"/>
            <w:tcBorders/>
            <w:shd w:fill="FFFFFF" w:val="clear"/>
            <w:vAlign w:val="center"/>
          </w:tcPr>
          <w:p>
            <w:pPr>
              <w:pStyle w:val="TableContents"/>
              <w:bidi w:val="0"/>
              <w:spacing w:before="0" w:after="0"/>
              <w:ind w:left="0" w:right="0" w:hanging="0"/>
              <w:jc w:val="left"/>
              <w:rPr/>
            </w:pPr>
            <w:r>
              <w:rPr/>
              <w:t>​</w:t>
            </w:r>
          </w:p>
        </w:tc>
        <w:tc>
          <w:tcPr>
            <w:tcW w:w="402" w:type="dxa"/>
            <w:tcBorders/>
            <w:shd w:fill="FFFFFF" w:val="clear"/>
            <w:vAlign w:val="center"/>
          </w:tcPr>
          <w:p>
            <w:pPr>
              <w:pStyle w:val="TableContents"/>
              <w:bidi w:val="0"/>
              <w:spacing w:before="0" w:after="0"/>
              <w:ind w:left="0" w:right="0" w:hanging="0"/>
              <w:jc w:val="left"/>
              <w:rPr/>
            </w:pPr>
            <w:r>
              <w:rPr/>
              <w:t>​</w:t>
            </w:r>
          </w:p>
        </w:tc>
        <w:tc>
          <w:tcPr>
            <w:tcW w:w="50" w:type="dxa"/>
            <w:tcBorders/>
            <w:shd w:fill="FFFFFF" w:val="clear"/>
            <w:vAlign w:val="center"/>
          </w:tcPr>
          <w:p>
            <w:pPr>
              <w:pStyle w:val="TableContents"/>
              <w:bidi w:val="0"/>
              <w:spacing w:before="0" w:after="0"/>
              <w:ind w:left="0" w:right="0" w:hanging="0"/>
              <w:jc w:val="left"/>
              <w:rPr/>
            </w:pPr>
            <w:r>
              <w:rPr/>
              <w:t>​</w:t>
            </w:r>
          </w:p>
        </w:tc>
        <w:tc>
          <w:tcPr>
            <w:tcW w:w="272" w:type="dxa"/>
            <w:tcBorders/>
            <w:shd w:fill="FFFFFF" w:val="clear"/>
            <w:vAlign w:val="center"/>
          </w:tcPr>
          <w:p>
            <w:pPr>
              <w:pStyle w:val="TableContents"/>
              <w:bidi w:val="0"/>
              <w:spacing w:before="0" w:after="0"/>
              <w:ind w:left="0" w:right="0" w:hanging="0"/>
              <w:jc w:val="left"/>
              <w:rPr/>
            </w:pPr>
            <w:r>
              <w:rPr/>
              <w:t>​</w:t>
            </w:r>
          </w:p>
        </w:tc>
        <w:tc>
          <w:tcPr>
            <w:tcW w:w="729"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57" w:type="dxa"/>
            <w:tcBorders/>
            <w:shd w:fill="FFFFFF" w:val="clear"/>
            <w:vAlign w:val="center"/>
          </w:tcPr>
          <w:p>
            <w:pPr>
              <w:pStyle w:val="TableContents"/>
              <w:bidi w:val="0"/>
              <w:spacing w:before="0" w:after="0"/>
              <w:ind w:left="0" w:right="0" w:hanging="0"/>
              <w:jc w:val="left"/>
              <w:rPr/>
            </w:pPr>
            <w:r>
              <w:rPr/>
              <w:t>​</w:t>
            </w:r>
          </w:p>
        </w:tc>
        <w:tc>
          <w:tcPr>
            <w:tcW w:w="997" w:type="dxa"/>
            <w:tcBorders/>
            <w:shd w:fill="FFFFFF" w:val="clear"/>
            <w:vAlign w:val="center"/>
          </w:tcPr>
          <w:p>
            <w:pPr>
              <w:pStyle w:val="TableContents"/>
              <w:bidi w:val="0"/>
              <w:spacing w:before="0" w:after="0"/>
              <w:ind w:left="0" w:right="0" w:hanging="0"/>
              <w:jc w:val="left"/>
              <w:rPr/>
            </w:pPr>
            <w:r>
              <w:rPr/>
              <w:t>​</w:t>
            </w:r>
          </w:p>
        </w:tc>
        <w:tc>
          <w:tcPr>
            <w:tcW w:w="47" w:type="dxa"/>
            <w:tcBorders/>
            <w:shd w:fill="FFFFFF" w:val="clear"/>
            <w:vAlign w:val="center"/>
          </w:tcPr>
          <w:p>
            <w:pPr>
              <w:pStyle w:val="TableContents"/>
              <w:bidi w:val="0"/>
              <w:spacing w:before="0" w:after="0"/>
              <w:ind w:left="0" w:right="0" w:hanging="0"/>
              <w:jc w:val="left"/>
              <w:rPr/>
            </w:pPr>
            <w:r>
              <w:rPr/>
              <w:t>​</w:t>
            </w:r>
          </w:p>
        </w:tc>
        <w:tc>
          <w:tcPr>
            <w:tcW w:w="47" w:type="dxa"/>
            <w:tcBorders/>
            <w:shd w:fill="FFFFFF" w:val="clear"/>
            <w:vAlign w:val="center"/>
          </w:tcPr>
          <w:p>
            <w:pPr>
              <w:pStyle w:val="TableContents"/>
              <w:bidi w:val="0"/>
              <w:spacing w:before="0" w:after="0"/>
              <w:ind w:left="0" w:right="0" w:hanging="0"/>
              <w:jc w:val="left"/>
              <w:rPr/>
            </w:pPr>
            <w:r>
              <w:rPr/>
              <w:t>​</w:t>
            </w:r>
          </w:p>
        </w:tc>
        <w:tc>
          <w:tcPr>
            <w:tcW w:w="91" w:type="dxa"/>
            <w:tcBorders/>
            <w:shd w:fill="FFFFFF" w:val="clear"/>
            <w:vAlign w:val="center"/>
          </w:tcPr>
          <w:p>
            <w:pPr>
              <w:pStyle w:val="TableContents"/>
              <w:bidi w:val="0"/>
              <w:spacing w:before="0" w:after="0"/>
              <w:ind w:left="0" w:right="0" w:hanging="0"/>
              <w:jc w:val="left"/>
              <w:rPr/>
            </w:pPr>
            <w:r>
              <w:rPr/>
              <w:t>​</w:t>
            </w:r>
          </w:p>
        </w:tc>
        <w:tc>
          <w:tcPr>
            <w:tcW w:w="829"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left"/>
              <w:rPr/>
            </w:pPr>
            <w:r>
              <w:rPr/>
              <w:t>​</w:t>
            </w:r>
          </w:p>
        </w:tc>
        <w:tc>
          <w:tcPr>
            <w:tcW w:w="47" w:type="dxa"/>
            <w:tcBorders/>
            <w:shd w:fill="FFFFFF" w:val="clear"/>
            <w:vAlign w:val="center"/>
          </w:tcPr>
          <w:p>
            <w:pPr>
              <w:pStyle w:val="TableContents"/>
              <w:bidi w:val="0"/>
              <w:spacing w:before="0" w:after="0"/>
              <w:ind w:left="0" w:right="0" w:hanging="0"/>
              <w:jc w:val="left"/>
              <w:rPr/>
            </w:pPr>
            <w:r>
              <w:rPr/>
              <w:t>​</w:t>
            </w:r>
          </w:p>
        </w:tc>
        <w:tc>
          <w:tcPr>
            <w:tcW w:w="257" w:type="dxa"/>
            <w:tcBorders/>
            <w:shd w:fill="FFFFFF" w:val="clear"/>
            <w:vAlign w:val="center"/>
          </w:tcPr>
          <w:p>
            <w:pPr>
              <w:pStyle w:val="TableContents"/>
              <w:bidi w:val="0"/>
              <w:spacing w:before="0" w:after="0"/>
              <w:ind w:left="0" w:right="0" w:hanging="0"/>
              <w:jc w:val="left"/>
              <w:rPr/>
            </w:pPr>
            <w:r>
              <w:rPr/>
              <w:t>​</w:t>
            </w:r>
          </w:p>
        </w:tc>
        <w:tc>
          <w:tcPr>
            <w:tcW w:w="688"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39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center"/>
              <w:rPr/>
            </w:pPr>
            <w:r>
              <w:rPr>
                <w:rStyle w:val="Emphasis"/>
              </w:rPr>
              <w:t>​</w:t>
            </w:r>
          </w:p>
        </w:tc>
        <w:tc>
          <w:tcPr>
            <w:tcW w:w="50" w:type="dxa"/>
            <w:tcBorders/>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402" w:type="dxa"/>
            <w:tcBorders/>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center"/>
              <w:rPr/>
            </w:pPr>
            <w:r>
              <w:rPr>
                <w:rStyle w:val="Emphasis"/>
              </w:rPr>
              <w:t>​</w:t>
            </w:r>
          </w:p>
        </w:tc>
        <w:tc>
          <w:tcPr>
            <w:tcW w:w="47" w:type="dxa"/>
            <w:tcBorders/>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380" w:type="dxa"/>
            <w:tcBorders/>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r>
      <w:tr>
        <w:trPr/>
        <w:tc>
          <w:tcPr>
            <w:tcW w:w="239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1055" w:type="dxa"/>
            <w:tcBorders/>
            <w:vAlign w:val="center"/>
          </w:tcPr>
          <w:p>
            <w:pPr>
              <w:pStyle w:val="TableContents"/>
              <w:bidi w:val="0"/>
              <w:spacing w:before="0" w:after="0"/>
              <w:ind w:left="0" w:right="0" w:hanging="0"/>
              <w:jc w:val="center"/>
              <w:rPr/>
            </w:pPr>
            <w:r>
              <w:rPr>
                <w:rStyle w:val="Emphasis"/>
              </w:rPr>
              <w:t>​</w:t>
            </w:r>
          </w:p>
        </w:tc>
        <w:tc>
          <w:tcPr>
            <w:tcW w:w="50" w:type="dxa"/>
            <w:tcBorders/>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Class of</w:t>
            </w:r>
          </w:p>
        </w:tc>
        <w:tc>
          <w:tcPr>
            <w:tcW w:w="402" w:type="dxa"/>
            <w:tcBorders/>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272" w:type="dxa"/>
            <w:tcBorders/>
            <w:vAlign w:val="center"/>
          </w:tcPr>
          <w:p>
            <w:pPr>
              <w:pStyle w:val="TableContents"/>
              <w:bidi w:val="0"/>
              <w:spacing w:before="0" w:after="0"/>
              <w:ind w:left="0" w:right="0" w:hanging="0"/>
              <w:jc w:val="left"/>
              <w:rPr/>
            </w:pPr>
            <w:r>
              <w:rPr/>
              <w:t>​</w:t>
            </w:r>
          </w:p>
        </w:tc>
        <w:tc>
          <w:tcPr>
            <w:tcW w:w="729"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997" w:type="dxa"/>
            <w:tcBorders/>
            <w:vAlign w:val="center"/>
          </w:tcPr>
          <w:p>
            <w:pPr>
              <w:pStyle w:val="TableContents"/>
              <w:bidi w:val="0"/>
              <w:spacing w:before="0" w:after="0"/>
              <w:ind w:left="0" w:right="0" w:hanging="0"/>
              <w:jc w:val="center"/>
              <w:rPr/>
            </w:pPr>
            <w:r>
              <w:rPr>
                <w:rStyle w:val="Emphasis"/>
              </w:rPr>
              <w:t>​</w:t>
            </w:r>
          </w:p>
        </w:tc>
        <w:tc>
          <w:tcPr>
            <w:tcW w:w="47" w:type="dxa"/>
            <w:tcBorders/>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Class of</w:t>
            </w:r>
          </w:p>
        </w:tc>
        <w:tc>
          <w:tcPr>
            <w:tcW w:w="380" w:type="dxa"/>
            <w:tcBorders/>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257" w:type="dxa"/>
            <w:tcBorders/>
            <w:vAlign w:val="center"/>
          </w:tcPr>
          <w:p>
            <w:pPr>
              <w:pStyle w:val="TableContents"/>
              <w:bidi w:val="0"/>
              <w:spacing w:before="0" w:after="0"/>
              <w:ind w:left="0" w:right="0" w:hanging="0"/>
              <w:jc w:val="left"/>
              <w:rPr/>
            </w:pPr>
            <w:r>
              <w:rPr/>
              <w:t>​</w:t>
            </w:r>
          </w:p>
        </w:tc>
        <w:tc>
          <w:tcPr>
            <w:tcW w:w="688"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r>
      <w:tr>
        <w:trPr/>
        <w:tc>
          <w:tcPr>
            <w:tcW w:w="2390"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COMMERCIAL BUSINESS</w:t>
            </w:r>
          </w:p>
        </w:tc>
        <w:tc>
          <w:tcPr>
            <w:tcW w:w="23" w:type="dxa"/>
            <w:tcBorders/>
            <w:vAlign w:val="center"/>
          </w:tcPr>
          <w:p>
            <w:pPr>
              <w:pStyle w:val="TableContents"/>
              <w:bidi w:val="0"/>
              <w:spacing w:before="0" w:after="0"/>
              <w:ind w:left="0" w:right="0" w:hanging="0"/>
              <w:jc w:val="left"/>
              <w:rPr/>
            </w:pPr>
            <w:r>
              <w:rPr/>
              <w:t>​</w:t>
            </w:r>
          </w:p>
        </w:tc>
        <w:tc>
          <w:tcPr>
            <w:tcW w:w="1327"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Principal</w:t>
            </w:r>
          </w:p>
        </w:tc>
        <w:tc>
          <w:tcPr>
            <w:tcW w:w="50" w:type="dxa"/>
            <w:tcBorders/>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Financing</w:t>
            </w:r>
          </w:p>
        </w:tc>
        <w:tc>
          <w:tcPr>
            <w:tcW w:w="402" w:type="dxa"/>
            <w:tcBorders/>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1001"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Principal</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4"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Payment</w:t>
            </w:r>
          </w:p>
        </w:tc>
        <w:tc>
          <w:tcPr>
            <w:tcW w:w="47" w:type="dxa"/>
            <w:tcBorders/>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2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Financing</w:t>
            </w:r>
          </w:p>
        </w:tc>
        <w:tc>
          <w:tcPr>
            <w:tcW w:w="380" w:type="dxa"/>
            <w:tcBorders/>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4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Principal</w:t>
            </w:r>
          </w:p>
        </w:tc>
        <w:tc>
          <w:tcPr>
            <w:tcW w:w="23" w:type="dxa"/>
            <w:tcBorders/>
            <w:vAlign w:val="center"/>
          </w:tcPr>
          <w:p>
            <w:pPr>
              <w:pStyle w:val="TableContents"/>
              <w:bidi w:val="0"/>
              <w:spacing w:before="0" w:after="0"/>
              <w:ind w:left="0" w:right="0" w:hanging="0"/>
              <w:jc w:val="left"/>
              <w:rPr/>
            </w:pPr>
            <w:r>
              <w:rPr/>
              <w:t>​</w:t>
            </w:r>
          </w:p>
        </w:tc>
      </w:tr>
      <w:tr>
        <w:trPr/>
        <w:tc>
          <w:tcPr>
            <w:tcW w:w="2390"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LOANS</w:t>
            </w:r>
          </w:p>
        </w:tc>
        <w:tc>
          <w:tcPr>
            <w:tcW w:w="23" w:type="dxa"/>
            <w:tcBorders/>
            <w:vAlign w:val="center"/>
          </w:tcPr>
          <w:p>
            <w:pPr>
              <w:pStyle w:val="TableContents"/>
              <w:bidi w:val="0"/>
              <w:spacing w:before="0" w:after="0"/>
              <w:ind w:left="0" w:right="0" w:hanging="0"/>
              <w:jc w:val="left"/>
              <w:rPr/>
            </w:pPr>
            <w:r>
              <w:rPr/>
              <w:t>​</w:t>
            </w:r>
          </w:p>
        </w:tc>
        <w:tc>
          <w:tcPr>
            <w:tcW w:w="1327"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Forgiveness</w:t>
            </w:r>
          </w:p>
        </w:tc>
        <w:tc>
          <w:tcPr>
            <w:tcW w:w="5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Receivable</w:t>
            </w:r>
          </w:p>
        </w:tc>
        <w:tc>
          <w:tcPr>
            <w:tcW w:w="4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0" w:type="dxa"/>
            <w:tcBorders/>
            <w:vAlign w:val="center"/>
          </w:tcPr>
          <w:p>
            <w:pPr>
              <w:pStyle w:val="TableContents"/>
              <w:bidi w:val="0"/>
              <w:spacing w:before="0" w:after="0"/>
              <w:ind w:left="0" w:right="0" w:hanging="0"/>
              <w:jc w:val="left"/>
              <w:rPr/>
            </w:pPr>
            <w:r>
              <w:rPr/>
              <w:t>​</w:t>
            </w:r>
          </w:p>
        </w:tc>
        <w:tc>
          <w:tcPr>
            <w:tcW w:w="1001"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Forgiven</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Delay</w:t>
            </w:r>
          </w:p>
        </w:tc>
        <w:tc>
          <w:tcPr>
            <w:tcW w:w="47"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2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Receivable</w:t>
            </w:r>
          </w:p>
        </w:tc>
        <w:tc>
          <w:tcPr>
            <w:tcW w:w="3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7" w:type="dxa"/>
            <w:tcBorders/>
            <w:vAlign w:val="center"/>
          </w:tcPr>
          <w:p>
            <w:pPr>
              <w:pStyle w:val="TableContents"/>
              <w:bidi w:val="0"/>
              <w:spacing w:before="0" w:after="0"/>
              <w:ind w:left="0" w:right="0" w:hanging="0"/>
              <w:jc w:val="left"/>
              <w:rPr/>
            </w:pPr>
            <w:r>
              <w:rPr/>
              <w:t>​</w:t>
            </w:r>
          </w:p>
        </w:tc>
        <w:tc>
          <w:tcPr>
            <w:tcW w:w="94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Forgiven</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39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C&amp;I</w:t>
            </w:r>
          </w:p>
        </w:tc>
        <w:tc>
          <w:tcPr>
            <w:tcW w:w="23"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w:t>
            </w:r>
          </w:p>
        </w:tc>
        <w:tc>
          <w:tcPr>
            <w:tcW w:w="50" w:type="dxa"/>
            <w:tcBorders/>
            <w:shd w:fill="CCEEFF" w:val="clear"/>
            <w:vAlign w:val="center"/>
          </w:tcPr>
          <w:p>
            <w:pPr>
              <w:pStyle w:val="TableContents"/>
              <w:bidi w:val="0"/>
              <w:spacing w:before="0" w:after="0"/>
              <w:ind w:left="0" w:right="0" w:hanging="0"/>
              <w:jc w:val="left"/>
              <w:rPr/>
            </w:pPr>
            <w:r>
              <w:rPr/>
              <w:t>​</w:t>
            </w:r>
          </w:p>
        </w:tc>
        <w:tc>
          <w:tcPr>
            <w:tcW w:w="50" w:type="dxa"/>
            <w:tcBorders/>
            <w:shd w:fill="CCEEFF" w:val="clear"/>
            <w:vAlign w:val="center"/>
          </w:tcPr>
          <w:p>
            <w:pPr>
              <w:pStyle w:val="TableContents"/>
              <w:bidi w:val="0"/>
              <w:spacing w:before="0" w:after="0"/>
              <w:ind w:left="0" w:right="0" w:hanging="0"/>
              <w:jc w:val="left"/>
              <w:rPr/>
            </w:pPr>
            <w:r>
              <w:rPr/>
              <w:t>​</w:t>
            </w:r>
          </w:p>
        </w:tc>
        <w:tc>
          <w:tcPr>
            <w:tcW w:w="97" w:type="dxa"/>
            <w:tcBorders/>
            <w:shd w:fill="CCEEFF" w:val="clear"/>
            <w:vAlign w:val="center"/>
          </w:tcPr>
          <w:p>
            <w:pPr>
              <w:pStyle w:val="TableContents"/>
              <w:bidi w:val="0"/>
              <w:spacing w:before="0" w:after="0"/>
              <w:ind w:left="0" w:right="0" w:hanging="0"/>
              <w:jc w:val="left"/>
              <w:rPr/>
            </w:pPr>
            <w:r>
              <w:rPr/>
              <w:t>​</w:t>
            </w:r>
          </w:p>
        </w:tc>
        <w:tc>
          <w:tcPr>
            <w:tcW w:w="8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w:t>
            </w:r>
          </w:p>
        </w:tc>
        <w:tc>
          <w:tcPr>
            <w:tcW w:w="4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0" w:type="dxa"/>
            <w:tcBorders/>
            <w:shd w:fill="CCEEFF" w:val="clear"/>
            <w:vAlign w:val="center"/>
          </w:tcPr>
          <w:p>
            <w:pPr>
              <w:pStyle w:val="TableContents"/>
              <w:bidi w:val="0"/>
              <w:spacing w:before="0" w:after="0"/>
              <w:ind w:left="0" w:right="0" w:hanging="0"/>
              <w:jc w:val="left"/>
              <w:rPr/>
            </w:pPr>
            <w:r>
              <w:rPr/>
              <w:t>​</w:t>
            </w:r>
          </w:p>
        </w:tc>
        <w:tc>
          <w:tcPr>
            <w:tcW w:w="27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w:t>
            </w:r>
          </w:p>
        </w:tc>
        <w:tc>
          <w:tcPr>
            <w:tcW w:w="47" w:type="dxa"/>
            <w:tcBorders/>
            <w:shd w:fill="CCEEFF" w:val="clear"/>
            <w:vAlign w:val="center"/>
          </w:tcPr>
          <w:p>
            <w:pPr>
              <w:pStyle w:val="TableContents"/>
              <w:bidi w:val="0"/>
              <w:spacing w:before="0" w:after="0"/>
              <w:ind w:left="0" w:right="0" w:hanging="0"/>
              <w:jc w:val="left"/>
              <w:rPr/>
            </w:pPr>
            <w:r>
              <w:rPr/>
              <w:t>​</w:t>
            </w:r>
          </w:p>
        </w:tc>
        <w:tc>
          <w:tcPr>
            <w:tcW w:w="47" w:type="dxa"/>
            <w:tcBorders/>
            <w:shd w:fill="CCEEFF" w:val="clear"/>
            <w:vAlign w:val="center"/>
          </w:tcPr>
          <w:p>
            <w:pPr>
              <w:pStyle w:val="TableContents"/>
              <w:bidi w:val="0"/>
              <w:spacing w:before="0" w:after="0"/>
              <w:ind w:left="0" w:right="0" w:hanging="0"/>
              <w:jc w:val="left"/>
              <w:rPr/>
            </w:pPr>
            <w:r>
              <w:rPr/>
              <w:t>​</w:t>
            </w:r>
          </w:p>
        </w:tc>
        <w:tc>
          <w:tcPr>
            <w:tcW w:w="91" w:type="dxa"/>
            <w:tcBorders/>
            <w:shd w:fill="CCEEFF" w:val="clear"/>
            <w:vAlign w:val="center"/>
          </w:tcPr>
          <w:p>
            <w:pPr>
              <w:pStyle w:val="TableContents"/>
              <w:bidi w:val="0"/>
              <w:spacing w:before="0" w:after="0"/>
              <w:ind w:left="0" w:right="0" w:hanging="0"/>
              <w:jc w:val="left"/>
              <w:rPr/>
            </w:pPr>
            <w:r>
              <w:rPr/>
              <w:t>​</w:t>
            </w:r>
          </w:p>
        </w:tc>
        <w:tc>
          <w:tcPr>
            <w:tcW w:w="82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0.1</w:t>
            </w:r>
          </w:p>
        </w:tc>
        <w:tc>
          <w:tcPr>
            <w:tcW w:w="3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7" w:type="dxa"/>
            <w:tcBorders/>
            <w:shd w:fill="CCEEFF" w:val="clear"/>
            <w:vAlign w:val="center"/>
          </w:tcPr>
          <w:p>
            <w:pPr>
              <w:pStyle w:val="TableContents"/>
              <w:bidi w:val="0"/>
              <w:spacing w:before="0" w:after="0"/>
              <w:ind w:left="0" w:right="0" w:hanging="0"/>
              <w:jc w:val="left"/>
              <w:rPr/>
            </w:pPr>
            <w:r>
              <w:rPr/>
              <w:t>​</w:t>
            </w:r>
          </w:p>
        </w:tc>
        <w:tc>
          <w:tcPr>
            <w:tcW w:w="2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357</w:t>
            </w:r>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there were no commitments to lend additional funds to borrowers experiencing financial difficulty whose terms had been modified during the </w:t>
      </w:r>
      <w:r>
        <w:rPr>
          <w:rStyle w:val="Emphasis"/>
          <w:rFonts w:ascii="Times New Roman" w:hAnsi="Times New Roman"/>
          <w:caps w:val="false"/>
          <w:smallCaps w:val="false"/>
          <w:sz w:val="20"/>
        </w:rPr>
        <w:t>six</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As of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there were no commitments to lend additional funds to borrowers experiencing financial difficulty whose terms had been modified during the year ended </w:t>
      </w:r>
      <w:r>
        <w:rPr>
          <w:rStyle w:val="Emphasis"/>
          <w:rFonts w:ascii="Times New Roman" w:hAnsi="Times New Roman"/>
          <w:caps w:val="false"/>
          <w:smallCaps w:val="false"/>
          <w:sz w:val="20"/>
        </w:rPr>
        <w:t>December 31, 2025.</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closely monitors the performance of loans modified to borrowers experiencing financial difficulty to evaluate the effectiveness of its modification efforts.  There were no loans modified within the prior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that were delinquent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 following table presents the performance of such loans that were modified within the prior </w:t>
      </w:r>
      <w:r>
        <w:rPr>
          <w:rStyle w:val="Emphasis"/>
          <w:rFonts w:ascii="Times New Roman" w:hAnsi="Times New Roman"/>
          <w:caps w:val="false"/>
          <w:smallCaps w:val="false"/>
          <w:sz w:val="20"/>
        </w:rPr>
        <w:t>12</w:t>
      </w:r>
      <w:r>
        <w:rPr>
          <w:rFonts w:ascii="Times New Roman" w:hAnsi="Times New Roman"/>
          <w:caps w:val="false"/>
          <w:smallCaps w:val="false"/>
          <w:sz w:val="20"/>
        </w:rPr>
        <w:t> months as of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w:t>
      </w:r>
    </w:p>
    <w:p>
      <w:pPr>
        <w:pStyle w:val="TextBody"/>
        <w:bidi w:val="0"/>
        <w:spacing w:before="0" w:after="0"/>
        <w:ind w:left="0" w:right="0" w:hanging="0"/>
        <w:jc w:val="both"/>
        <w:rPr>
          <w:caps w:val="false"/>
          <w:smallCaps w:val="false"/>
        </w:rPr>
      </w:pPr>
      <w:r>
        <w:rPr>
          <w:caps w:val="false"/>
          <w:smallCaps w:val="false"/>
        </w:rPr>
        <w:t> </w:t>
      </w:r>
    </w:p>
    <w:tbl>
      <w:tblPr>
        <w:tblW w:w="7366" w:type="dxa"/>
        <w:jc w:val="left"/>
        <w:tblInd w:w="0" w:type="dxa"/>
        <w:tblLayout w:type="fixed"/>
        <w:tblCellMar>
          <w:top w:w="0" w:type="dxa"/>
          <w:left w:w="0" w:type="dxa"/>
          <w:bottom w:w="0" w:type="dxa"/>
          <w:right w:w="0" w:type="dxa"/>
        </w:tblCellMar>
      </w:tblPr>
      <w:tblGrid>
        <w:gridCol w:w="4850"/>
        <w:gridCol w:w="23"/>
        <w:gridCol w:w="162"/>
        <w:gridCol w:w="337"/>
        <w:gridCol w:w="23"/>
        <w:gridCol w:w="23"/>
        <w:gridCol w:w="162"/>
        <w:gridCol w:w="337"/>
        <w:gridCol w:w="23"/>
        <w:gridCol w:w="23"/>
        <w:gridCol w:w="148"/>
        <w:gridCol w:w="576"/>
        <w:gridCol w:w="23"/>
        <w:gridCol w:w="23"/>
        <w:gridCol w:w="125"/>
        <w:gridCol w:w="485"/>
        <w:gridCol w:w="23"/>
      </w:tblGrid>
      <w:tr>
        <w:trPr/>
        <w:tc>
          <w:tcPr>
            <w:tcW w:w="485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247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85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49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30-59</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9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60-89</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48" w:type="dxa"/>
            <w:tcBorders/>
            <w:vAlign w:val="center"/>
          </w:tcPr>
          <w:p>
            <w:pPr>
              <w:pStyle w:val="TableContents"/>
              <w:bidi w:val="0"/>
              <w:spacing w:before="0" w:after="0"/>
              <w:ind w:left="0" w:right="0" w:hanging="0"/>
              <w:jc w:val="left"/>
              <w:rPr/>
            </w:pPr>
            <w:r>
              <w:rPr/>
              <w:t>​</w:t>
            </w:r>
          </w:p>
        </w:tc>
        <w:tc>
          <w:tcPr>
            <w:tcW w:w="576"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48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r>
      <w:tr>
        <w:trPr/>
        <w:tc>
          <w:tcPr>
            <w:tcW w:w="485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49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Days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9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Days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24"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90 Days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23" w:type="dxa"/>
            <w:tcBorders/>
            <w:vAlign w:val="center"/>
          </w:tcPr>
          <w:p>
            <w:pPr>
              <w:pStyle w:val="TableContents"/>
              <w:bidi w:val="0"/>
              <w:spacing w:before="0" w:after="0"/>
              <w:ind w:left="0" w:right="0" w:hanging="0"/>
              <w:jc w:val="left"/>
              <w:rPr/>
            </w:pPr>
            <w:r>
              <w:rPr/>
              <w:t>​</w:t>
            </w:r>
          </w:p>
        </w:tc>
      </w:tr>
      <w:tr>
        <w:trPr/>
        <w:tc>
          <w:tcPr>
            <w:tcW w:w="485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49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Past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9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Past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24"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 More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Past</w:t>
            </w:r>
          </w:p>
        </w:tc>
        <w:tc>
          <w:tcPr>
            <w:tcW w:w="23" w:type="dxa"/>
            <w:tcBorders/>
            <w:vAlign w:val="center"/>
          </w:tcPr>
          <w:p>
            <w:pPr>
              <w:pStyle w:val="TableContents"/>
              <w:bidi w:val="0"/>
              <w:spacing w:before="0" w:after="0"/>
              <w:ind w:left="0" w:right="0" w:hanging="0"/>
              <w:jc w:val="left"/>
              <w:rPr/>
            </w:pPr>
            <w:r>
              <w:rPr/>
              <w:t>​</w:t>
            </w:r>
          </w:p>
        </w:tc>
      </w:tr>
      <w:tr>
        <w:trPr/>
        <w:tc>
          <w:tcPr>
            <w:tcW w:w="4850"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CRE LOANS</w:t>
            </w:r>
          </w:p>
        </w:tc>
        <w:tc>
          <w:tcPr>
            <w:tcW w:w="23" w:type="dxa"/>
            <w:tcBorders/>
            <w:vAlign w:val="center"/>
          </w:tcPr>
          <w:p>
            <w:pPr>
              <w:pStyle w:val="TableContents"/>
              <w:bidi w:val="0"/>
              <w:spacing w:before="0" w:after="0"/>
              <w:ind w:left="0" w:right="0" w:hanging="0"/>
              <w:jc w:val="left"/>
              <w:rPr/>
            </w:pPr>
            <w:r>
              <w:rPr/>
              <w:t>​</w:t>
            </w:r>
          </w:p>
        </w:tc>
        <w:tc>
          <w:tcPr>
            <w:tcW w:w="4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Past Due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8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and speculative construction and development</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37"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37"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7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9,083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9,083</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850"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COMMERCIAL BUSINESS LOANS</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337"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c>
          <w:tcPr>
            <w:tcW w:w="337"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576"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85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C&amp;I</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3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85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loans</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3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3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7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9,343</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9,343</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were no loans to borrowers experiencing financial difficulty that had a payment default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were modified in the </w:t>
      </w:r>
      <w:r>
        <w:rPr>
          <w:rStyle w:val="Emphasis"/>
          <w:rFonts w:ascii="Times New Roman" w:hAnsi="Times New Roman"/>
          <w:caps w:val="false"/>
          <w:smallCaps w:val="false"/>
          <w:sz w:val="20"/>
        </w:rPr>
        <w:t>12</w:t>
      </w:r>
      <w:r>
        <w:rPr>
          <w:rFonts w:ascii="Times New Roman" w:hAnsi="Times New Roman"/>
          <w:caps w:val="false"/>
          <w:smallCaps w:val="false"/>
          <w:sz w:val="20"/>
        </w:rPr>
        <w:t> months prior to that default.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Nonaccrual and Past Due Loans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tables provide information pertaining to the aging analysis of contractually past due loans and nonaccrual loans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419"/>
        <w:gridCol w:w="23"/>
        <w:gridCol w:w="125"/>
        <w:gridCol w:w="485"/>
        <w:gridCol w:w="23"/>
        <w:gridCol w:w="23"/>
        <w:gridCol w:w="125"/>
        <w:gridCol w:w="485"/>
        <w:gridCol w:w="23"/>
        <w:gridCol w:w="23"/>
        <w:gridCol w:w="144"/>
        <w:gridCol w:w="564"/>
        <w:gridCol w:w="23"/>
        <w:gridCol w:w="23"/>
        <w:gridCol w:w="125"/>
        <w:gridCol w:w="590"/>
        <w:gridCol w:w="23"/>
        <w:gridCol w:w="23"/>
        <w:gridCol w:w="125"/>
        <w:gridCol w:w="845"/>
        <w:gridCol w:w="23"/>
        <w:gridCol w:w="23"/>
        <w:gridCol w:w="125"/>
        <w:gridCol w:w="845"/>
        <w:gridCol w:w="23"/>
        <w:gridCol w:w="23"/>
        <w:gridCol w:w="153"/>
        <w:gridCol w:w="725"/>
        <w:gridCol w:w="26"/>
      </w:tblGrid>
      <w:tr>
        <w:trPr/>
        <w:tc>
          <w:tcPr>
            <w:tcW w:w="4419"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5737"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2026</w:t>
            </w:r>
          </w:p>
        </w:tc>
        <w:tc>
          <w:tcPr>
            <w:tcW w:w="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19"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30-59</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60-89</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44" w:type="dxa"/>
            <w:tcBorders/>
            <w:vAlign w:val="center"/>
          </w:tcPr>
          <w:p>
            <w:pPr>
              <w:pStyle w:val="TableContents"/>
              <w:bidi w:val="0"/>
              <w:spacing w:before="0" w:after="0"/>
              <w:ind w:left="0" w:right="0" w:hanging="0"/>
              <w:jc w:val="left"/>
              <w:rPr/>
            </w:pPr>
            <w:r>
              <w:rPr/>
              <w:t>​</w:t>
            </w:r>
          </w:p>
        </w:tc>
        <w:tc>
          <w:tcPr>
            <w:tcW w:w="564"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center"/>
              <w:rPr/>
            </w:pPr>
            <w:r>
              <w:rPr/>
              <w:t>​</w:t>
            </w:r>
          </w:p>
        </w:tc>
        <w:tc>
          <w:tcPr>
            <w:tcW w:w="26" w:type="dxa"/>
            <w:tcBorders/>
            <w:vAlign w:val="center"/>
          </w:tcPr>
          <w:p>
            <w:pPr>
              <w:pStyle w:val="TableContents"/>
              <w:bidi w:val="0"/>
              <w:spacing w:before="0" w:after="0"/>
              <w:ind w:left="0" w:right="0" w:hanging="0"/>
              <w:jc w:val="left"/>
              <w:rPr/>
            </w:pPr>
            <w:r>
              <w:rPr/>
              <w:t>​</w:t>
            </w:r>
          </w:p>
        </w:tc>
      </w:tr>
      <w:tr>
        <w:trPr/>
        <w:tc>
          <w:tcPr>
            <w:tcW w:w="4419"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Days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Days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08"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90 Days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center"/>
              <w:rPr/>
            </w:pPr>
            <w:r>
              <w:rPr/>
              <w:t>​</w:t>
            </w:r>
          </w:p>
        </w:tc>
        <w:tc>
          <w:tcPr>
            <w:tcW w:w="26" w:type="dxa"/>
            <w:tcBorders/>
            <w:vAlign w:val="center"/>
          </w:tcPr>
          <w:p>
            <w:pPr>
              <w:pStyle w:val="TableContents"/>
              <w:bidi w:val="0"/>
              <w:spacing w:before="0" w:after="0"/>
              <w:ind w:left="0" w:right="0" w:hanging="0"/>
              <w:jc w:val="left"/>
              <w:rPr/>
            </w:pPr>
            <w:r>
              <w:rPr/>
              <w:t>​</w:t>
            </w:r>
          </w:p>
        </w:tc>
      </w:tr>
      <w:tr>
        <w:trPr/>
        <w:tc>
          <w:tcPr>
            <w:tcW w:w="4419"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Past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Past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08"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 More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Past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Loans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78"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w:t>
            </w:r>
          </w:p>
        </w:tc>
        <w:tc>
          <w:tcPr>
            <w:tcW w:w="26" w:type="dxa"/>
            <w:tcBorders/>
            <w:vAlign w:val="center"/>
          </w:tcPr>
          <w:p>
            <w:pPr>
              <w:pStyle w:val="TableContents"/>
              <w:bidi w:val="0"/>
              <w:spacing w:before="0" w:after="0"/>
              <w:ind w:left="0" w:right="0" w:hanging="0"/>
              <w:jc w:val="left"/>
              <w:rPr/>
            </w:pPr>
            <w:r>
              <w:rPr/>
              <w:t>​</w:t>
            </w:r>
          </w:p>
        </w:tc>
      </w:tr>
      <w:tr>
        <w:trPr/>
        <w:tc>
          <w:tcPr>
            <w:tcW w:w="4419"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CRE LOANS</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0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Past Due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Receivable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Accrual </w:t>
            </w:r>
            <w:r>
              <w:rPr>
                <w:rFonts w:ascii="Times New Roman" w:hAnsi="Times New Roman"/>
                <w:caps w:val="false"/>
                <w:smallCaps w:val="false"/>
                <w:position w:val="7"/>
                <w:sz w:val="16"/>
                <w:sz w:val="20"/>
              </w:rPr>
              <w:t>(1)</w:t>
            </w:r>
          </w:p>
        </w:tc>
        <w:tc>
          <w:tcPr>
            <w:tcW w:w="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1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CRE owner occupied</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64"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614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614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183,522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184,136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614</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4419"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CRE non-owner occupied</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564"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188,258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188,258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shd w:fill="FFFFFF" w:val="clear"/>
            <w:vAlign w:val="center"/>
          </w:tcPr>
          <w:p>
            <w:pPr>
              <w:pStyle w:val="TableContents"/>
              <w:bidi w:val="0"/>
              <w:spacing w:before="0" w:after="0"/>
              <w:ind w:left="0" w:right="0" w:hanging="0"/>
              <w:jc w:val="left"/>
              <w:rPr/>
            </w:pPr>
            <w:r>
              <w:rPr/>
              <w:t>​</w:t>
            </w:r>
          </w:p>
        </w:tc>
        <w:tc>
          <w:tcPr>
            <w:tcW w:w="725" w:type="dxa"/>
            <w:tcBorders/>
            <w:shd w:fill="FFFFFF" w:val="clear"/>
            <w:vAlign w:val="center"/>
          </w:tcPr>
          <w:p>
            <w:pPr>
              <w:pStyle w:val="TableContents"/>
              <w:bidi w:val="0"/>
              <w:spacing w:before="0" w:after="0"/>
              <w:ind w:left="0" w:right="0" w:hanging="0"/>
              <w:jc w:val="right"/>
              <w:rPr/>
            </w:pPr>
            <w:r>
              <w:rPr/>
              <w:t>—</w:t>
            </w:r>
          </w:p>
        </w:tc>
        <w:tc>
          <w:tcPr>
            <w:tcW w:w="26" w:type="dxa"/>
            <w:tcBorders/>
            <w:shd w:fill="FFFFFF" w:val="clear"/>
            <w:vAlign w:val="center"/>
          </w:tcPr>
          <w:p>
            <w:pPr>
              <w:pStyle w:val="TableContents"/>
              <w:bidi w:val="0"/>
              <w:spacing w:before="0" w:after="0"/>
              <w:ind w:left="0" w:right="0" w:hanging="0"/>
              <w:jc w:val="left"/>
              <w:rPr/>
            </w:pPr>
            <w:r>
              <w:rPr/>
              <w:t>​</w:t>
            </w:r>
          </w:p>
        </w:tc>
      </w:tr>
      <w:tr>
        <w:trPr/>
        <w:tc>
          <w:tcPr>
            <w:tcW w:w="441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and speculative construction and development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7,164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7,164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363,295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370,459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7,164</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441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Multi-family</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130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6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130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262,007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262,137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419"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Total CRE loans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130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7,778</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7,908</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997,082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1,004,990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7,778</w:t>
            </w:r>
          </w:p>
        </w:tc>
        <w:tc>
          <w:tcPr>
            <w:tcW w:w="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419"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RESIDENTIAL REAL ESTATE LOANS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564"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shd w:fill="FFFFFF" w:val="clear"/>
            <w:vAlign w:val="center"/>
          </w:tcPr>
          <w:p>
            <w:pPr>
              <w:pStyle w:val="TableContents"/>
              <w:bidi w:val="0"/>
              <w:spacing w:before="0" w:after="0"/>
              <w:ind w:left="0" w:right="0" w:hanging="0"/>
              <w:jc w:val="left"/>
              <w:rPr/>
            </w:pPr>
            <w:r>
              <w:rPr/>
              <w:t>​</w:t>
            </w:r>
          </w:p>
        </w:tc>
        <w:tc>
          <w:tcPr>
            <w:tcW w:w="725"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r>
      <w:tr>
        <w:trPr/>
        <w:tc>
          <w:tcPr>
            <w:tcW w:w="4419"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One-to-four-family (excludes loans held for sale)</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772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840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659,678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660,518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1,973</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441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Home equity</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154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564"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154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88,060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88,214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shd w:fill="FFFFFF" w:val="clear"/>
            <w:vAlign w:val="center"/>
          </w:tcPr>
          <w:p>
            <w:pPr>
              <w:pStyle w:val="TableContents"/>
              <w:bidi w:val="0"/>
              <w:spacing w:before="0" w:after="0"/>
              <w:ind w:left="0" w:right="0" w:hanging="0"/>
              <w:jc w:val="left"/>
              <w:rPr/>
            </w:pPr>
            <w:r>
              <w:rPr/>
              <w:t>​</w:t>
            </w:r>
          </w:p>
        </w:tc>
        <w:tc>
          <w:tcPr>
            <w:tcW w:w="7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472</w:t>
            </w:r>
          </w:p>
        </w:tc>
        <w:tc>
          <w:tcPr>
            <w:tcW w:w="26" w:type="dxa"/>
            <w:tcBorders/>
            <w:shd w:fill="FFFFFF" w:val="clear"/>
            <w:vAlign w:val="center"/>
          </w:tcPr>
          <w:p>
            <w:pPr>
              <w:pStyle w:val="TableContents"/>
              <w:bidi w:val="0"/>
              <w:spacing w:before="0" w:after="0"/>
              <w:ind w:left="0" w:right="0" w:hanging="0"/>
              <w:jc w:val="left"/>
              <w:rPr/>
            </w:pPr>
            <w:r>
              <w:rPr/>
              <w:t>​</w:t>
            </w:r>
          </w:p>
        </w:tc>
      </w:tr>
      <w:tr>
        <w:trPr/>
        <w:tc>
          <w:tcPr>
            <w:tcW w:w="441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Residential custom construction</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44,765</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44,765</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419"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residential real estate loans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154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6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772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994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792,503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793,497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2,445</w:t>
            </w:r>
          </w:p>
        </w:tc>
        <w:tc>
          <w:tcPr>
            <w:tcW w:w="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419"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CONSUMER LOANS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441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Indirect home improvement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3,285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2,068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564"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1,213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6,566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495,585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502,151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shd w:fill="FFFFFF" w:val="clear"/>
            <w:vAlign w:val="center"/>
          </w:tcPr>
          <w:p>
            <w:pPr>
              <w:pStyle w:val="TableContents"/>
              <w:bidi w:val="0"/>
              <w:spacing w:before="0" w:after="0"/>
              <w:ind w:left="0" w:right="0" w:hanging="0"/>
              <w:jc w:val="left"/>
              <w:rPr/>
            </w:pPr>
            <w:r>
              <w:rPr/>
              <w:t>​</w:t>
            </w:r>
          </w:p>
        </w:tc>
        <w:tc>
          <w:tcPr>
            <w:tcW w:w="7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4,799</w:t>
            </w:r>
          </w:p>
        </w:tc>
        <w:tc>
          <w:tcPr>
            <w:tcW w:w="26" w:type="dxa"/>
            <w:tcBorders/>
            <w:shd w:fill="FFFFFF" w:val="clear"/>
            <w:vAlign w:val="center"/>
          </w:tcPr>
          <w:p>
            <w:pPr>
              <w:pStyle w:val="TableContents"/>
              <w:bidi w:val="0"/>
              <w:spacing w:before="0" w:after="0"/>
              <w:ind w:left="0" w:right="0" w:hanging="0"/>
              <w:jc w:val="left"/>
              <w:rPr/>
            </w:pPr>
            <w:r>
              <w:rPr/>
              <w:t>​</w:t>
            </w:r>
          </w:p>
        </w:tc>
      </w:tr>
      <w:tr>
        <w:trPr/>
        <w:tc>
          <w:tcPr>
            <w:tcW w:w="441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Marine</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923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81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1,100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65,841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66,941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606</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4419"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consumer</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6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21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4,090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4,111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c>
          <w:tcPr>
            <w:tcW w:w="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419"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consumer loans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4,226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2,164</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1,297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7,687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565,516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573,203</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5,424</w:t>
            </w:r>
          </w:p>
        </w:tc>
        <w:tc>
          <w:tcPr>
            <w:tcW w:w="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419"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COMMERCIAL BUSINESS LOANS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shd w:fill="FFFFFF" w:val="clear"/>
            <w:vAlign w:val="center"/>
          </w:tcPr>
          <w:p>
            <w:pPr>
              <w:pStyle w:val="TableContents"/>
              <w:bidi w:val="0"/>
              <w:spacing w:before="0" w:after="0"/>
              <w:ind w:left="0" w:right="0" w:hanging="0"/>
              <w:jc w:val="left"/>
              <w:rPr/>
            </w:pPr>
            <w:r>
              <w:rPr/>
              <w:t>​</w:t>
            </w:r>
          </w:p>
        </w:tc>
        <w:tc>
          <w:tcPr>
            <w:tcW w:w="564"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shd w:fill="FFFFFF" w:val="clear"/>
            <w:vAlign w:val="center"/>
          </w:tcPr>
          <w:p>
            <w:pPr>
              <w:pStyle w:val="TableContents"/>
              <w:bidi w:val="0"/>
              <w:spacing w:before="0" w:after="0"/>
              <w:ind w:left="0" w:right="0" w:hanging="0"/>
              <w:jc w:val="left"/>
              <w:rPr/>
            </w:pPr>
            <w:r>
              <w:rPr/>
              <w:t>​</w:t>
            </w:r>
          </w:p>
        </w:tc>
        <w:tc>
          <w:tcPr>
            <w:tcW w:w="725"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r>
      <w:tr>
        <w:trPr/>
        <w:tc>
          <w:tcPr>
            <w:tcW w:w="4419"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C&amp;I</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shd w:fill="CCEEFF" w:val="clear"/>
            <w:vAlign w:val="center"/>
          </w:tcPr>
          <w:p>
            <w:pPr>
              <w:pStyle w:val="TableContents"/>
              <w:bidi w:val="0"/>
              <w:spacing w:before="0" w:after="0"/>
              <w:ind w:left="0" w:right="0" w:hanging="0"/>
              <w:jc w:val="left"/>
              <w:rPr/>
            </w:pPr>
            <w:r>
              <w:rPr/>
              <w:t>​</w:t>
            </w:r>
          </w:p>
        </w:tc>
        <w:tc>
          <w:tcPr>
            <w:tcW w:w="564"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281,180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281,181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pPr>
            <w:r>
              <w:rPr/>
              <w:t>—</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4419"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Warehouse lending</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6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7,286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7,286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419"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commercial business loans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6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288,466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288,467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419" w:type="dxa"/>
            <w:tcBorders/>
            <w:shd w:fill="FFFFFF" w:val="clear"/>
            <w:vAlign w:val="center"/>
          </w:tcPr>
          <w:p>
            <w:pPr>
              <w:pStyle w:val="TableContents"/>
              <w:bidi w:val="0"/>
              <w:spacing w:before="0" w:after="0"/>
              <w:ind w:left="720" w:right="0" w:hanging="0"/>
              <w:jc w:val="left"/>
              <w:rPr>
                <w:rFonts w:ascii="Times New Roman" w:hAnsi="Times New Roman"/>
                <w:caps w:val="false"/>
                <w:smallCaps w:val="false"/>
                <w:sz w:val="20"/>
              </w:rPr>
            </w:pPr>
            <w:r>
              <w:rPr>
                <w:rFonts w:ascii="Times New Roman" w:hAnsi="Times New Roman"/>
                <w:caps w:val="false"/>
                <w:smallCaps w:val="false"/>
                <w:sz w:val="20"/>
              </w:rPr>
              <w:t>Total loans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4,511</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2,232</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6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9,847</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16,590</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2,643,567</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2,660,157</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15,647</w:t>
            </w:r>
          </w:p>
        </w:tc>
        <w:tc>
          <w:tcPr>
            <w:tcW w:w="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4406"/>
        <w:gridCol w:w="23"/>
        <w:gridCol w:w="125"/>
        <w:gridCol w:w="485"/>
        <w:gridCol w:w="23"/>
        <w:gridCol w:w="23"/>
        <w:gridCol w:w="125"/>
        <w:gridCol w:w="485"/>
        <w:gridCol w:w="23"/>
        <w:gridCol w:w="23"/>
        <w:gridCol w:w="125"/>
        <w:gridCol w:w="596"/>
        <w:gridCol w:w="23"/>
        <w:gridCol w:w="23"/>
        <w:gridCol w:w="125"/>
        <w:gridCol w:w="590"/>
        <w:gridCol w:w="23"/>
        <w:gridCol w:w="23"/>
        <w:gridCol w:w="125"/>
        <w:gridCol w:w="845"/>
        <w:gridCol w:w="23"/>
        <w:gridCol w:w="23"/>
        <w:gridCol w:w="125"/>
        <w:gridCol w:w="845"/>
        <w:gridCol w:w="23"/>
        <w:gridCol w:w="23"/>
        <w:gridCol w:w="153"/>
        <w:gridCol w:w="725"/>
        <w:gridCol w:w="26"/>
      </w:tblGrid>
      <w:tr>
        <w:trPr/>
        <w:tc>
          <w:tcPr>
            <w:tcW w:w="4406"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5750"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2025</w:t>
            </w:r>
          </w:p>
        </w:tc>
        <w:tc>
          <w:tcPr>
            <w:tcW w:w="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06"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30-59</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60-89</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center"/>
              <w:rPr/>
            </w:pPr>
            <w:r>
              <w:rPr/>
              <w:t>​</w:t>
            </w:r>
          </w:p>
        </w:tc>
        <w:tc>
          <w:tcPr>
            <w:tcW w:w="26" w:type="dxa"/>
            <w:tcBorders/>
            <w:vAlign w:val="center"/>
          </w:tcPr>
          <w:p>
            <w:pPr>
              <w:pStyle w:val="TableContents"/>
              <w:bidi w:val="0"/>
              <w:spacing w:before="0" w:after="0"/>
              <w:ind w:left="0" w:right="0" w:hanging="0"/>
              <w:jc w:val="left"/>
              <w:rPr/>
            </w:pPr>
            <w:r>
              <w:rPr/>
              <w:t>​</w:t>
            </w:r>
          </w:p>
        </w:tc>
      </w:tr>
      <w:tr>
        <w:trPr/>
        <w:tc>
          <w:tcPr>
            <w:tcW w:w="4406"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Days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Days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21"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90 Days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3" w:type="dxa"/>
            <w:tcBorders/>
            <w:vAlign w:val="center"/>
          </w:tcPr>
          <w:p>
            <w:pPr>
              <w:pStyle w:val="TableContents"/>
              <w:bidi w:val="0"/>
              <w:spacing w:before="0" w:after="0"/>
              <w:ind w:left="0" w:right="0" w:hanging="0"/>
              <w:jc w:val="left"/>
              <w:rPr/>
            </w:pPr>
            <w:r>
              <w:rPr/>
              <w:t>​</w:t>
            </w:r>
          </w:p>
        </w:tc>
        <w:tc>
          <w:tcPr>
            <w:tcW w:w="725" w:type="dxa"/>
            <w:tcBorders/>
            <w:vAlign w:val="center"/>
          </w:tcPr>
          <w:p>
            <w:pPr>
              <w:pStyle w:val="TableContents"/>
              <w:bidi w:val="0"/>
              <w:spacing w:before="0" w:after="0"/>
              <w:ind w:left="0" w:right="0" w:hanging="0"/>
              <w:jc w:val="center"/>
              <w:rPr/>
            </w:pPr>
            <w:r>
              <w:rPr/>
              <w:t>​</w:t>
            </w:r>
          </w:p>
        </w:tc>
        <w:tc>
          <w:tcPr>
            <w:tcW w:w="26" w:type="dxa"/>
            <w:tcBorders/>
            <w:vAlign w:val="center"/>
          </w:tcPr>
          <w:p>
            <w:pPr>
              <w:pStyle w:val="TableContents"/>
              <w:bidi w:val="0"/>
              <w:spacing w:before="0" w:after="0"/>
              <w:ind w:left="0" w:right="0" w:hanging="0"/>
              <w:jc w:val="left"/>
              <w:rPr/>
            </w:pPr>
            <w:r>
              <w:rPr/>
              <w:t>​</w:t>
            </w:r>
          </w:p>
        </w:tc>
      </w:tr>
      <w:tr>
        <w:trPr/>
        <w:tc>
          <w:tcPr>
            <w:tcW w:w="4406"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Past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Past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21"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or More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Past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84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Loans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78"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w:t>
            </w:r>
          </w:p>
        </w:tc>
        <w:tc>
          <w:tcPr>
            <w:tcW w:w="26" w:type="dxa"/>
            <w:tcBorders/>
            <w:vAlign w:val="center"/>
          </w:tcPr>
          <w:p>
            <w:pPr>
              <w:pStyle w:val="TableContents"/>
              <w:bidi w:val="0"/>
              <w:spacing w:before="0" w:after="0"/>
              <w:ind w:left="0" w:right="0" w:hanging="0"/>
              <w:jc w:val="left"/>
              <w:rPr/>
            </w:pPr>
            <w:r>
              <w:rPr/>
              <w:t>​</w:t>
            </w:r>
          </w:p>
        </w:tc>
      </w:tr>
      <w:tr>
        <w:trPr/>
        <w:tc>
          <w:tcPr>
            <w:tcW w:w="4406"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CRE LOANS</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2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Past Due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Current</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Receivable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7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Accrual </w:t>
            </w:r>
            <w:r>
              <w:rPr>
                <w:rFonts w:ascii="Times New Roman" w:hAnsi="Times New Roman"/>
                <w:caps w:val="false"/>
                <w:smallCaps w:val="false"/>
                <w:position w:val="7"/>
                <w:sz w:val="16"/>
                <w:sz w:val="20"/>
              </w:rPr>
              <w:t>(1)</w:t>
            </w:r>
          </w:p>
        </w:tc>
        <w:tc>
          <w:tcPr>
            <w:tcW w:w="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0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CRE owner occupied</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587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6"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844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1,431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174,647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176,078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2,049</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4406"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CRE non-owner occupied</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6"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177,113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177,113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shd w:fill="FFFFFF" w:val="clear"/>
            <w:vAlign w:val="center"/>
          </w:tcPr>
          <w:p>
            <w:pPr>
              <w:pStyle w:val="TableContents"/>
              <w:bidi w:val="0"/>
              <w:spacing w:before="0" w:after="0"/>
              <w:ind w:left="0" w:right="0" w:hanging="0"/>
              <w:jc w:val="left"/>
              <w:rPr/>
            </w:pPr>
            <w:r>
              <w:rPr/>
              <w:t>​</w:t>
            </w:r>
          </w:p>
        </w:tc>
        <w:tc>
          <w:tcPr>
            <w:tcW w:w="725" w:type="dxa"/>
            <w:tcBorders/>
            <w:shd w:fill="FFFFFF" w:val="clear"/>
            <w:vAlign w:val="center"/>
          </w:tcPr>
          <w:p>
            <w:pPr>
              <w:pStyle w:val="TableContents"/>
              <w:bidi w:val="0"/>
              <w:spacing w:before="0" w:after="0"/>
              <w:ind w:left="0" w:right="0" w:hanging="0"/>
              <w:jc w:val="right"/>
              <w:rPr/>
            </w:pPr>
            <w:r>
              <w:rPr/>
              <w:t>—</w:t>
            </w:r>
          </w:p>
        </w:tc>
        <w:tc>
          <w:tcPr>
            <w:tcW w:w="26" w:type="dxa"/>
            <w:tcBorders/>
            <w:shd w:fill="FFFFFF" w:val="clear"/>
            <w:vAlign w:val="center"/>
          </w:tcPr>
          <w:p>
            <w:pPr>
              <w:pStyle w:val="TableContents"/>
              <w:bidi w:val="0"/>
              <w:spacing w:before="0" w:after="0"/>
              <w:ind w:left="0" w:right="0" w:hanging="0"/>
              <w:jc w:val="left"/>
              <w:rPr/>
            </w:pPr>
            <w:r>
              <w:rPr/>
              <w:t>​</w:t>
            </w:r>
          </w:p>
        </w:tc>
      </w:tr>
      <w:tr>
        <w:trPr/>
        <w:tc>
          <w:tcPr>
            <w:tcW w:w="440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and speculative construction and development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9,236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9,236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344,894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354,130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9,236</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440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Multi-family</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262,150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262,150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406"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Total CRE loans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587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10,080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10,667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958,804</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969,471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11,285</w:t>
            </w:r>
          </w:p>
        </w:tc>
        <w:tc>
          <w:tcPr>
            <w:tcW w:w="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406" w:type="dxa"/>
            <w:tcBorders/>
            <w:shd w:fill="FFFF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RESIDENTIAL REAL ESTATE LOANS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6"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shd w:fill="FFFFFF" w:val="clear"/>
            <w:vAlign w:val="center"/>
          </w:tcPr>
          <w:p>
            <w:pPr>
              <w:pStyle w:val="TableContents"/>
              <w:bidi w:val="0"/>
              <w:spacing w:before="0" w:after="0"/>
              <w:ind w:left="0" w:right="0" w:hanging="0"/>
              <w:jc w:val="left"/>
              <w:rPr/>
            </w:pPr>
            <w:r>
              <w:rPr/>
              <w:t>​</w:t>
            </w:r>
          </w:p>
        </w:tc>
        <w:tc>
          <w:tcPr>
            <w:tcW w:w="725"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r>
      <w:tr>
        <w:trPr/>
        <w:tc>
          <w:tcPr>
            <w:tcW w:w="440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One-to-four-family (excludes loans held for sale)</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1,244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84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1,542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627,219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628,761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1,778</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440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Home equity</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228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6"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71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299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87,972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88,271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shd w:fill="FFFFFF" w:val="clear"/>
            <w:vAlign w:val="center"/>
          </w:tcPr>
          <w:p>
            <w:pPr>
              <w:pStyle w:val="TableContents"/>
              <w:bidi w:val="0"/>
              <w:spacing w:before="0" w:after="0"/>
              <w:ind w:left="0" w:right="0" w:hanging="0"/>
              <w:jc w:val="left"/>
              <w:rPr/>
            </w:pPr>
            <w:r>
              <w:rPr/>
              <w:t>​</w:t>
            </w:r>
          </w:p>
        </w:tc>
        <w:tc>
          <w:tcPr>
            <w:tcW w:w="7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390</w:t>
            </w:r>
          </w:p>
        </w:tc>
        <w:tc>
          <w:tcPr>
            <w:tcW w:w="26" w:type="dxa"/>
            <w:tcBorders/>
            <w:shd w:fill="FFFFFF" w:val="clear"/>
            <w:vAlign w:val="center"/>
          </w:tcPr>
          <w:p>
            <w:pPr>
              <w:pStyle w:val="TableContents"/>
              <w:bidi w:val="0"/>
              <w:spacing w:before="0" w:after="0"/>
              <w:ind w:left="0" w:right="0" w:hanging="0"/>
              <w:jc w:val="left"/>
              <w:rPr/>
            </w:pPr>
            <w:r>
              <w:rPr/>
              <w:t>​</w:t>
            </w:r>
          </w:p>
        </w:tc>
      </w:tr>
      <w:tr>
        <w:trPr/>
        <w:tc>
          <w:tcPr>
            <w:tcW w:w="4406"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Residential custom construction</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42,329</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42,329</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40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residential real estate loans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1,472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155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1,841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757,520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759,361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2,168</w:t>
            </w:r>
          </w:p>
        </w:tc>
        <w:tc>
          <w:tcPr>
            <w:tcW w:w="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406"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CONSUMER LOANS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440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Indirect home improvement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4,829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6"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1,480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8,601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517,241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20"/>
              </w:rPr>
              <w:t>525,842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shd w:fill="FFFFFF" w:val="clear"/>
            <w:vAlign w:val="center"/>
          </w:tcPr>
          <w:p>
            <w:pPr>
              <w:pStyle w:val="TableContents"/>
              <w:bidi w:val="0"/>
              <w:spacing w:before="0" w:after="0"/>
              <w:ind w:left="0" w:right="0" w:hanging="0"/>
              <w:jc w:val="left"/>
              <w:rPr/>
            </w:pPr>
            <w:r>
              <w:rPr/>
              <w:t>​</w:t>
            </w:r>
          </w:p>
        </w:tc>
        <w:tc>
          <w:tcPr>
            <w:tcW w:w="7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4,256</w:t>
            </w:r>
          </w:p>
        </w:tc>
        <w:tc>
          <w:tcPr>
            <w:tcW w:w="26" w:type="dxa"/>
            <w:tcBorders/>
            <w:shd w:fill="FFFFFF" w:val="clear"/>
            <w:vAlign w:val="center"/>
          </w:tcPr>
          <w:p>
            <w:pPr>
              <w:pStyle w:val="TableContents"/>
              <w:bidi w:val="0"/>
              <w:spacing w:before="0" w:after="0"/>
              <w:ind w:left="0" w:right="0" w:hanging="0"/>
              <w:jc w:val="left"/>
              <w:rPr/>
            </w:pPr>
            <w:r>
              <w:rPr/>
              <w:t>​</w:t>
            </w:r>
          </w:p>
        </w:tc>
      </w:tr>
      <w:tr>
        <w:trPr/>
        <w:tc>
          <w:tcPr>
            <w:tcW w:w="440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Marine</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254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69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332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67,783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68,115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454</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440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consumer</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54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82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2,947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3,029</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40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consumer loans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5,137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2,328</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1,550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9,015</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587,971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596,986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4,712</w:t>
            </w:r>
          </w:p>
        </w:tc>
        <w:tc>
          <w:tcPr>
            <w:tcW w:w="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406"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COMMERCIAL BUSINESS LOANS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6"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shd w:fill="FFFFFF" w:val="clear"/>
            <w:vAlign w:val="center"/>
          </w:tcPr>
          <w:p>
            <w:pPr>
              <w:pStyle w:val="TableContents"/>
              <w:bidi w:val="0"/>
              <w:spacing w:before="0" w:after="0"/>
              <w:ind w:left="0" w:right="0" w:hanging="0"/>
              <w:jc w:val="left"/>
              <w:rPr/>
            </w:pPr>
            <w:r>
              <w:rPr/>
              <w:t>​</w:t>
            </w:r>
          </w:p>
        </w:tc>
        <w:tc>
          <w:tcPr>
            <w:tcW w:w="725"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r>
      <w:tr>
        <w:trPr/>
        <w:tc>
          <w:tcPr>
            <w:tcW w:w="440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C&amp;I</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122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6"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580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702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300,409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20"/>
              </w:rPr>
              <w:t>301,111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shd w:fill="CCEEFF" w:val="clear"/>
            <w:vAlign w:val="center"/>
          </w:tcPr>
          <w:p>
            <w:pPr>
              <w:pStyle w:val="TableContents"/>
              <w:bidi w:val="0"/>
              <w:spacing w:before="0" w:after="0"/>
              <w:ind w:left="0" w:right="0" w:hanging="0"/>
              <w:jc w:val="left"/>
              <w:rPr/>
            </w:pPr>
            <w:r>
              <w:rPr/>
              <w:t>​</w:t>
            </w:r>
          </w:p>
        </w:tc>
        <w:tc>
          <w:tcPr>
            <w:tcW w:w="7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580</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440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Warehouse lending</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28,180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28,180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406" w:type="dxa"/>
            <w:tcBorders/>
            <w:shd w:fill="CCEEFF" w:val="clear"/>
            <w:vAlign w:val="center"/>
          </w:tcPr>
          <w:p>
            <w:pPr>
              <w:pStyle w:val="TableContents"/>
              <w:bidi w:val="0"/>
              <w:spacing w:before="0" w:after="283"/>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commercial business loans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122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580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702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328,589</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329,291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580</w:t>
            </w:r>
          </w:p>
        </w:tc>
        <w:tc>
          <w:tcPr>
            <w:tcW w:w="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40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loans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7,318</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2,542</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12,365</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22,225</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2,632,884</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rStyle w:val="Emphasis"/>
                <w:rFonts w:ascii="Times New Roman" w:hAnsi="Times New Roman"/>
                <w:sz w:val="20"/>
              </w:rPr>
              <w:t>2,655,109</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2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18,745</w:t>
            </w:r>
          </w:p>
        </w:tc>
        <w:tc>
          <w:tcPr>
            <w:tcW w:w="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4840" w:type="dxa"/>
        <w:jc w:val="left"/>
        <w:tblInd w:w="0" w:type="dxa"/>
        <w:tblLayout w:type="fixed"/>
        <w:tblCellMar>
          <w:top w:w="0" w:type="dxa"/>
          <w:left w:w="0" w:type="dxa"/>
          <w:bottom w:w="0" w:type="dxa"/>
          <w:right w:w="0" w:type="dxa"/>
        </w:tblCellMar>
      </w:tblPr>
      <w:tblGrid>
        <w:gridCol w:w="60"/>
        <w:gridCol w:w="245"/>
        <w:gridCol w:w="4535"/>
      </w:tblGrid>
      <w:tr>
        <w:trPr/>
        <w:tc>
          <w:tcPr>
            <w:tcW w:w="60" w:type="dxa"/>
            <w:tcBorders/>
            <w:vAlign w:val="center"/>
          </w:tcPr>
          <w:p>
            <w:pPr>
              <w:pStyle w:val="TableContents"/>
              <w:bidi w:val="0"/>
              <w:spacing w:before="0" w:after="0"/>
              <w:ind w:left="0" w:right="0" w:hanging="0"/>
              <w:jc w:val="left"/>
              <w:rPr/>
            </w:pPr>
            <w:r>
              <w:rPr/>
              <w:t> </w:t>
            </w:r>
          </w:p>
        </w:tc>
        <w:tc>
          <w:tcPr>
            <w:tcW w:w="24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4535"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 xml:space="preserve">Includes loans less than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past due, as applicable.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There were no loans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or more past due and still accruing interest at both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There were $776,000 and $156,000 in residential real estate loans in the process of foreclosure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respectively.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Credit Quality Indicators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part of the Company’s ongoing monitoring of the credit quality of the loan portfolio, management tracks certain credit quality indicators including trends related to (i) the risk grading of loans, (ii) the level of classified loans, (iii) net charge-offs, (iv) nonperforming loans, and (v) the general economic conditions in the Company’s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utilizes a risk grading matrix to assign a risk grade to its real estate and commercial business loans. Loans are graded on a scale of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with loans in risk grades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6</w:t>
      </w:r>
      <w:r>
        <w:rPr>
          <w:rFonts w:ascii="Times New Roman" w:hAnsi="Times New Roman"/>
          <w:caps w:val="false"/>
          <w:smallCaps w:val="false"/>
          <w:sz w:val="20"/>
        </w:rPr>
        <w:t xml:space="preserve"> reported as “Pass” and loans in risk grades </w:t>
      </w:r>
      <w:r>
        <w:rPr>
          <w:rStyle w:val="Emphasis"/>
          <w:rFonts w:ascii="Times New Roman" w:hAnsi="Times New Roman"/>
          <w:caps w:val="false"/>
          <w:smallCaps w:val="false"/>
          <w:sz w:val="20"/>
        </w:rPr>
        <w:t>7</w:t>
      </w:r>
      <w:r>
        <w:rPr>
          <w:rFonts w:ascii="Times New Roman" w:hAnsi="Times New Roman"/>
          <w:caps w:val="false"/>
          <w:smallCaps w:val="false"/>
          <w:sz w:val="20"/>
        </w:rPr>
        <w:t xml:space="preserve"> to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reported as classified loans in the Company’s ACL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A description of the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risk grades is as follows:</w:t>
      </w:r>
    </w:p>
    <w:p>
      <w:pPr>
        <w:pStyle w:val="TextBody"/>
        <w:bidi w:val="0"/>
        <w:spacing w:before="0" w:after="0"/>
        <w:ind w:left="0" w:right="0" w:hanging="0"/>
        <w:jc w:val="left"/>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0"/>
        <w:gridCol w:w="170"/>
        <w:gridCol w:w="960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605" w:type="dxa"/>
            <w:tcBorders/>
            <w:vAlign w:val="center"/>
          </w:tcPr>
          <w:p>
            <w:pPr>
              <w:pStyle w:val="TableContents"/>
              <w:bidi w:val="0"/>
              <w:spacing w:before="0" w:after="0"/>
              <w:ind w:left="0" w:right="0" w:hanging="0"/>
              <w:jc w:val="both"/>
              <w:rPr/>
            </w:pPr>
            <w:r>
              <w:rPr>
                <w:rFonts w:ascii="Times New Roman" w:hAnsi="Times New Roman"/>
                <w:i/>
                <w:caps w:val="false"/>
                <w:smallCaps w:val="false"/>
                <w:sz w:val="20"/>
              </w:rPr>
              <w:t xml:space="preserve">Grades </w:t>
            </w:r>
            <w:r>
              <w:rPr>
                <w:rStyle w:val="Emphasis"/>
                <w:rFonts w:ascii="Times New Roman" w:hAnsi="Times New Roman"/>
                <w:i/>
                <w:caps w:val="false"/>
                <w:smallCaps w:val="false"/>
                <w:sz w:val="20"/>
              </w:rPr>
              <w:t>1</w:t>
            </w:r>
            <w:r>
              <w:rPr>
                <w:rFonts w:ascii="Times New Roman" w:hAnsi="Times New Roman"/>
                <w:i/>
                <w:caps w:val="false"/>
                <w:smallCaps w:val="false"/>
                <w:sz w:val="20"/>
              </w:rPr>
              <w:t xml:space="preserve"> and </w:t>
            </w:r>
            <w:r>
              <w:rPr>
                <w:rStyle w:val="Emphasis"/>
                <w:rFonts w:ascii="Times New Roman" w:hAnsi="Times New Roman"/>
                <w:i/>
                <w:caps w:val="false"/>
                <w:smallCaps w:val="false"/>
                <w:sz w:val="20"/>
              </w:rPr>
              <w:t>2</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These grades include loans to very high-quality borrowers with excellent or desirable business credit.</w:t>
            </w:r>
          </w:p>
        </w:tc>
      </w:tr>
    </w:tbl>
    <w:p>
      <w:pPr>
        <w:pStyle w:val="TextBody"/>
        <w:bidi w:val="0"/>
        <w:spacing w:before="0" w:after="0"/>
        <w:ind w:left="0" w:right="0" w:hanging="0"/>
        <w:jc w:val="left"/>
        <w:rPr>
          <w:caps w:val="false"/>
          <w:smallCaps w:val="false"/>
        </w:rPr>
      </w:pPr>
      <w:r>
        <w:rPr>
          <w:caps w:val="false"/>
          <w:smallCaps w:val="false"/>
        </w:rPr>
        <w:t> </w:t>
      </w:r>
    </w:p>
    <w:tbl>
      <w:tblPr>
        <w:tblW w:w="7690" w:type="dxa"/>
        <w:jc w:val="left"/>
        <w:tblInd w:w="0" w:type="dxa"/>
        <w:tblLayout w:type="fixed"/>
        <w:tblCellMar>
          <w:top w:w="0" w:type="dxa"/>
          <w:left w:w="0" w:type="dxa"/>
          <w:bottom w:w="0" w:type="dxa"/>
          <w:right w:w="0" w:type="dxa"/>
        </w:tblCellMar>
      </w:tblPr>
      <w:tblGrid>
        <w:gridCol w:w="60"/>
        <w:gridCol w:w="170"/>
        <w:gridCol w:w="746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7460" w:type="dxa"/>
            <w:tcBorders/>
            <w:vAlign w:val="center"/>
          </w:tcPr>
          <w:p>
            <w:pPr>
              <w:pStyle w:val="TableContents"/>
              <w:bidi w:val="0"/>
              <w:spacing w:before="0" w:after="0"/>
              <w:ind w:left="0" w:right="0" w:hanging="0"/>
              <w:jc w:val="both"/>
              <w:rPr/>
            </w:pPr>
            <w:r>
              <w:rPr>
                <w:rFonts w:ascii="Times New Roman" w:hAnsi="Times New Roman"/>
                <w:i/>
                <w:caps w:val="false"/>
                <w:smallCaps w:val="false"/>
                <w:sz w:val="20"/>
              </w:rPr>
              <w:t xml:space="preserve">Grade </w:t>
            </w:r>
            <w:r>
              <w:rPr>
                <w:rStyle w:val="Emphasis"/>
                <w:rFonts w:ascii="Times New Roman" w:hAnsi="Times New Roman"/>
                <w:i/>
                <w:caps w:val="false"/>
                <w:smallCaps w:val="false"/>
                <w:sz w:val="20"/>
              </w:rPr>
              <w:t>3</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This grade includes loans to borrowers of good business credit with moderate risk.</w:t>
            </w:r>
          </w:p>
        </w:tc>
      </w:tr>
    </w:tbl>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60"/>
        <w:gridCol w:w="170"/>
        <w:gridCol w:w="8480"/>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8480" w:type="dxa"/>
            <w:tcBorders/>
            <w:vAlign w:val="center"/>
          </w:tcPr>
          <w:p>
            <w:pPr>
              <w:pStyle w:val="TableContents"/>
              <w:bidi w:val="0"/>
              <w:spacing w:before="0" w:after="0"/>
              <w:ind w:left="0" w:right="0" w:hanging="0"/>
              <w:jc w:val="both"/>
              <w:rPr/>
            </w:pPr>
            <w:r>
              <w:rPr>
                <w:rFonts w:ascii="Times New Roman" w:hAnsi="Times New Roman"/>
                <w:i/>
                <w:caps w:val="false"/>
                <w:smallCaps w:val="false"/>
                <w:sz w:val="20"/>
              </w:rPr>
              <w:t xml:space="preserve">Grades </w:t>
            </w:r>
            <w:r>
              <w:rPr>
                <w:rStyle w:val="Emphasis"/>
                <w:rFonts w:ascii="Times New Roman" w:hAnsi="Times New Roman"/>
                <w:i/>
                <w:caps w:val="false"/>
                <w:smallCaps w:val="false"/>
                <w:sz w:val="20"/>
              </w:rPr>
              <w:t>4</w:t>
            </w:r>
            <w:r>
              <w:rPr>
                <w:rFonts w:ascii="Times New Roman" w:hAnsi="Times New Roman"/>
                <w:i/>
                <w:caps w:val="false"/>
                <w:smallCaps w:val="false"/>
                <w:sz w:val="20"/>
              </w:rPr>
              <w:t xml:space="preserve"> and </w:t>
            </w:r>
            <w:r>
              <w:rPr>
                <w:rStyle w:val="Emphasis"/>
                <w:rFonts w:ascii="Times New Roman" w:hAnsi="Times New Roman"/>
                <w:i/>
                <w:caps w:val="false"/>
                <w:smallCaps w:val="false"/>
                <w:sz w:val="20"/>
              </w:rPr>
              <w:t>5</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These grades include “Pass” grade loans to borrowers of average credit quality and risk.</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i/>
                <w:caps w:val="false"/>
                <w:smallCaps w:val="false"/>
                <w:sz w:val="20"/>
              </w:rPr>
              <w:t xml:space="preserve">Grade </w:t>
            </w:r>
            <w:r>
              <w:rPr>
                <w:rStyle w:val="Emphasis"/>
                <w:rFonts w:ascii="Times New Roman" w:hAnsi="Times New Roman"/>
                <w:i/>
                <w:caps w:val="false"/>
                <w:smallCaps w:val="false"/>
                <w:sz w:val="20"/>
              </w:rPr>
              <w:t>6</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This grade includes loans on management’s “Watch” list and is intended to be utilized on a temporary basis for “Pass” grade borrowers where frequent and thorough monitoring is required due to credit weaknesses and where significant risk-modifying action is anticipated in the near term.</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i/>
                <w:caps w:val="false"/>
                <w:smallCaps w:val="false"/>
                <w:sz w:val="20"/>
              </w:rPr>
              <w:t xml:space="preserve">Grade </w:t>
            </w:r>
            <w:r>
              <w:rPr>
                <w:rStyle w:val="Emphasis"/>
                <w:rFonts w:ascii="Times New Roman" w:hAnsi="Times New Roman"/>
                <w:i/>
                <w:caps w:val="false"/>
                <w:smallCaps w:val="false"/>
                <w:sz w:val="20"/>
              </w:rPr>
              <w:t>7</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This grade is for “Other Assets Especially Mentioned” (“OAEM”) or “Special Mention” loans in accordance with regulatory guidelines and includes borrowers where performance is poor or significantly less than expected.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i/>
                <w:caps w:val="false"/>
                <w:smallCaps w:val="false"/>
                <w:sz w:val="20"/>
              </w:rPr>
              <w:t xml:space="preserve">Grade </w:t>
            </w:r>
            <w:r>
              <w:rPr>
                <w:rStyle w:val="Emphasis"/>
                <w:rFonts w:ascii="Times New Roman" w:hAnsi="Times New Roman"/>
                <w:i/>
                <w:caps w:val="false"/>
                <w:smallCaps w:val="false"/>
                <w:sz w:val="20"/>
              </w:rPr>
              <w:t>8</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xml:space="preserve"> This grade includes “Substandard” loans in accordance with regulatory guidelines which represent an unacceptable business credit where a loss is possible if loan weakness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corrected.</w:t>
            </w:r>
          </w:p>
        </w:tc>
      </w:tr>
    </w:tbl>
    <w:p>
      <w:pPr>
        <w:pStyle w:val="TextBody"/>
        <w:bidi w:val="0"/>
        <w:spacing w:before="0" w:after="0"/>
        <w:ind w:left="0" w:right="0" w:hanging="0"/>
        <w:jc w:val="left"/>
        <w:rPr>
          <w:caps w:val="false"/>
          <w:smallCaps w:val="false"/>
        </w:rPr>
      </w:pPr>
      <w:r>
        <w:rPr>
          <w:caps w:val="false"/>
          <w:smallCaps w:val="false"/>
        </w:rPr>
        <w:t> </w:t>
      </w:r>
    </w:p>
    <w:tbl>
      <w:tblPr>
        <w:tblW w:w="10045" w:type="dxa"/>
        <w:jc w:val="left"/>
        <w:tblInd w:w="0" w:type="dxa"/>
        <w:tblLayout w:type="fixed"/>
        <w:tblCellMar>
          <w:top w:w="0" w:type="dxa"/>
          <w:left w:w="0" w:type="dxa"/>
          <w:bottom w:w="0" w:type="dxa"/>
          <w:right w:w="0" w:type="dxa"/>
        </w:tblCellMar>
      </w:tblPr>
      <w:tblGrid>
        <w:gridCol w:w="60"/>
        <w:gridCol w:w="170"/>
        <w:gridCol w:w="981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15" w:type="dxa"/>
            <w:tcBorders/>
            <w:vAlign w:val="center"/>
          </w:tcPr>
          <w:p>
            <w:pPr>
              <w:pStyle w:val="TableContents"/>
              <w:bidi w:val="0"/>
              <w:spacing w:before="0" w:after="0"/>
              <w:ind w:left="0" w:right="0" w:hanging="0"/>
              <w:jc w:val="both"/>
              <w:rPr/>
            </w:pPr>
            <w:r>
              <w:rPr>
                <w:rFonts w:ascii="Times New Roman" w:hAnsi="Times New Roman"/>
                <w:i/>
                <w:caps w:val="false"/>
                <w:smallCaps w:val="false"/>
                <w:sz w:val="20"/>
              </w:rPr>
              <w:t xml:space="preserve">Grade </w:t>
            </w:r>
            <w:r>
              <w:rPr>
                <w:rStyle w:val="Emphasis"/>
                <w:rFonts w:ascii="Times New Roman" w:hAnsi="Times New Roman"/>
                <w:i/>
                <w:caps w:val="false"/>
                <w:smallCaps w:val="false"/>
                <w:sz w:val="20"/>
              </w:rPr>
              <w:t>9</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This grade includes “Doubtful” loans in accordance with regulatory guidelines where a loss is highly probable.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 w:hAnsi="Times New Roman"/>
                <w:i/>
                <w:caps w:val="false"/>
                <w:smallCaps w:val="false"/>
                <w:sz w:val="20"/>
              </w:rPr>
              <w:t xml:space="preserve">Grade </w:t>
            </w:r>
            <w:r>
              <w:rPr>
                <w:rStyle w:val="Emphasis"/>
                <w:rFonts w:ascii="Times New Roman" w:hAnsi="Times New Roman"/>
                <w:i/>
                <w:caps w:val="false"/>
                <w:smallCaps w:val="false"/>
                <w:sz w:val="20"/>
              </w:rPr>
              <w:t>10</w:t>
            </w:r>
            <w:r>
              <w:rPr>
                <w:rFonts w:ascii="Times New Roman" w:hAnsi="Times New Roman"/>
                <w:caps w:val="false"/>
                <w:smallCaps w:val="false"/>
                <w:sz w:val="20"/>
              </w:rPr>
              <w:t> </w:t>
            </w:r>
            <w:r>
              <w:rPr>
                <w:rFonts w:ascii="Times New Roman" w:hAnsi="Times New Roman"/>
                <w:i/>
                <w:caps w:val="false"/>
                <w:smallCaps w:val="false"/>
                <w:sz w:val="20"/>
              </w:rPr>
              <w:t>-</w:t>
            </w:r>
            <w:r>
              <w:rPr>
                <w:rFonts w:ascii="Times New Roman" w:hAnsi="Times New Roman"/>
                <w:caps w:val="false"/>
                <w:smallCaps w:val="false"/>
                <w:sz w:val="20"/>
              </w:rPr>
              <w:t> This grade includes “Loss” loans in accordance with regulatory guidelines for which total loss is expected and when identified are charged off.</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Homogeneous loans are risk rated based upon the Federal Financial Institutions Examination Council’s Uniform Retail Credit Classification and Account Management Policy. Loans classified under this policy at the Company are consumer loans which include indirect home improvement, solar, marine, other consumer, and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liens. Under the Uniform Retail Credit Classification and Account Management Policy, loans that are current or less than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past due are graded “Pass” and risk rated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or </w:t>
      </w:r>
      <w:r>
        <w:rPr>
          <w:rStyle w:val="Emphasis"/>
          <w:rFonts w:ascii="Times New Roman" w:hAnsi="Times New Roman"/>
          <w:caps w:val="false"/>
          <w:smallCaps w:val="false"/>
          <w:sz w:val="20"/>
        </w:rPr>
        <w:t>“5”</w:t>
      </w:r>
      <w:r>
        <w:rPr>
          <w:rFonts w:ascii="Times New Roman" w:hAnsi="Times New Roman"/>
          <w:caps w:val="false"/>
          <w:smallCaps w:val="false"/>
          <w:sz w:val="20"/>
        </w:rPr>
        <w:t xml:space="preserve"> internally. Loans that are past due more than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are classified “Substandard” and risk graded </w:t>
      </w:r>
      <w:r>
        <w:rPr>
          <w:rStyle w:val="Emphasis"/>
          <w:rFonts w:ascii="Times New Roman" w:hAnsi="Times New Roman"/>
          <w:caps w:val="false"/>
          <w:smallCaps w:val="false"/>
          <w:sz w:val="20"/>
        </w:rPr>
        <w:t>“8”</w:t>
      </w:r>
      <w:r>
        <w:rPr>
          <w:rFonts w:ascii="Times New Roman" w:hAnsi="Times New Roman"/>
          <w:caps w:val="false"/>
          <w:smallCaps w:val="false"/>
          <w:sz w:val="20"/>
        </w:rPr>
        <w:t xml:space="preserve"> internally until the loan has demonstrated consistent performance, typically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of contractual payments. Closed-end loans that are </w:t>
      </w:r>
      <w:r>
        <w:rPr>
          <w:rStyle w:val="Emphasis"/>
          <w:rFonts w:ascii="Times New Roman" w:hAnsi="Times New Roman"/>
          <w:caps w:val="false"/>
          <w:smallCaps w:val="false"/>
          <w:sz w:val="20"/>
        </w:rPr>
        <w:t>120</w:t>
      </w:r>
      <w:r>
        <w:rPr>
          <w:rFonts w:ascii="Times New Roman" w:hAnsi="Times New Roman"/>
          <w:caps w:val="false"/>
          <w:smallCaps w:val="false"/>
          <w:sz w:val="20"/>
        </w:rPr>
        <w:t xml:space="preserve"> days past due and open-end loans that are </w:t>
      </w:r>
      <w:r>
        <w:rPr>
          <w:rStyle w:val="Emphasis"/>
          <w:rFonts w:ascii="Times New Roman" w:hAnsi="Times New Roman"/>
          <w:caps w:val="false"/>
          <w:smallCaps w:val="false"/>
          <w:sz w:val="20"/>
        </w:rPr>
        <w:t>180</w:t>
      </w:r>
      <w:r>
        <w:rPr>
          <w:rFonts w:ascii="Times New Roman" w:hAnsi="Times New Roman"/>
          <w:caps w:val="false"/>
          <w:smallCaps w:val="false"/>
          <w:sz w:val="20"/>
        </w:rPr>
        <w:t xml:space="preserve"> days past due are charged off based on the value of the collateral less cost to sell. Management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choose to conservatively risk rate credits even if they are paying in accordance with the loan’s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CRE (owner occupied, non-owner occupied, commercial construction and development, and multi-family) and commercial business loans are evaluated individually for their risk classification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classified as “Substandard” even if current on their loan payment obligations. The Company regularly reviews credits for accuracy of risk grades whenever we receive new information. Borrowers are generally required to submit financial information at regular intervals. Typically, commercial borrowers with lines of credit are required to submit financial information with reporting intervals ranging from monthly to annually depending on credit size, risk, and complexity. In addition, non-owner-occupied CRE borrowers with loans exceeding a certain dollar threshold are usually required to submit rent rolls or property income statements annually. We monitor construction loans monthly. We also review loans graded “Watch” or worse, regardless of loan type,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less than quarterly.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tables summarize risk rated loan balances and total current period gross charge-offs by category, as of the dates indicated. Term loans that were renewed or extended for periods longer than </w:t>
      </w:r>
      <w:r>
        <w:rPr>
          <w:rStyle w:val="Emphasis"/>
          <w:rFonts w:ascii="Times New Roman" w:hAnsi="Times New Roman"/>
          <w:caps w:val="false"/>
          <w:smallCaps w:val="false"/>
          <w:sz w:val="20"/>
        </w:rPr>
        <w:t>90</w:t>
      </w:r>
      <w:r>
        <w:rPr>
          <w:rFonts w:ascii="Times New Roman" w:hAnsi="Times New Roman"/>
          <w:caps w:val="false"/>
          <w:smallCaps w:val="false"/>
          <w:sz w:val="20"/>
        </w:rPr>
        <w:t xml:space="preserve"> days are presented as new originations in the year of the most recent renewal or extension.</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351"/>
        <w:gridCol w:w="23"/>
        <w:gridCol w:w="110"/>
        <w:gridCol w:w="605"/>
        <w:gridCol w:w="23"/>
        <w:gridCol w:w="23"/>
        <w:gridCol w:w="110"/>
        <w:gridCol w:w="605"/>
        <w:gridCol w:w="23"/>
        <w:gridCol w:w="23"/>
        <w:gridCol w:w="110"/>
        <w:gridCol w:w="515"/>
        <w:gridCol w:w="23"/>
        <w:gridCol w:w="23"/>
        <w:gridCol w:w="110"/>
        <w:gridCol w:w="515"/>
        <w:gridCol w:w="23"/>
        <w:gridCol w:w="23"/>
        <w:gridCol w:w="110"/>
        <w:gridCol w:w="605"/>
        <w:gridCol w:w="23"/>
        <w:gridCol w:w="23"/>
        <w:gridCol w:w="110"/>
        <w:gridCol w:w="605"/>
        <w:gridCol w:w="23"/>
        <w:gridCol w:w="23"/>
        <w:gridCol w:w="152"/>
        <w:gridCol w:w="588"/>
        <w:gridCol w:w="23"/>
        <w:gridCol w:w="23"/>
        <w:gridCol w:w="220"/>
        <w:gridCol w:w="520"/>
        <w:gridCol w:w="23"/>
        <w:gridCol w:w="23"/>
        <w:gridCol w:w="110"/>
        <w:gridCol w:w="740"/>
        <w:gridCol w:w="23"/>
      </w:tblGrid>
      <w:tr>
        <w:trPr/>
        <w:tc>
          <w:tcPr>
            <w:tcW w:w="3351"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6808" w:type="dxa"/>
            <w:gridSpan w:val="3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June 30, 2026</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351"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4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Revolving</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r>
      <w:tr>
        <w:trPr/>
        <w:tc>
          <w:tcPr>
            <w:tcW w:w="3351"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2" w:type="dxa"/>
            <w:tcBorders/>
            <w:vAlign w:val="center"/>
          </w:tcPr>
          <w:p>
            <w:pPr>
              <w:pStyle w:val="TableContents"/>
              <w:bidi w:val="0"/>
              <w:spacing w:before="0" w:after="0"/>
              <w:ind w:left="0" w:right="0" w:hanging="0"/>
              <w:jc w:val="left"/>
              <w:rPr/>
            </w:pPr>
            <w:r>
              <w:rPr/>
              <w:t>​</w:t>
            </w:r>
          </w:p>
        </w:tc>
        <w:tc>
          <w:tcPr>
            <w:tcW w:w="588"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4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Loans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r>
      <w:tr>
        <w:trPr/>
        <w:tc>
          <w:tcPr>
            <w:tcW w:w="3351" w:type="dxa"/>
            <w:tcBorders/>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CRE LOANS</w:t>
            </w:r>
          </w:p>
        </w:tc>
        <w:tc>
          <w:tcPr>
            <w:tcW w:w="23" w:type="dxa"/>
            <w:tcBorders/>
            <w:vAlign w:val="center"/>
          </w:tcPr>
          <w:p>
            <w:pPr>
              <w:pStyle w:val="TableContents"/>
              <w:bidi w:val="0"/>
              <w:spacing w:before="0" w:after="0"/>
              <w:ind w:left="0" w:right="0" w:hanging="0"/>
              <w:jc w:val="left"/>
              <w:rPr/>
            </w:pPr>
            <w:r>
              <w:rPr/>
              <w:t>​</w:t>
            </w:r>
          </w:p>
        </w:tc>
        <w:tc>
          <w:tcPr>
            <w:tcW w:w="4340"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Term Loans by Year of Origination</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4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Revolving</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4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Converted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5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Total</w:t>
            </w:r>
          </w:p>
        </w:tc>
        <w:tc>
          <w:tcPr>
            <w:tcW w:w="23" w:type="dxa"/>
            <w:tcBorders/>
            <w:vAlign w:val="center"/>
          </w:tcPr>
          <w:p>
            <w:pPr>
              <w:pStyle w:val="TableContents"/>
              <w:bidi w:val="0"/>
              <w:spacing w:before="0" w:after="0"/>
              <w:ind w:left="0" w:right="0" w:hanging="0"/>
              <w:jc w:val="left"/>
              <w:rPr/>
            </w:pPr>
            <w:r>
              <w:rPr/>
              <w:t>​</w:t>
            </w:r>
          </w:p>
        </w:tc>
      </w:tr>
      <w:tr>
        <w:trPr/>
        <w:tc>
          <w:tcPr>
            <w:tcW w:w="3351" w:type="dxa"/>
            <w:tcBorders/>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CRE owner occupied</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2026</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2024</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2023</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2022</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Prior</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Loans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to Term</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Loans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35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Pass</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19,643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37,229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3,904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14,333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39,844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35,763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88"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4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150,716</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35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Watch</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51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4,048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849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21,082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shd w:fill="FFFFFF" w:val="clear"/>
            <w:vAlign w:val="center"/>
          </w:tcPr>
          <w:p>
            <w:pPr>
              <w:pStyle w:val="TableContents"/>
              <w:bidi w:val="0"/>
              <w:spacing w:before="0" w:after="0"/>
              <w:ind w:left="0" w:right="0" w:hanging="0"/>
              <w:jc w:val="left"/>
              <w:rPr/>
            </w:pPr>
            <w:r>
              <w:rPr/>
              <w:t>​</w:t>
            </w:r>
          </w:p>
        </w:tc>
        <w:tc>
          <w:tcPr>
            <w:tcW w:w="588"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0" w:type="dxa"/>
            <w:tcBorders/>
            <w:shd w:fill="FFFFFF" w:val="clear"/>
            <w:vAlign w:val="center"/>
          </w:tcPr>
          <w:p>
            <w:pPr>
              <w:pStyle w:val="TableContents"/>
              <w:bidi w:val="0"/>
              <w:spacing w:before="0" w:after="0"/>
              <w:ind w:left="0" w:right="0" w:hanging="0"/>
              <w:jc w:val="left"/>
              <w:rPr/>
            </w:pPr>
            <w:r>
              <w:rPr/>
              <w:t>​</w:t>
            </w:r>
          </w:p>
        </w:tc>
        <w:tc>
          <w:tcPr>
            <w:tcW w:w="52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26,081</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351"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16"/>
              </w:rPr>
            </w:pPr>
            <w:r>
              <w:rPr>
                <w:rFonts w:ascii="Times New Roman" w:hAnsi="Times New Roman"/>
                <w:caps w:val="false"/>
                <w:smallCaps w:val="false"/>
                <w:sz w:val="16"/>
              </w:rPr>
              <w:t>Special mention</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5,872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6,125</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35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Substandard</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600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614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1,214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351"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Total CRE owner occupied</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19,745</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37,229</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4,757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24,253</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40,693</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57,459</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184,136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351"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CRE non-owner occupied</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51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51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shd w:fill="FFFFFF" w:val="clear"/>
            <w:vAlign w:val="center"/>
          </w:tcPr>
          <w:p>
            <w:pPr>
              <w:pStyle w:val="TableContents"/>
              <w:bidi w:val="0"/>
              <w:spacing w:before="0" w:after="0"/>
              <w:ind w:left="0" w:right="0" w:hanging="0"/>
              <w:jc w:val="left"/>
              <w:rPr/>
            </w:pPr>
            <w:r>
              <w:rPr/>
              <w:t>​</w:t>
            </w:r>
          </w:p>
        </w:tc>
        <w:tc>
          <w:tcPr>
            <w:tcW w:w="588"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0" w:type="dxa"/>
            <w:tcBorders/>
            <w:shd w:fill="FFFFFF" w:val="clear"/>
            <w:vAlign w:val="center"/>
          </w:tcPr>
          <w:p>
            <w:pPr>
              <w:pStyle w:val="TableContents"/>
              <w:bidi w:val="0"/>
              <w:spacing w:before="0" w:after="0"/>
              <w:ind w:left="0" w:right="0" w:hanging="0"/>
              <w:jc w:val="left"/>
              <w:rPr/>
            </w:pPr>
            <w:r>
              <w:rPr/>
              <w:t>​</w:t>
            </w:r>
          </w:p>
        </w:tc>
        <w:tc>
          <w:tcPr>
            <w:tcW w:w="52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35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Pass</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32,566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9,375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8,354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15,735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35,395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80,383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181,808</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35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Special mention</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51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51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1,336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2,092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shd w:fill="FFFFFF" w:val="clear"/>
            <w:vAlign w:val="center"/>
          </w:tcPr>
          <w:p>
            <w:pPr>
              <w:pStyle w:val="TableContents"/>
              <w:bidi w:val="0"/>
              <w:spacing w:before="0" w:after="0"/>
              <w:ind w:left="0" w:right="0" w:hanging="0"/>
              <w:jc w:val="left"/>
              <w:rPr/>
            </w:pPr>
            <w:r>
              <w:rPr/>
              <w:t>​</w:t>
            </w:r>
          </w:p>
        </w:tc>
        <w:tc>
          <w:tcPr>
            <w:tcW w:w="588"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0" w:type="dxa"/>
            <w:tcBorders/>
            <w:shd w:fill="FFFFFF" w:val="clear"/>
            <w:vAlign w:val="center"/>
          </w:tcPr>
          <w:p>
            <w:pPr>
              <w:pStyle w:val="TableContents"/>
              <w:bidi w:val="0"/>
              <w:spacing w:before="0" w:after="0"/>
              <w:ind w:left="0" w:right="0" w:hanging="0"/>
              <w:jc w:val="left"/>
              <w:rPr/>
            </w:pPr>
            <w:r>
              <w:rPr/>
              <w:t>​</w:t>
            </w:r>
          </w:p>
        </w:tc>
        <w:tc>
          <w:tcPr>
            <w:tcW w:w="52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3,428</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35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Substandard</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3,022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3,022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351"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Total CRE non-owner occupied</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32,566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9,375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8,354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18,757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36,731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82,475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188,258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351"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Commercial and speculative construction and development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0" w:type="dxa"/>
            <w:tcBorders/>
            <w:shd w:fill="CCEEFF" w:val="clear"/>
            <w:vAlign w:val="center"/>
          </w:tcPr>
          <w:p>
            <w:pPr>
              <w:pStyle w:val="TableContents"/>
              <w:bidi w:val="0"/>
              <w:spacing w:before="0" w:after="0"/>
              <w:ind w:left="0" w:right="0" w:hanging="0"/>
              <w:jc w:val="left"/>
              <w:rPr/>
            </w:pPr>
            <w:r>
              <w:rPr/>
              <w:t>​</w:t>
            </w:r>
          </w:p>
        </w:tc>
        <w:tc>
          <w:tcPr>
            <w:tcW w:w="52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35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Pass</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53,959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205,723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61,683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2,861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22,316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10,041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shd w:fill="FFFFFF" w:val="clear"/>
            <w:vAlign w:val="center"/>
          </w:tcPr>
          <w:p>
            <w:pPr>
              <w:pStyle w:val="TableContents"/>
              <w:bidi w:val="0"/>
              <w:spacing w:before="0" w:after="0"/>
              <w:ind w:left="0" w:right="0" w:hanging="0"/>
              <w:jc w:val="left"/>
              <w:rPr/>
            </w:pPr>
            <w:r>
              <w:rPr/>
              <w:t>​</w:t>
            </w:r>
          </w:p>
        </w:tc>
        <w:tc>
          <w:tcPr>
            <w:tcW w:w="588"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6,712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0" w:type="dxa"/>
            <w:tcBorders/>
            <w:shd w:fill="FFFFFF" w:val="clear"/>
            <w:vAlign w:val="center"/>
          </w:tcPr>
          <w:p>
            <w:pPr>
              <w:pStyle w:val="TableContents"/>
              <w:bidi w:val="0"/>
              <w:spacing w:before="0" w:after="0"/>
              <w:ind w:left="0" w:right="0" w:hanging="0"/>
              <w:jc w:val="left"/>
              <w:rPr/>
            </w:pPr>
            <w:r>
              <w:rPr/>
              <w:t>​</w:t>
            </w:r>
          </w:p>
        </w:tc>
        <w:tc>
          <w:tcPr>
            <w:tcW w:w="52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363,295</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35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Substandard</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1,497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5,667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7,164</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351"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Total commercial and speculative construction and development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53,959</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207,220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61,683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2,861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27,983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10,041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6,712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370,459</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351"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Commercial and speculative construction and development gross charge-offs</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2,277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2,277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351"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Multi-family</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51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51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shd w:fill="FFFFFF" w:val="clear"/>
            <w:vAlign w:val="center"/>
          </w:tcPr>
          <w:p>
            <w:pPr>
              <w:pStyle w:val="TableContents"/>
              <w:bidi w:val="0"/>
              <w:spacing w:before="0" w:after="0"/>
              <w:ind w:left="0" w:right="0" w:hanging="0"/>
              <w:jc w:val="left"/>
              <w:rPr/>
            </w:pPr>
            <w:r>
              <w:rPr/>
              <w:t>​</w:t>
            </w:r>
          </w:p>
        </w:tc>
        <w:tc>
          <w:tcPr>
            <w:tcW w:w="588"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0" w:type="dxa"/>
            <w:tcBorders/>
            <w:shd w:fill="FFFFFF" w:val="clear"/>
            <w:vAlign w:val="center"/>
          </w:tcPr>
          <w:p>
            <w:pPr>
              <w:pStyle w:val="TableContents"/>
              <w:bidi w:val="0"/>
              <w:spacing w:before="0" w:after="0"/>
              <w:ind w:left="0" w:right="0" w:hanging="0"/>
              <w:jc w:val="left"/>
              <w:rPr/>
            </w:pPr>
            <w:r>
              <w:rPr/>
              <w:t>​</w:t>
            </w:r>
          </w:p>
        </w:tc>
        <w:tc>
          <w:tcPr>
            <w:tcW w:w="52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35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Pass</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4,612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26,182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20,722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6,964</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19,731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183,926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262,137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351"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Total multi-family</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4,612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26,182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20,722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6,964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19,731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183,926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262,137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351"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Total CRE loans</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110,882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280,006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95,516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52,835</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125,138</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333,901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6,712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1,004,990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351"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Total CRE loans gross charge-offs</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2,277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2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2,277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tbl>
      <w:tblPr>
        <w:tblW w:w="9244" w:type="dxa"/>
        <w:jc w:val="left"/>
        <w:tblInd w:w="0" w:type="dxa"/>
        <w:tblLayout w:type="fixed"/>
        <w:tblCellMar>
          <w:top w:w="0" w:type="dxa"/>
          <w:left w:w="0" w:type="dxa"/>
          <w:bottom w:w="0" w:type="dxa"/>
          <w:right w:w="0" w:type="dxa"/>
        </w:tblCellMar>
      </w:tblPr>
      <w:tblGrid>
        <w:gridCol w:w="2570"/>
        <w:gridCol w:w="23"/>
        <w:gridCol w:w="110"/>
        <w:gridCol w:w="605"/>
        <w:gridCol w:w="23"/>
        <w:gridCol w:w="23"/>
        <w:gridCol w:w="110"/>
        <w:gridCol w:w="605"/>
        <w:gridCol w:w="23"/>
        <w:gridCol w:w="23"/>
        <w:gridCol w:w="110"/>
        <w:gridCol w:w="515"/>
        <w:gridCol w:w="23"/>
        <w:gridCol w:w="23"/>
        <w:gridCol w:w="110"/>
        <w:gridCol w:w="515"/>
        <w:gridCol w:w="23"/>
        <w:gridCol w:w="23"/>
        <w:gridCol w:w="110"/>
        <w:gridCol w:w="605"/>
        <w:gridCol w:w="23"/>
        <w:gridCol w:w="23"/>
        <w:gridCol w:w="110"/>
        <w:gridCol w:w="605"/>
        <w:gridCol w:w="23"/>
        <w:gridCol w:w="23"/>
        <w:gridCol w:w="124"/>
        <w:gridCol w:w="586"/>
        <w:gridCol w:w="23"/>
        <w:gridCol w:w="23"/>
        <w:gridCol w:w="199"/>
        <w:gridCol w:w="526"/>
        <w:gridCol w:w="23"/>
        <w:gridCol w:w="23"/>
        <w:gridCol w:w="110"/>
        <w:gridCol w:w="605"/>
        <w:gridCol w:w="23"/>
      </w:tblGrid>
      <w:tr>
        <w:trPr/>
        <w:tc>
          <w:tcPr>
            <w:tcW w:w="257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6628" w:type="dxa"/>
            <w:gridSpan w:val="3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June 30, 2026</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RESIDENTIAL</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4"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2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Revolving</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REAL ESTATE LOANS</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51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4" w:type="dxa"/>
            <w:tcBorders/>
            <w:vAlign w:val="center"/>
          </w:tcPr>
          <w:p>
            <w:pPr>
              <w:pStyle w:val="TableContents"/>
              <w:bidi w:val="0"/>
              <w:spacing w:before="0" w:after="0"/>
              <w:ind w:left="0" w:right="0" w:hanging="0"/>
              <w:jc w:val="left"/>
              <w:rPr/>
            </w:pPr>
            <w:r>
              <w:rPr/>
              <w:t>​</w:t>
            </w:r>
          </w:p>
        </w:tc>
        <w:tc>
          <w:tcPr>
            <w:tcW w:w="586"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2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Loans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One-to-four-family</w:t>
            </w:r>
          </w:p>
        </w:tc>
        <w:tc>
          <w:tcPr>
            <w:tcW w:w="23" w:type="dxa"/>
            <w:tcBorders/>
            <w:vAlign w:val="center"/>
          </w:tcPr>
          <w:p>
            <w:pPr>
              <w:pStyle w:val="TableContents"/>
              <w:bidi w:val="0"/>
              <w:spacing w:before="0" w:after="0"/>
              <w:ind w:left="0" w:right="0" w:hanging="0"/>
              <w:jc w:val="left"/>
              <w:rPr/>
            </w:pPr>
            <w:r>
              <w:rPr/>
              <w:t>​</w:t>
            </w:r>
          </w:p>
        </w:tc>
        <w:tc>
          <w:tcPr>
            <w:tcW w:w="4340" w:type="dxa"/>
            <w:gridSpan w:val="2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Term Loans by Year of Origination</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Revolving</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2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Converted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Total</w:t>
            </w:r>
          </w:p>
        </w:tc>
        <w:tc>
          <w:tcPr>
            <w:tcW w:w="23" w:type="dxa"/>
            <w:tcBorders/>
            <w:vAlign w:val="center"/>
          </w:tcPr>
          <w:p>
            <w:pPr>
              <w:pStyle w:val="TableContents"/>
              <w:bidi w:val="0"/>
              <w:spacing w:before="0" w:after="0"/>
              <w:ind w:left="0" w:right="0" w:hanging="0"/>
              <w:jc w:val="left"/>
              <w:rPr/>
            </w:pPr>
            <w:r>
              <w:rPr/>
              <w:t>​</w:t>
            </w:r>
          </w:p>
        </w:tc>
      </w:tr>
      <w:tr>
        <w:trPr/>
        <w:tc>
          <w:tcPr>
            <w:tcW w:w="2570" w:type="dxa"/>
            <w:tcBorders/>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(excludes loans held for sale)</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2026</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2024</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2023</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2022</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Prior</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Loans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2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to Term</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Loans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Pass</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97,196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77,136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43,436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86,062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142,095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209,522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4"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8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2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655,447</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5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Watch</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51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51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699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578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4" w:type="dxa"/>
            <w:tcBorders/>
            <w:shd w:fill="FFFFFF" w:val="clear"/>
            <w:vAlign w:val="center"/>
          </w:tcPr>
          <w:p>
            <w:pPr>
              <w:pStyle w:val="TableContents"/>
              <w:bidi w:val="0"/>
              <w:spacing w:before="0" w:after="0"/>
              <w:ind w:left="0" w:right="0" w:hanging="0"/>
              <w:jc w:val="left"/>
              <w:rPr/>
            </w:pPr>
            <w:r>
              <w:rPr/>
              <w:t>​</w:t>
            </w:r>
          </w:p>
        </w:tc>
        <w:tc>
          <w:tcPr>
            <w:tcW w:w="58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99" w:type="dxa"/>
            <w:tcBorders/>
            <w:shd w:fill="FFFFFF" w:val="clear"/>
            <w:vAlign w:val="center"/>
          </w:tcPr>
          <w:p>
            <w:pPr>
              <w:pStyle w:val="TableContents"/>
              <w:bidi w:val="0"/>
              <w:spacing w:before="0" w:after="0"/>
              <w:ind w:left="0" w:right="0" w:hanging="0"/>
              <w:jc w:val="left"/>
              <w:rPr/>
            </w:pPr>
            <w:r>
              <w:rPr/>
              <w:t>​</w:t>
            </w:r>
          </w:p>
        </w:tc>
        <w:tc>
          <w:tcPr>
            <w:tcW w:w="52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1,277</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Substandard</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668</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3,126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3,794</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2570"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Total one-to-four-family</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97,196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77,136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43,436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86,730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142,794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213,226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660,518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Home equity</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4"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5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Pass</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2,323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3,980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841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1,550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272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7,107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4" w:type="dxa"/>
            <w:tcBorders/>
            <w:shd w:fill="FFFFFF" w:val="clear"/>
            <w:vAlign w:val="center"/>
          </w:tcPr>
          <w:p>
            <w:pPr>
              <w:pStyle w:val="TableContents"/>
              <w:bidi w:val="0"/>
              <w:spacing w:before="0" w:after="0"/>
              <w:ind w:left="0" w:right="0" w:hanging="0"/>
              <w:jc w:val="left"/>
              <w:rPr/>
            </w:pPr>
            <w:r>
              <w:rPr/>
              <w:t>​</w:t>
            </w:r>
          </w:p>
        </w:tc>
        <w:tc>
          <w:tcPr>
            <w:tcW w:w="586"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70,855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99" w:type="dxa"/>
            <w:tcBorders/>
            <w:shd w:fill="FFFFFF" w:val="clear"/>
            <w:vAlign w:val="center"/>
          </w:tcPr>
          <w:p>
            <w:pPr>
              <w:pStyle w:val="TableContents"/>
              <w:bidi w:val="0"/>
              <w:spacing w:before="0" w:after="0"/>
              <w:ind w:left="0" w:right="0" w:hanging="0"/>
              <w:jc w:val="left"/>
              <w:rPr/>
            </w:pPr>
            <w:r>
              <w:rPr/>
              <w:t>​</w:t>
            </w:r>
          </w:p>
        </w:tc>
        <w:tc>
          <w:tcPr>
            <w:tcW w:w="526"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814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87,742</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Substandard</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73</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399</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472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2570" w:type="dxa"/>
            <w:tcBorders/>
            <w:shd w:fill="FFFFFF" w:val="clear"/>
            <w:vAlign w:val="center"/>
          </w:tcPr>
          <w:p>
            <w:pPr>
              <w:pStyle w:val="TableContents"/>
              <w:bidi w:val="0"/>
              <w:spacing w:before="0" w:after="283"/>
              <w:ind w:left="0" w:right="0" w:hanging="0"/>
              <w:jc w:val="left"/>
              <w:rPr>
                <w:rFonts w:ascii="Times New Roman" w:hAnsi="Times New Roman"/>
                <w:caps w:val="false"/>
                <w:smallCaps w:val="false"/>
                <w:sz w:val="16"/>
              </w:rPr>
            </w:pPr>
            <w:r>
              <w:rPr>
                <w:rFonts w:ascii="Times New Roman" w:hAnsi="Times New Roman"/>
                <w:caps w:val="false"/>
                <w:smallCaps w:val="false"/>
                <w:sz w:val="16"/>
              </w:rPr>
              <w:t>Total home equity</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2,323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3,980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841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1,550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272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7,180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71,254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814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88,214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Residential custom construction</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51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4" w:type="dxa"/>
            <w:tcBorders/>
            <w:shd w:fill="CCEEFF" w:val="clear"/>
            <w:vAlign w:val="center"/>
          </w:tcPr>
          <w:p>
            <w:pPr>
              <w:pStyle w:val="TableContents"/>
              <w:bidi w:val="0"/>
              <w:spacing w:before="0" w:after="0"/>
              <w:ind w:left="0" w:right="0" w:hanging="0"/>
              <w:jc w:val="left"/>
              <w:rPr/>
            </w:pPr>
            <w:r>
              <w:rPr/>
              <w:t>​</w:t>
            </w:r>
          </w:p>
        </w:tc>
        <w:tc>
          <w:tcPr>
            <w:tcW w:w="586"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99" w:type="dxa"/>
            <w:tcBorders/>
            <w:shd w:fill="CCEEFF" w:val="clear"/>
            <w:vAlign w:val="center"/>
          </w:tcPr>
          <w:p>
            <w:pPr>
              <w:pStyle w:val="TableContents"/>
              <w:bidi w:val="0"/>
              <w:spacing w:before="0" w:after="0"/>
              <w:ind w:left="0" w:right="0" w:hanging="0"/>
              <w:jc w:val="left"/>
              <w:rPr/>
            </w:pPr>
            <w:r>
              <w:rPr/>
              <w:t>​</w:t>
            </w:r>
          </w:p>
        </w:tc>
        <w:tc>
          <w:tcPr>
            <w:tcW w:w="526"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5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Pass</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13,596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27,372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2,377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824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596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44,765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Total residential custom construction</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13,596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27,372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2,377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824</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596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2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44,765</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2570"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Total residential real estate loans</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113,115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108,488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46,654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89,104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143,662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220,406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71,254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814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793,497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955"/>
        <w:gridCol w:w="60"/>
        <w:gridCol w:w="110"/>
        <w:gridCol w:w="515"/>
        <w:gridCol w:w="60"/>
        <w:gridCol w:w="60"/>
        <w:gridCol w:w="110"/>
        <w:gridCol w:w="605"/>
        <w:gridCol w:w="60"/>
        <w:gridCol w:w="60"/>
        <w:gridCol w:w="110"/>
        <w:gridCol w:w="515"/>
        <w:gridCol w:w="60"/>
        <w:gridCol w:w="60"/>
        <w:gridCol w:w="110"/>
        <w:gridCol w:w="515"/>
        <w:gridCol w:w="60"/>
        <w:gridCol w:w="60"/>
        <w:gridCol w:w="110"/>
        <w:gridCol w:w="605"/>
        <w:gridCol w:w="60"/>
        <w:gridCol w:w="60"/>
        <w:gridCol w:w="110"/>
        <w:gridCol w:w="605"/>
        <w:gridCol w:w="60"/>
        <w:gridCol w:w="60"/>
        <w:gridCol w:w="145"/>
        <w:gridCol w:w="565"/>
        <w:gridCol w:w="60"/>
        <w:gridCol w:w="60"/>
        <w:gridCol w:w="215"/>
        <w:gridCol w:w="510"/>
        <w:gridCol w:w="60"/>
        <w:gridCol w:w="60"/>
        <w:gridCol w:w="110"/>
        <w:gridCol w:w="605"/>
        <w:gridCol w:w="60"/>
      </w:tblGrid>
      <w:tr>
        <w:trPr/>
        <w:tc>
          <w:tcPr>
            <w:tcW w:w="29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30"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56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56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Loans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CONSUMER LOANS</w:t>
            </w:r>
          </w:p>
        </w:tc>
        <w:tc>
          <w:tcPr>
            <w:tcW w:w="60" w:type="dxa"/>
            <w:tcBorders/>
            <w:shd w:fill="FFFFFF" w:val="clear"/>
            <w:vAlign w:val="center"/>
          </w:tcPr>
          <w:p>
            <w:pPr>
              <w:pStyle w:val="TableContents"/>
              <w:bidi w:val="0"/>
              <w:spacing w:before="0" w:after="0"/>
              <w:ind w:left="0" w:right="0" w:hanging="0"/>
              <w:jc w:val="left"/>
              <w:rPr/>
            </w:pPr>
            <w:r>
              <w:rPr/>
              <w:t> </w:t>
            </w:r>
          </w:p>
        </w:tc>
        <w:tc>
          <w:tcPr>
            <w:tcW w:w="4680" w:type="dxa"/>
            <w:gridSpan w:val="23"/>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sz w:val="16"/>
              </w:rPr>
              <w:t>Term Loans by Year of Origination</w:t>
            </w:r>
          </w:p>
        </w:tc>
        <w:tc>
          <w:tcPr>
            <w:tcW w:w="60" w:type="dxa"/>
            <w:tcBorders/>
            <w:shd w:fill="FFFFFF" w:val="clear"/>
            <w:vAlign w:val="center"/>
          </w:tcPr>
          <w:p>
            <w:pPr>
              <w:pStyle w:val="TableContents"/>
              <w:bidi w:val="0"/>
              <w:spacing w:before="0" w:after="0"/>
              <w:ind w:left="0" w:right="0" w:hanging="0"/>
              <w:jc w:val="left"/>
              <w:rPr/>
            </w:pPr>
            <w:r>
              <w:rPr/>
              <w:t> </w:t>
            </w:r>
          </w:p>
        </w:tc>
        <w:tc>
          <w:tcPr>
            <w:tcW w:w="710"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Revolving</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Converted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Total</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Indirect home improvement</w:t>
            </w:r>
          </w:p>
        </w:tc>
        <w:tc>
          <w:tcPr>
            <w:tcW w:w="60" w:type="dxa"/>
            <w:tcBorders/>
            <w:shd w:fill="FFFFFF" w:val="clear"/>
            <w:vAlign w:val="center"/>
          </w:tcPr>
          <w:p>
            <w:pPr>
              <w:pStyle w:val="TableContents"/>
              <w:bidi w:val="0"/>
              <w:spacing w:before="0" w:after="0"/>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47,233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93,459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56,449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89,175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116,057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94,979</w:t>
            </w:r>
          </w:p>
        </w:tc>
        <w:tc>
          <w:tcPr>
            <w:tcW w:w="60" w:type="dxa"/>
            <w:tcBorders/>
            <w:shd w:fill="CCEEFF" w:val="cle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497,352</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948</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4,799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indirect home improvement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47,287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94,145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57,397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90,100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117,387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95,835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502,151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Indirect home improvement gross charge-offs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48</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793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861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849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4,516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Marine</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p>
        </w:tc>
        <w:tc>
          <w:tcPr>
            <w:tcW w:w="5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 </w:t>
            </w:r>
          </w:p>
        </w:tc>
        <w:tc>
          <w:tcPr>
            <w:tcW w:w="51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5,942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6,787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9,246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8,839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15,496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20,025</w:t>
            </w:r>
          </w:p>
        </w:tc>
        <w:tc>
          <w:tcPr>
            <w:tcW w:w="6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shd w:fill="FFFFFF" w:val="clear"/>
            <w:vAlign w:val="center"/>
          </w:tcPr>
          <w:p>
            <w:pPr>
              <w:pStyle w:val="TableContents"/>
              <w:bidi w:val="0"/>
              <w:spacing w:before="0" w:after="0"/>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66,335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9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marine</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5,942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6,787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9,301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8,839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15,606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20,466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66,941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Marine gross charge-offs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consumer</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5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shd w:fill="FFFFFF" w:val="clear"/>
            <w:vAlign w:val="center"/>
          </w:tcPr>
          <w:p>
            <w:pPr>
              <w:pStyle w:val="TableContents"/>
              <w:bidi w:val="0"/>
              <w:spacing w:before="0" w:after="0"/>
              <w:ind w:left="0" w:right="0" w:hanging="0"/>
              <w:jc w:val="left"/>
              <w:rPr/>
            </w:pPr>
            <w:r>
              <w:rPr/>
              <w:t> </w:t>
            </w:r>
          </w:p>
        </w:tc>
        <w:tc>
          <w:tcPr>
            <w:tcW w:w="51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9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w:t>
            </w:r>
          </w:p>
        </w:tc>
        <w:tc>
          <w:tcPr>
            <w:tcW w:w="60" w:type="dxa"/>
            <w:tcBorders/>
            <w:shd w:fill="CCEEFF" w:val="cle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2,251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4,092</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other consumer</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109</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2,261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4,111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consumer gross charge-offs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consumer loans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54,679</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101,114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66,742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98,958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133,039</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116,410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2,261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573,203</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consumer loans gross charge-offs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805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869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1,065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4,743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545"/>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10"/>
        <w:gridCol w:w="605"/>
        <w:gridCol w:w="60"/>
        <w:gridCol w:w="60"/>
        <w:gridCol w:w="148"/>
        <w:gridCol w:w="577"/>
        <w:gridCol w:w="60"/>
        <w:gridCol w:w="60"/>
        <w:gridCol w:w="110"/>
        <w:gridCol w:w="740"/>
        <w:gridCol w:w="60"/>
      </w:tblGrid>
      <w:tr>
        <w:trPr/>
        <w:tc>
          <w:tcPr>
            <w:tcW w:w="25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540"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June 30, 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Revolving</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COMMERCIAL</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Loans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BUSINESS LOANS</w:t>
            </w:r>
          </w:p>
        </w:tc>
        <w:tc>
          <w:tcPr>
            <w:tcW w:w="60" w:type="dxa"/>
            <w:tcBorders/>
            <w:shd w:fill="FFFFFF" w:val="clear"/>
            <w:vAlign w:val="center"/>
          </w:tcPr>
          <w:p>
            <w:pPr>
              <w:pStyle w:val="TableContents"/>
              <w:bidi w:val="0"/>
              <w:spacing w:before="0" w:after="0"/>
              <w:ind w:left="0" w:right="0" w:hanging="0"/>
              <w:jc w:val="left"/>
              <w:rPr/>
            </w:pPr>
            <w:r>
              <w:rPr/>
              <w:t> </w:t>
            </w:r>
          </w:p>
        </w:tc>
        <w:tc>
          <w:tcPr>
            <w:tcW w:w="489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Term Loans by Year of Origination</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Revolving</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Converted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5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Total</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C&amp;I</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2024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Pass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6,180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29,018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47,656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22,080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9,335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15,789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116,268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7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4,644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4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250,970</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5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Watch</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18,232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219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774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3,997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57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475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23,697</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5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Special mention</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498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2,127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577"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2,625</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5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Substandard</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1,926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714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949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3,889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Total C&amp;I</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6,180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47,433</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47,701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22,100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9,606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18,987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123,106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6,068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281,181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C&amp;I gross charge-offs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148</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269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Warehouse lending</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57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5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Pass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6,699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577"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6,699</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5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Special mention</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587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587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Total warehouse lending</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7,286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7,286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Total commercial business loans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6,180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47,433</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47,701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22,100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9,606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18,987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130,392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6,068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288,467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Total commercial business loans gross charge-offs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148</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269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57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TOTAL LOANS RECEIVABLE, GROSS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577"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5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Pass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284,700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516,443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254,703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248,442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401,183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657,644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202,785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77"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5,458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4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2,571,358</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5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Watch</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18,232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4,048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1,767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22,434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3,997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577"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475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74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51,055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54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Special mention</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5,872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1,336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2,590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2,714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577"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74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12,765</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5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Substandard</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2,366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1,657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4,635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7,159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7,036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1,123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7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949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24,979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4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Total loans receivable, gross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284,856</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537,041</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256,613</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262,997</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411,445</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689,704</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210,619</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7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6,882</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2,660,157</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54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Total gross charge-offs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48</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805</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869</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935</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3,307</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1,104</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221</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7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7,289</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775"/>
        <w:gridCol w:w="60"/>
        <w:gridCol w:w="110"/>
        <w:gridCol w:w="605"/>
        <w:gridCol w:w="60"/>
        <w:gridCol w:w="60"/>
        <w:gridCol w:w="110"/>
        <w:gridCol w:w="605"/>
        <w:gridCol w:w="60"/>
        <w:gridCol w:w="60"/>
        <w:gridCol w:w="110"/>
        <w:gridCol w:w="515"/>
        <w:gridCol w:w="60"/>
        <w:gridCol w:w="60"/>
        <w:gridCol w:w="110"/>
        <w:gridCol w:w="605"/>
        <w:gridCol w:w="60"/>
        <w:gridCol w:w="60"/>
        <w:gridCol w:w="110"/>
        <w:gridCol w:w="605"/>
        <w:gridCol w:w="60"/>
        <w:gridCol w:w="60"/>
        <w:gridCol w:w="110"/>
        <w:gridCol w:w="605"/>
        <w:gridCol w:w="60"/>
        <w:gridCol w:w="60"/>
        <w:gridCol w:w="145"/>
        <w:gridCol w:w="565"/>
        <w:gridCol w:w="60"/>
        <w:gridCol w:w="60"/>
        <w:gridCol w:w="199"/>
        <w:gridCol w:w="526"/>
        <w:gridCol w:w="60"/>
        <w:gridCol w:w="60"/>
        <w:gridCol w:w="110"/>
        <w:gridCol w:w="605"/>
        <w:gridCol w:w="60"/>
      </w:tblGrid>
      <w:tr>
        <w:trPr/>
        <w:tc>
          <w:tcPr>
            <w:tcW w:w="27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310"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7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56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7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56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77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CRE LOANS</w:t>
            </w:r>
          </w:p>
        </w:tc>
        <w:tc>
          <w:tcPr>
            <w:tcW w:w="60" w:type="dxa"/>
            <w:tcBorders/>
            <w:shd w:fill="FFFFFF" w:val="clear"/>
            <w:vAlign w:val="center"/>
          </w:tcPr>
          <w:p>
            <w:pPr>
              <w:pStyle w:val="TableContents"/>
              <w:bidi w:val="0"/>
              <w:spacing w:before="0" w:after="0"/>
              <w:ind w:left="0" w:right="0" w:hanging="0"/>
              <w:jc w:val="left"/>
              <w:rPr/>
            </w:pPr>
            <w:r>
              <w:rPr/>
              <w:t> </w:t>
            </w:r>
          </w:p>
        </w:tc>
        <w:tc>
          <w:tcPr>
            <w:tcW w:w="480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Term Loans by Year of Origination</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Converted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CRE owner occupied</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37,809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4,148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21,485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35,169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10,625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34,840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144,076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Watch</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600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4,084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6,167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14,137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4,438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5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29,568</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Special mention</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2,434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2,434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CRE owner occupied</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37,951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4,748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25,569</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41,336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24,762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41,712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176,078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CRE non-owner occupied</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5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52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9,467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8,362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15,734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49,708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34,888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51,951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170,585</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775" w:type="dxa"/>
            <w:tcBorders/>
            <w:shd w:fill="FFFFFF" w:val="clear"/>
            <w:vAlign w:val="center"/>
          </w:tcPr>
          <w:p>
            <w:pPr>
              <w:pStyle w:val="TableContents"/>
              <w:bidi w:val="0"/>
              <w:spacing w:before="0" w:after="0"/>
              <w:ind w:left="0" w:right="0" w:firstLine="180"/>
              <w:jc w:val="left"/>
              <w:rPr>
                <w:rFonts w:ascii="Times New Roman;Times;serif" w:hAnsi="Times New Roman;Times;serif"/>
                <w:sz w:val="16"/>
              </w:rPr>
            </w:pPr>
            <w:r>
              <w:rPr>
                <w:rFonts w:ascii="Times New Roman;Times;serif" w:hAnsi="Times New Roman;Times;serif"/>
                <w:sz w:val="16"/>
              </w:rPr>
              <w:t>Special mention</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1,354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2,113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56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5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3,467</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3,061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3,061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CRE non-owner occupied</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9,467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8,362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18,795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51,062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34,888</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54,064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177,113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Commercial and speculative construction and development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p>
        </w:tc>
        <w:tc>
          <w:tcPr>
            <w:tcW w:w="5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188,568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96,592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19,623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22,343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7,701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5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344,894</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9,236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9,236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commercial and speculative construction and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188,568</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96,592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19,623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31,579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10,004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7,701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354,130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77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Commercial and speculative construction and development gross charge-offs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2,300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2,300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Multi-family</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5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52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26,491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20,750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7,017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19,921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85,961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102,010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262,150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multi-family</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26,491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20,750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7,017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19,921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85,961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102,010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262,150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CRE loans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262,477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130,452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71,004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143,898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155,615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197,849</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7,701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475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969,471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77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CRE loans gross charge-offs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2570"/>
        <w:gridCol w:w="60"/>
        <w:gridCol w:w="110"/>
        <w:gridCol w:w="605"/>
        <w:gridCol w:w="60"/>
        <w:gridCol w:w="60"/>
        <w:gridCol w:w="110"/>
        <w:gridCol w:w="515"/>
        <w:gridCol w:w="60"/>
        <w:gridCol w:w="60"/>
        <w:gridCol w:w="110"/>
        <w:gridCol w:w="605"/>
        <w:gridCol w:w="60"/>
        <w:gridCol w:w="60"/>
        <w:gridCol w:w="110"/>
        <w:gridCol w:w="605"/>
        <w:gridCol w:w="60"/>
        <w:gridCol w:w="60"/>
        <w:gridCol w:w="110"/>
        <w:gridCol w:w="515"/>
        <w:gridCol w:w="60"/>
        <w:gridCol w:w="60"/>
        <w:gridCol w:w="110"/>
        <w:gridCol w:w="605"/>
        <w:gridCol w:w="60"/>
        <w:gridCol w:w="60"/>
        <w:gridCol w:w="124"/>
        <w:gridCol w:w="586"/>
        <w:gridCol w:w="60"/>
        <w:gridCol w:w="60"/>
        <w:gridCol w:w="199"/>
        <w:gridCol w:w="526"/>
        <w:gridCol w:w="60"/>
        <w:gridCol w:w="60"/>
        <w:gridCol w:w="110"/>
        <w:gridCol w:w="605"/>
        <w:gridCol w:w="60"/>
      </w:tblGrid>
      <w:tr>
        <w:trPr/>
        <w:tc>
          <w:tcPr>
            <w:tcW w:w="25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20"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RESIDENTIAL</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4" w:type="dxa"/>
            <w:tcBorders/>
            <w:shd w:fill="FFFFFF" w:val="clear"/>
            <w:vAlign w:val="center"/>
          </w:tcPr>
          <w:p>
            <w:pPr>
              <w:pStyle w:val="TableContents"/>
              <w:bidi w:val="0"/>
              <w:spacing w:before="0" w:after="0"/>
              <w:ind w:left="0" w:right="0" w:hanging="0"/>
              <w:jc w:val="left"/>
              <w:rPr/>
            </w:pPr>
            <w:r>
              <w:rPr/>
              <w:t> </w:t>
            </w:r>
          </w:p>
        </w:tc>
        <w:tc>
          <w:tcPr>
            <w:tcW w:w="586"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16"/>
              </w:rPr>
            </w:pPr>
            <w:r>
              <w:rPr>
                <w:rFonts w:ascii="Times New Roman;Times;serif" w:hAnsi="Times New Roman;Times;serif"/>
                <w:b/>
                <w:caps w:val="false"/>
                <w:smallCaps w:val="false"/>
                <w:sz w:val="16"/>
              </w:rPr>
              <w:t>REAL ESTATE LOANS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4" w:type="dxa"/>
            <w:tcBorders/>
            <w:shd w:fill="FFFFFF" w:val="clear"/>
            <w:vAlign w:val="center"/>
          </w:tcPr>
          <w:p>
            <w:pPr>
              <w:pStyle w:val="TableContents"/>
              <w:bidi w:val="0"/>
              <w:spacing w:before="0" w:after="0"/>
              <w:ind w:left="0" w:right="0" w:hanging="0"/>
              <w:jc w:val="left"/>
              <w:rPr/>
            </w:pPr>
            <w:r>
              <w:rPr/>
              <w:t> </w:t>
            </w:r>
          </w:p>
        </w:tc>
        <w:tc>
          <w:tcPr>
            <w:tcW w:w="586"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One-to-four-family</w:t>
            </w:r>
          </w:p>
        </w:tc>
        <w:tc>
          <w:tcPr>
            <w:tcW w:w="60" w:type="dxa"/>
            <w:tcBorders/>
            <w:shd w:fill="FFFFFF" w:val="clear"/>
            <w:vAlign w:val="center"/>
          </w:tcPr>
          <w:p>
            <w:pPr>
              <w:pStyle w:val="TableContents"/>
              <w:bidi w:val="0"/>
              <w:spacing w:before="0" w:after="0"/>
              <w:ind w:left="0" w:right="0" w:hanging="0"/>
              <w:jc w:val="left"/>
              <w:rPr/>
            </w:pPr>
            <w:r>
              <w:rPr/>
              <w:t> </w:t>
            </w:r>
          </w:p>
        </w:tc>
        <w:tc>
          <w:tcPr>
            <w:tcW w:w="4710"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Term Loans by Year of Origination</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Converted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Total</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(excludes loans held for sale)</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93,883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56,292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102,074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149,010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97,732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124,942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4"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624,435</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570" w:type="dxa"/>
            <w:tcBorders/>
            <w:shd w:fill="FFFFFF" w:val="clear"/>
            <w:vAlign w:val="center"/>
          </w:tcPr>
          <w:p>
            <w:pPr>
              <w:pStyle w:val="TableContents"/>
              <w:bidi w:val="0"/>
              <w:spacing w:before="0" w:after="0"/>
              <w:ind w:left="0" w:right="0" w:firstLine="180"/>
              <w:jc w:val="left"/>
              <w:rPr>
                <w:rFonts w:ascii="Times New Roman;Times;serif" w:hAnsi="Times New Roman;Times;serif"/>
                <w:sz w:val="16"/>
              </w:rPr>
            </w:pPr>
            <w:r>
              <w:rPr>
                <w:rFonts w:ascii="Times New Roman;Times;serif" w:hAnsi="Times New Roman;Times;serif"/>
                <w:sz w:val="16"/>
              </w:rPr>
              <w:t>Watch</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4" w:type="dxa"/>
            <w:tcBorders/>
            <w:shd w:fill="FFFFFF" w:val="clear"/>
            <w:vAlign w:val="center"/>
          </w:tcPr>
          <w:p>
            <w:pPr>
              <w:pStyle w:val="TableContents"/>
              <w:bidi w:val="0"/>
              <w:spacing w:before="0" w:after="0"/>
              <w:ind w:left="0" w:right="0" w:hanging="0"/>
              <w:jc w:val="left"/>
              <w:rPr/>
            </w:pPr>
            <w:r>
              <w:rPr/>
              <w:t> </w:t>
            </w:r>
          </w:p>
        </w:tc>
        <w:tc>
          <w:tcPr>
            <w:tcW w:w="58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526" w:type="dxa"/>
            <w:tcBorders/>
            <w:shd w:fill="FFFFFF" w:val="clear"/>
            <w:vAlign w:val="center"/>
          </w:tcPr>
          <w:p>
            <w:pPr>
              <w:pStyle w:val="TableContents"/>
              <w:bidi w:val="0"/>
              <w:spacing w:before="0" w:after="283"/>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710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5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673</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2,943</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3,616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one-to-four-family</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93,883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56,292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102,747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149,720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97,732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127,885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628,761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Home equity</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4"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5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11,609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1,615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6,432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4" w:type="dxa"/>
            <w:tcBorders/>
            <w:shd w:fill="FFFFFF" w:val="clear"/>
            <w:vAlign w:val="center"/>
          </w:tcPr>
          <w:p>
            <w:pPr>
              <w:pStyle w:val="TableContents"/>
              <w:bidi w:val="0"/>
              <w:spacing w:before="0" w:after="0"/>
              <w:ind w:left="0" w:right="0" w:hanging="0"/>
              <w:jc w:val="left"/>
              <w:rPr/>
            </w:pPr>
            <w:r>
              <w:rPr/>
              <w:t> </w:t>
            </w:r>
          </w:p>
        </w:tc>
        <w:tc>
          <w:tcPr>
            <w:tcW w:w="58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65,154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0"/>
              <w:ind w:left="0" w:right="0" w:hanging="0"/>
              <w:jc w:val="left"/>
              <w:rPr/>
            </w:pPr>
            <w:r>
              <w:rPr/>
              <w:t> </w:t>
            </w:r>
          </w:p>
        </w:tc>
        <w:tc>
          <w:tcPr>
            <w:tcW w:w="52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87,881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5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390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home equity</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11,609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1,615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287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1,189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6,512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65,464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88,271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Residential custom construction</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4" w:type="dxa"/>
            <w:tcBorders/>
            <w:shd w:fill="CCEEFF" w:val="clear"/>
            <w:vAlign w:val="center"/>
          </w:tcPr>
          <w:p>
            <w:pPr>
              <w:pStyle w:val="TableContents"/>
              <w:bidi w:val="0"/>
              <w:spacing w:before="0" w:after="0"/>
              <w:ind w:left="0" w:right="0" w:hanging="0"/>
              <w:jc w:val="left"/>
              <w:rPr/>
            </w:pPr>
            <w:r>
              <w:rPr/>
              <w:t> </w:t>
            </w:r>
          </w:p>
        </w:tc>
        <w:tc>
          <w:tcPr>
            <w:tcW w:w="58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52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5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31,650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8,097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42,329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residential custom construction</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31,650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8,097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1,230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1,352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42,329</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residential real estate loans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137,142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65,984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105,592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151,359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98,921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134,397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65,464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502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759,361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2955"/>
        <w:gridCol w:w="60"/>
        <w:gridCol w:w="110"/>
        <w:gridCol w:w="605"/>
        <w:gridCol w:w="60"/>
        <w:gridCol w:w="60"/>
        <w:gridCol w:w="110"/>
        <w:gridCol w:w="515"/>
        <w:gridCol w:w="60"/>
        <w:gridCol w:w="60"/>
        <w:gridCol w:w="110"/>
        <w:gridCol w:w="605"/>
        <w:gridCol w:w="60"/>
        <w:gridCol w:w="60"/>
        <w:gridCol w:w="110"/>
        <w:gridCol w:w="605"/>
        <w:gridCol w:w="60"/>
        <w:gridCol w:w="60"/>
        <w:gridCol w:w="110"/>
        <w:gridCol w:w="515"/>
        <w:gridCol w:w="60"/>
        <w:gridCol w:w="60"/>
        <w:gridCol w:w="110"/>
        <w:gridCol w:w="515"/>
        <w:gridCol w:w="60"/>
        <w:gridCol w:w="60"/>
        <w:gridCol w:w="145"/>
        <w:gridCol w:w="565"/>
        <w:gridCol w:w="60"/>
        <w:gridCol w:w="60"/>
        <w:gridCol w:w="215"/>
        <w:gridCol w:w="510"/>
        <w:gridCol w:w="60"/>
        <w:gridCol w:w="60"/>
        <w:gridCol w:w="110"/>
        <w:gridCol w:w="605"/>
        <w:gridCol w:w="60"/>
      </w:tblGrid>
      <w:tr>
        <w:trPr/>
        <w:tc>
          <w:tcPr>
            <w:tcW w:w="29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30" w:type="dxa"/>
            <w:gridSpan w:val="3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December 31, 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56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Revolving</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56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Loans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CONSUMER LOANS</w:t>
            </w:r>
          </w:p>
        </w:tc>
        <w:tc>
          <w:tcPr>
            <w:tcW w:w="60" w:type="dxa"/>
            <w:tcBorders/>
            <w:shd w:fill="FFFFFF" w:val="clear"/>
            <w:vAlign w:val="center"/>
          </w:tcPr>
          <w:p>
            <w:pPr>
              <w:pStyle w:val="TableContents"/>
              <w:bidi w:val="0"/>
              <w:spacing w:before="0" w:after="0"/>
              <w:ind w:left="0" w:right="0" w:hanging="0"/>
              <w:jc w:val="left"/>
              <w:rPr/>
            </w:pPr>
            <w:r>
              <w:rPr/>
              <w:t> </w:t>
            </w:r>
          </w:p>
        </w:tc>
        <w:tc>
          <w:tcPr>
            <w:tcW w:w="4680" w:type="dxa"/>
            <w:gridSpan w:val="23"/>
            <w:tcBorders>
              <w:bottom w:val="single" w:sz="2" w:space="0" w:color="000000"/>
            </w:tcBorders>
            <w:shd w:fill="FFFFFF" w:val="clear"/>
            <w:tcMar>
              <w:bottom w:w="28" w:type="dxa"/>
            </w:tcMar>
            <w:vAlign w:val="center"/>
          </w:tcPr>
          <w:p>
            <w:pPr>
              <w:pStyle w:val="TableContents"/>
              <w:bidi w:val="0"/>
              <w:spacing w:before="0" w:after="0"/>
              <w:jc w:val="center"/>
              <w:rPr/>
            </w:pPr>
            <w:r>
              <w:rPr>
                <w:rStyle w:val="Emphasis"/>
                <w:rFonts w:ascii="Times New Roman;Times;serif" w:hAnsi="Times New Roman;Times;serif"/>
                <w:sz w:val="16"/>
              </w:rPr>
              <w:t>Term Loans by Year of Origination</w:t>
            </w:r>
          </w:p>
        </w:tc>
        <w:tc>
          <w:tcPr>
            <w:tcW w:w="60" w:type="dxa"/>
            <w:tcBorders/>
            <w:shd w:fill="FFFFFF" w:val="clear"/>
            <w:vAlign w:val="center"/>
          </w:tcPr>
          <w:p>
            <w:pPr>
              <w:pStyle w:val="TableContents"/>
              <w:bidi w:val="0"/>
              <w:spacing w:before="0" w:after="0"/>
              <w:ind w:left="0" w:right="0" w:hanging="0"/>
              <w:jc w:val="left"/>
              <w:rPr/>
            </w:pPr>
            <w:r>
              <w:rPr/>
              <w:t> </w:t>
            </w:r>
          </w:p>
        </w:tc>
        <w:tc>
          <w:tcPr>
            <w:tcW w:w="710"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Revolving</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Converted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shd w:fill="FFFFFF" w:val="clear"/>
            <w:vAlign w:val="center"/>
          </w:tcPr>
          <w:p>
            <w:pPr>
              <w:pStyle w:val="TableContents"/>
              <w:bidi w:val="0"/>
              <w:spacing w:before="0" w:after="283"/>
              <w:jc w:val="center"/>
              <w:rPr/>
            </w:pPr>
            <w:r>
              <w:rPr>
                <w:rStyle w:val="Emphasis"/>
                <w:rFonts w:ascii="Times New Roman;Times;serif" w:hAnsi="Times New Roman;Times;serif"/>
                <w:sz w:val="16"/>
              </w:rPr>
              <w:t>Total</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Indirect home improvement</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2021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Prior</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to Term</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Loans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111,727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67,451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100,504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131,844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58,058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52,002</w:t>
            </w:r>
          </w:p>
        </w:tc>
        <w:tc>
          <w:tcPr>
            <w:tcW w:w="60" w:type="dxa"/>
            <w:tcBorders/>
            <w:shd w:fill="CCEEFF" w:val="cle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521,586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firstLine="180"/>
              <w:jc w:val="left"/>
              <w:rPr>
                <w:rFonts w:ascii="Times New Roman;Times;serif" w:hAnsi="Times New Roman;Times;serif"/>
                <w:sz w:val="16"/>
              </w:rPr>
            </w:pPr>
            <w:r>
              <w:rPr>
                <w:rFonts w:ascii="Times New Roman;Times;serif" w:hAnsi="Times New Roman;Times;serif"/>
                <w:sz w:val="16"/>
              </w:rPr>
              <w:t>Substandard</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572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4,256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indirect home improvement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112,161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68,243</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101,515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132,968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58,381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52,574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525,842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Indirect home improvement gross charge-offs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1,763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7,333</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Marine</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p>
        </w:tc>
        <w:tc>
          <w:tcPr>
            <w:tcW w:w="56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 </w:t>
            </w:r>
          </w:p>
        </w:tc>
        <w:tc>
          <w:tcPr>
            <w:tcW w:w="51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7,619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10,210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9,647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17,126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7,366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15,693</w:t>
            </w:r>
          </w:p>
        </w:tc>
        <w:tc>
          <w:tcPr>
            <w:tcW w:w="6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shd w:fill="FFFFFF" w:val="clear"/>
            <w:vAlign w:val="center"/>
          </w:tcPr>
          <w:p>
            <w:pPr>
              <w:pStyle w:val="TableContents"/>
              <w:bidi w:val="0"/>
              <w:spacing w:before="0" w:after="0"/>
              <w:ind w:left="0" w:right="0" w:hanging="0"/>
              <w:jc w:val="left"/>
              <w:rPr/>
            </w:pPr>
            <w:r>
              <w:rPr/>
              <w:t> </w:t>
            </w:r>
          </w:p>
        </w:tc>
        <w:tc>
          <w:tcPr>
            <w:tcW w:w="51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67,661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955" w:type="dxa"/>
            <w:tcBorders/>
            <w:shd w:fill="CCEEFF" w:val="clear"/>
            <w:vAlign w:val="center"/>
          </w:tcPr>
          <w:p>
            <w:pPr>
              <w:pStyle w:val="TableContents"/>
              <w:bidi w:val="0"/>
              <w:spacing w:before="0" w:after="0"/>
              <w:ind w:left="0" w:right="0" w:firstLine="180"/>
              <w:jc w:val="left"/>
              <w:rPr>
                <w:rFonts w:ascii="Times New Roman;Times;serif" w:hAnsi="Times New Roman;Times;serif"/>
                <w:sz w:val="16"/>
              </w:rPr>
            </w:pPr>
            <w:r>
              <w:rPr>
                <w:rFonts w:ascii="Times New Roman;Times;serif" w:hAnsi="Times New Roman;Times;serif"/>
                <w:sz w:val="16"/>
              </w:rPr>
              <w:t>Substandard</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marine</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7,619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10,210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9,652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17,237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7,460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15,937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68,115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Marine gross charge-offs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consumer</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5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shd w:fill="FFFFFF" w:val="clear"/>
            <w:vAlign w:val="center"/>
          </w:tcPr>
          <w:p>
            <w:pPr>
              <w:pStyle w:val="TableContents"/>
              <w:bidi w:val="0"/>
              <w:spacing w:before="0" w:after="0"/>
              <w:ind w:left="0" w:right="0" w:hanging="0"/>
              <w:jc w:val="left"/>
              <w:rPr/>
            </w:pPr>
            <w:r>
              <w:rPr/>
              <w:t> </w:t>
            </w:r>
          </w:p>
        </w:tc>
        <w:tc>
          <w:tcPr>
            <w:tcW w:w="51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95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Pass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w:t>
            </w:r>
          </w:p>
        </w:tc>
        <w:tc>
          <w:tcPr>
            <w:tcW w:w="60" w:type="dxa"/>
            <w:tcBorders/>
            <w:shd w:fill="CCEEFF" w:val="cle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2,439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shd w:fill="CCEEFF" w:val="clear"/>
            <w:vAlign w:val="center"/>
          </w:tcPr>
          <w:p>
            <w:pPr>
              <w:pStyle w:val="TableContents"/>
              <w:bidi w:val="0"/>
              <w:spacing w:before="0" w:after="0"/>
              <w:ind w:left="0" w:right="0" w:hanging="0"/>
              <w:jc w:val="left"/>
              <w:rPr/>
            </w:pPr>
            <w:r>
              <w:rPr/>
              <w:t> </w:t>
            </w:r>
          </w:p>
        </w:tc>
        <w:tc>
          <w:tcPr>
            <w:tcW w:w="51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3,027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Substandard</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other consumer</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255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94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89</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108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2,440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3,029</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Other consumer gross charge-offs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56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117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0"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sz w:val="16"/>
              </w:rPr>
            </w:pPr>
            <w:r>
              <w:rPr>
                <w:rFonts w:ascii="Times New Roman;Times;serif" w:hAnsi="Times New Roman;Times;serif"/>
                <w:sz w:val="16"/>
              </w:rPr>
              <w:t>181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Total consumer loans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120,035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78,547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111,204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150,294</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65,847</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68,619</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2,440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596,986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955" w:type="dxa"/>
            <w:tcBorders/>
            <w:shd w:fill="FFFF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Total consumer loans gross charge-offs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1,832</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1,689</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6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51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7,731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196"/>
        <w:gridCol w:w="23"/>
        <w:gridCol w:w="110"/>
        <w:gridCol w:w="605"/>
        <w:gridCol w:w="23"/>
        <w:gridCol w:w="23"/>
        <w:gridCol w:w="110"/>
        <w:gridCol w:w="605"/>
        <w:gridCol w:w="23"/>
        <w:gridCol w:w="23"/>
        <w:gridCol w:w="110"/>
        <w:gridCol w:w="605"/>
        <w:gridCol w:w="23"/>
        <w:gridCol w:w="23"/>
        <w:gridCol w:w="110"/>
        <w:gridCol w:w="605"/>
        <w:gridCol w:w="23"/>
        <w:gridCol w:w="23"/>
        <w:gridCol w:w="110"/>
        <w:gridCol w:w="605"/>
        <w:gridCol w:w="23"/>
        <w:gridCol w:w="23"/>
        <w:gridCol w:w="110"/>
        <w:gridCol w:w="605"/>
        <w:gridCol w:w="23"/>
        <w:gridCol w:w="23"/>
        <w:gridCol w:w="110"/>
        <w:gridCol w:w="605"/>
        <w:gridCol w:w="23"/>
        <w:gridCol w:w="23"/>
        <w:gridCol w:w="152"/>
        <w:gridCol w:w="588"/>
        <w:gridCol w:w="23"/>
        <w:gridCol w:w="23"/>
        <w:gridCol w:w="110"/>
        <w:gridCol w:w="740"/>
        <w:gridCol w:w="23"/>
      </w:tblGrid>
      <w:tr>
        <w:trPr/>
        <w:tc>
          <w:tcPr>
            <w:tcW w:w="3196"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963" w:type="dxa"/>
            <w:gridSpan w:val="3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December 31, 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4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Revolving</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b/>
                <w:caps w:val="false"/>
                <w:smallCaps w:val="false"/>
                <w:sz w:val="16"/>
              </w:rPr>
              <w:t>COMMERCIAL</w:t>
            </w:r>
            <w:r>
              <w:rPr>
                <w:rFonts w:ascii="Times New Roman" w:hAnsi="Times New Roman"/>
                <w:caps w:val="false"/>
                <w:smallCaps w:val="false"/>
                <w:sz w:val="16"/>
              </w:rPr>
              <w:t> </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60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4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Loans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 w:type="dxa"/>
            <w:tcBorders/>
            <w:vAlign w:val="center"/>
          </w:tcPr>
          <w:p>
            <w:pPr>
              <w:pStyle w:val="TableContents"/>
              <w:bidi w:val="0"/>
              <w:spacing w:before="0" w:after="0"/>
              <w:ind w:left="0" w:right="0" w:hanging="0"/>
              <w:jc w:val="left"/>
              <w:rPr/>
            </w:pPr>
            <w:r>
              <w:rPr/>
              <w:t>​</w:t>
            </w:r>
          </w:p>
        </w:tc>
        <w:tc>
          <w:tcPr>
            <w:tcW w:w="740"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BUSINESS LOANS</w:t>
            </w:r>
          </w:p>
        </w:tc>
        <w:tc>
          <w:tcPr>
            <w:tcW w:w="23" w:type="dxa"/>
            <w:tcBorders/>
            <w:vAlign w:val="center"/>
          </w:tcPr>
          <w:p>
            <w:pPr>
              <w:pStyle w:val="TableContents"/>
              <w:bidi w:val="0"/>
              <w:spacing w:before="0" w:after="0"/>
              <w:ind w:left="0" w:right="0" w:hanging="0"/>
              <w:jc w:val="left"/>
              <w:rPr/>
            </w:pPr>
            <w:r>
              <w:rPr/>
              <w:t>​</w:t>
            </w:r>
          </w:p>
        </w:tc>
        <w:tc>
          <w:tcPr>
            <w:tcW w:w="4520" w:type="dxa"/>
            <w:gridSpan w:val="2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Term Loans by Year of Origination</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Revolving</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4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Converted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5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Total</w:t>
            </w:r>
          </w:p>
        </w:tc>
        <w:tc>
          <w:tcPr>
            <w:tcW w:w="23" w:type="dxa"/>
            <w:tcBorders/>
            <w:vAlign w:val="center"/>
          </w:tcPr>
          <w:p>
            <w:pPr>
              <w:pStyle w:val="TableContents"/>
              <w:bidi w:val="0"/>
              <w:spacing w:before="0" w:after="0"/>
              <w:ind w:left="0" w:right="0" w:hanging="0"/>
              <w:jc w:val="left"/>
              <w:rPr/>
            </w:pPr>
            <w:r>
              <w:rPr/>
              <w:t>​</w:t>
            </w:r>
          </w:p>
        </w:tc>
      </w:tr>
      <w:tr>
        <w:trPr/>
        <w:tc>
          <w:tcPr>
            <w:tcW w:w="3196" w:type="dxa"/>
            <w:tcBorders/>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C&amp;I</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2024</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2023</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2022</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2021</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Prior</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Loans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to Term</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Loans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9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Pass</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48,052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55,033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18,762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12,437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12,048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11,105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123,306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88"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2,121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4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282,864</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19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Watch</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1,017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6,303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shd w:fill="FFFFFF" w:val="clear"/>
            <w:vAlign w:val="center"/>
          </w:tcPr>
          <w:p>
            <w:pPr>
              <w:pStyle w:val="TableContents"/>
              <w:bidi w:val="0"/>
              <w:spacing w:before="0" w:after="0"/>
              <w:ind w:left="0" w:right="0" w:hanging="0"/>
              <w:jc w:val="left"/>
              <w:rPr/>
            </w:pPr>
            <w:r>
              <w:rPr/>
              <w:t>​</w:t>
            </w:r>
          </w:p>
        </w:tc>
        <w:tc>
          <w:tcPr>
            <w:tcW w:w="588"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7,336</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19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Special mention</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5,000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1,391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648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7,039</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19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Substandard</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191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1,592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1,199</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806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3,872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1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Total C&amp;I</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48,243</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55,033</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23,846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12,437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14,657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13,695</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131,063</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2,137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301,111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1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C&amp;I gross charge-offs</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433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433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1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Warehouse lending</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19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Pass</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28,177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shd w:fill="FFFFFF" w:val="clear"/>
            <w:vAlign w:val="center"/>
          </w:tcPr>
          <w:p>
            <w:pPr>
              <w:pStyle w:val="TableContents"/>
              <w:bidi w:val="0"/>
              <w:spacing w:before="0" w:after="0"/>
              <w:ind w:left="0" w:right="0" w:hanging="0"/>
              <w:jc w:val="left"/>
              <w:rPr/>
            </w:pPr>
            <w:r>
              <w:rPr/>
              <w:t>​</w:t>
            </w:r>
          </w:p>
        </w:tc>
        <w:tc>
          <w:tcPr>
            <w:tcW w:w="588"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28,177</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19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Special mention</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1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Total warehouse lending</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28,180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28,180</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1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Total commercial business loans</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48,243</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55,033</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23,846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12,437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14,657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13,695</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159,243</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2,137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4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329,291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1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Total commercial business loans gross charge-offs</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433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433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196"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196"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6"/>
              </w:rPr>
            </w:pPr>
            <w:r>
              <w:rPr>
                <w:rFonts w:ascii="Times New Roman" w:hAnsi="Times New Roman"/>
                <w:b/>
                <w:caps w:val="false"/>
                <w:smallCaps w:val="false"/>
                <w:sz w:val="16"/>
              </w:rPr>
              <w:t>TOTAL LOANS RECEIVABLE, GROSS</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shd w:fill="FFFFFF" w:val="clear"/>
            <w:vAlign w:val="center"/>
          </w:tcPr>
          <w:p>
            <w:pPr>
              <w:pStyle w:val="TableContents"/>
              <w:bidi w:val="0"/>
              <w:spacing w:before="0" w:after="0"/>
              <w:ind w:left="0" w:right="0" w:hanging="0"/>
              <w:jc w:val="left"/>
              <w:rPr/>
            </w:pPr>
            <w:r>
              <w:rPr/>
              <w:t>​</w:t>
            </w:r>
          </w:p>
        </w:tc>
        <w:tc>
          <w:tcPr>
            <w:tcW w:w="588"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19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Pass</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567,130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328,624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297,728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439,285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317,877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399,146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226,777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88"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3,098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4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2,579,665</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19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Watch</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142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600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4,084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6,877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15,154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4,438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6,303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shd w:fill="FFFFFF" w:val="clear"/>
            <w:vAlign w:val="center"/>
          </w:tcPr>
          <w:p>
            <w:pPr>
              <w:pStyle w:val="TableContents"/>
              <w:bidi w:val="0"/>
              <w:spacing w:before="0" w:after="0"/>
              <w:ind w:left="0" w:right="0" w:hanging="0"/>
              <w:jc w:val="left"/>
              <w:rPr/>
            </w:pPr>
            <w:r>
              <w:rPr/>
              <w:t>​</w:t>
            </w:r>
          </w:p>
        </w:tc>
        <w:tc>
          <w:tcPr>
            <w:tcW w:w="588"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740"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37,614</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319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Special mention</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5,000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1,354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3,504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651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shd w:fill="CCEEFF" w:val="clear"/>
            <w:vAlign w:val="center"/>
          </w:tcPr>
          <w:p>
            <w:pPr>
              <w:pStyle w:val="TableContents"/>
              <w:bidi w:val="0"/>
              <w:spacing w:before="0" w:after="0"/>
              <w:ind w:left="0" w:right="0" w:hanging="0"/>
              <w:jc w:val="left"/>
              <w:rPr/>
            </w:pPr>
            <w:r>
              <w:rPr/>
              <w:t>​</w:t>
            </w:r>
          </w:p>
        </w:tc>
        <w:tc>
          <w:tcPr>
            <w:tcW w:w="588"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74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10,509</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319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Substandard</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625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792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4,834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10,472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2,009</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7,472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1,117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4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27,321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196"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Total loans receivable, gross</w:t>
            </w:r>
          </w:p>
        </w:tc>
        <w:tc>
          <w:tcPr>
            <w:tcW w:w="23"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567,897</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330,016</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311,646</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457,988</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335,040</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414,560</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234,848</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3,114</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4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2,655,109</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196"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Total gross charge-offs</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261</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1,832</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1,689</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4,325</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1,330</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910</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117</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8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4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10,464</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the amortized cost basis of loans on nonaccrual status as of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348"/>
        <w:gridCol w:w="23"/>
        <w:gridCol w:w="204"/>
        <w:gridCol w:w="966"/>
        <w:gridCol w:w="23"/>
        <w:gridCol w:w="23"/>
        <w:gridCol w:w="238"/>
        <w:gridCol w:w="931"/>
        <w:gridCol w:w="23"/>
        <w:gridCol w:w="23"/>
        <w:gridCol w:w="166"/>
        <w:gridCol w:w="784"/>
        <w:gridCol w:w="23"/>
        <w:gridCol w:w="23"/>
        <w:gridCol w:w="238"/>
        <w:gridCol w:w="931"/>
        <w:gridCol w:w="23"/>
        <w:gridCol w:w="23"/>
        <w:gridCol w:w="204"/>
        <w:gridCol w:w="966"/>
        <w:gridCol w:w="23"/>
        <w:gridCol w:w="23"/>
        <w:gridCol w:w="166"/>
        <w:gridCol w:w="784"/>
        <w:gridCol w:w="26"/>
      </w:tblGrid>
      <w:tr>
        <w:trPr/>
        <w:tc>
          <w:tcPr>
            <w:tcW w:w="3348"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38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2026</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38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2025</w:t>
            </w:r>
          </w:p>
        </w:tc>
        <w:tc>
          <w:tcPr>
            <w:tcW w:w="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348"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Nonaccrual with</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6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Nonaccrual with</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5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6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Nonaccrual with</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7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Nonaccrual with</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5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26" w:type="dxa"/>
            <w:tcBorders/>
            <w:vAlign w:val="center"/>
          </w:tcPr>
          <w:p>
            <w:pPr>
              <w:pStyle w:val="TableContents"/>
              <w:bidi w:val="0"/>
              <w:spacing w:before="0" w:after="0"/>
              <w:ind w:left="0" w:right="0" w:hanging="0"/>
              <w:jc w:val="left"/>
              <w:rPr/>
            </w:pPr>
            <w:r>
              <w:rPr/>
              <w:t>​</w:t>
            </w:r>
          </w:p>
        </w:tc>
      </w:tr>
      <w:tr>
        <w:trPr/>
        <w:tc>
          <w:tcPr>
            <w:tcW w:w="3348"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CRE LOANS</w:t>
            </w:r>
          </w:p>
        </w:tc>
        <w:tc>
          <w:tcPr>
            <w:tcW w:w="23"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 ACL</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ACL</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Nonaccrual</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 ACL</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ACL</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Nonaccrual</w:t>
            </w:r>
          </w:p>
        </w:tc>
        <w:tc>
          <w:tcPr>
            <w:tcW w:w="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34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CRE owner occupied</w:t>
            </w:r>
          </w:p>
        </w:tc>
        <w:tc>
          <w:tcPr>
            <w:tcW w:w="23"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6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6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2,049</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334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Commercial and speculative construction and development</w:t>
            </w:r>
          </w:p>
        </w:tc>
        <w:tc>
          <w:tcPr>
            <w:tcW w:w="23" w:type="dxa"/>
            <w:tcBorders/>
            <w:shd w:fill="FFFF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7,164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7,164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9,236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9,236</w:t>
            </w:r>
          </w:p>
        </w:tc>
        <w:tc>
          <w:tcPr>
            <w:tcW w:w="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348"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7,778</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7,778</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2,049</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9,236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11,285</w:t>
            </w:r>
          </w:p>
        </w:tc>
        <w:tc>
          <w:tcPr>
            <w:tcW w:w="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348"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4" w:type="dxa"/>
            <w:tcBorders/>
            <w:shd w:fill="FFFFFF" w:val="clear"/>
            <w:vAlign w:val="center"/>
          </w:tcPr>
          <w:p>
            <w:pPr>
              <w:pStyle w:val="TableContents"/>
              <w:bidi w:val="0"/>
              <w:spacing w:before="0" w:after="0"/>
              <w:ind w:left="0" w:right="0" w:hanging="0"/>
              <w:jc w:val="left"/>
              <w:rPr/>
            </w:pPr>
            <w:r>
              <w:rPr/>
              <w:t>​</w:t>
            </w:r>
          </w:p>
        </w:tc>
        <w:tc>
          <w:tcPr>
            <w:tcW w:w="966"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shd w:fill="FFFFFF" w:val="clear"/>
            <w:vAlign w:val="center"/>
          </w:tcPr>
          <w:p>
            <w:pPr>
              <w:pStyle w:val="TableContents"/>
              <w:bidi w:val="0"/>
              <w:spacing w:before="0" w:after="0"/>
              <w:ind w:left="0" w:right="0" w:hanging="0"/>
              <w:jc w:val="left"/>
              <w:rPr/>
            </w:pPr>
            <w:r>
              <w:rPr/>
              <w:t>​</w:t>
            </w:r>
          </w:p>
        </w:tc>
        <w:tc>
          <w:tcPr>
            <w:tcW w:w="931"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784"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shd w:fill="FFFFFF" w:val="clear"/>
            <w:vAlign w:val="center"/>
          </w:tcPr>
          <w:p>
            <w:pPr>
              <w:pStyle w:val="TableContents"/>
              <w:bidi w:val="0"/>
              <w:spacing w:before="0" w:after="0"/>
              <w:ind w:left="0" w:right="0" w:hanging="0"/>
              <w:jc w:val="left"/>
              <w:rPr/>
            </w:pPr>
            <w:r>
              <w:rPr/>
              <w:t>​</w:t>
            </w:r>
          </w:p>
        </w:tc>
        <w:tc>
          <w:tcPr>
            <w:tcW w:w="931"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4" w:type="dxa"/>
            <w:tcBorders/>
            <w:shd w:fill="FFFFFF" w:val="clear"/>
            <w:vAlign w:val="center"/>
          </w:tcPr>
          <w:p>
            <w:pPr>
              <w:pStyle w:val="TableContents"/>
              <w:bidi w:val="0"/>
              <w:spacing w:before="0" w:after="0"/>
              <w:ind w:left="0" w:right="0" w:hanging="0"/>
              <w:jc w:val="left"/>
              <w:rPr/>
            </w:pPr>
            <w:r>
              <w:rPr/>
              <w:t>​</w:t>
            </w:r>
          </w:p>
        </w:tc>
        <w:tc>
          <w:tcPr>
            <w:tcW w:w="966"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784"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r>
      <w:tr>
        <w:trPr/>
        <w:tc>
          <w:tcPr>
            <w:tcW w:w="3348"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RESIDENTIAL REAL ESTATE LOANS</w:t>
            </w:r>
          </w:p>
        </w:tc>
        <w:tc>
          <w:tcPr>
            <w:tcW w:w="23"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334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One-to-four-family</w:t>
            </w:r>
          </w:p>
        </w:tc>
        <w:tc>
          <w:tcPr>
            <w:tcW w:w="23" w:type="dxa"/>
            <w:tcBorders/>
            <w:shd w:fill="FFFFFF" w:val="clear"/>
            <w:vAlign w:val="center"/>
          </w:tcPr>
          <w:p>
            <w:pPr>
              <w:pStyle w:val="TableContents"/>
              <w:bidi w:val="0"/>
              <w:spacing w:before="0" w:after="0"/>
              <w:ind w:left="0" w:right="0" w:hanging="0"/>
              <w:jc w:val="left"/>
              <w:rPr/>
            </w:pPr>
            <w:r>
              <w:rPr/>
              <w:t>​</w:t>
            </w:r>
          </w:p>
        </w:tc>
        <w:tc>
          <w:tcPr>
            <w:tcW w:w="204" w:type="dxa"/>
            <w:tcBorders/>
            <w:shd w:fill="FFFFFF" w:val="clear"/>
            <w:vAlign w:val="center"/>
          </w:tcPr>
          <w:p>
            <w:pPr>
              <w:pStyle w:val="TableContents"/>
              <w:bidi w:val="0"/>
              <w:spacing w:before="0" w:after="0"/>
              <w:ind w:left="0" w:right="0" w:hanging="0"/>
              <w:jc w:val="left"/>
              <w:rPr/>
            </w:pPr>
            <w:r>
              <w:rPr/>
              <w:t>​</w:t>
            </w:r>
          </w:p>
        </w:tc>
        <w:tc>
          <w:tcPr>
            <w:tcW w:w="96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shd w:fill="FFFFFF" w:val="clear"/>
            <w:vAlign w:val="center"/>
          </w:tcPr>
          <w:p>
            <w:pPr>
              <w:pStyle w:val="TableContents"/>
              <w:bidi w:val="0"/>
              <w:spacing w:before="0" w:after="0"/>
              <w:ind w:left="0" w:right="0" w:hanging="0"/>
              <w:jc w:val="left"/>
              <w:rPr/>
            </w:pPr>
            <w:r>
              <w:rPr/>
              <w:t>​</w:t>
            </w:r>
          </w:p>
        </w:tc>
        <w:tc>
          <w:tcPr>
            <w:tcW w:w="931"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7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shd w:fill="FFFFFF" w:val="clear"/>
            <w:vAlign w:val="center"/>
          </w:tcPr>
          <w:p>
            <w:pPr>
              <w:pStyle w:val="TableContents"/>
              <w:bidi w:val="0"/>
              <w:spacing w:before="0" w:after="0"/>
              <w:ind w:left="0" w:right="0" w:hanging="0"/>
              <w:jc w:val="left"/>
              <w:rPr/>
            </w:pPr>
            <w:r>
              <w:rPr/>
              <w:t>​</w:t>
            </w:r>
          </w:p>
        </w:tc>
        <w:tc>
          <w:tcPr>
            <w:tcW w:w="9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1,778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4" w:type="dxa"/>
            <w:tcBorders/>
            <w:shd w:fill="FFFFFF" w:val="clear"/>
            <w:vAlign w:val="center"/>
          </w:tcPr>
          <w:p>
            <w:pPr>
              <w:pStyle w:val="TableContents"/>
              <w:bidi w:val="0"/>
              <w:spacing w:before="0" w:after="0"/>
              <w:ind w:left="0" w:right="0" w:hanging="0"/>
              <w:jc w:val="left"/>
              <w:rPr/>
            </w:pPr>
            <w:r>
              <w:rPr/>
              <w:t>​</w:t>
            </w:r>
          </w:p>
        </w:tc>
        <w:tc>
          <w:tcPr>
            <w:tcW w:w="96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7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1,778</w:t>
            </w:r>
          </w:p>
        </w:tc>
        <w:tc>
          <w:tcPr>
            <w:tcW w:w="26" w:type="dxa"/>
            <w:tcBorders/>
            <w:shd w:fill="FFFFFF" w:val="clear"/>
            <w:vAlign w:val="center"/>
          </w:tcPr>
          <w:p>
            <w:pPr>
              <w:pStyle w:val="TableContents"/>
              <w:bidi w:val="0"/>
              <w:spacing w:before="0" w:after="0"/>
              <w:ind w:left="0" w:right="0" w:hanging="0"/>
              <w:jc w:val="left"/>
              <w:rPr/>
            </w:pPr>
            <w:r>
              <w:rPr/>
              <w:t>​</w:t>
            </w:r>
          </w:p>
        </w:tc>
      </w:tr>
      <w:tr>
        <w:trPr/>
        <w:tc>
          <w:tcPr>
            <w:tcW w:w="334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Home equity</w:t>
            </w:r>
          </w:p>
        </w:tc>
        <w:tc>
          <w:tcPr>
            <w:tcW w:w="23"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390</w:t>
            </w:r>
          </w:p>
        </w:tc>
        <w:tc>
          <w:tcPr>
            <w:tcW w:w="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348"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2,168</w:t>
            </w:r>
          </w:p>
        </w:tc>
        <w:tc>
          <w:tcPr>
            <w:tcW w:w="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348"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3348"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CONSUMER LOANS</w:t>
            </w:r>
          </w:p>
        </w:tc>
        <w:tc>
          <w:tcPr>
            <w:tcW w:w="23" w:type="dxa"/>
            <w:tcBorders/>
            <w:shd w:fill="FFFFFF" w:val="clear"/>
            <w:vAlign w:val="center"/>
          </w:tcPr>
          <w:p>
            <w:pPr>
              <w:pStyle w:val="TableContents"/>
              <w:bidi w:val="0"/>
              <w:spacing w:before="0" w:after="0"/>
              <w:ind w:left="0" w:right="0" w:hanging="0"/>
              <w:jc w:val="left"/>
              <w:rPr/>
            </w:pPr>
            <w:r>
              <w:rPr/>
              <w:t>​</w:t>
            </w:r>
          </w:p>
        </w:tc>
        <w:tc>
          <w:tcPr>
            <w:tcW w:w="204" w:type="dxa"/>
            <w:tcBorders/>
            <w:shd w:fill="FFFFFF" w:val="clear"/>
            <w:vAlign w:val="center"/>
          </w:tcPr>
          <w:p>
            <w:pPr>
              <w:pStyle w:val="TableContents"/>
              <w:bidi w:val="0"/>
              <w:spacing w:before="0" w:after="0"/>
              <w:ind w:left="0" w:right="0" w:hanging="0"/>
              <w:jc w:val="left"/>
              <w:rPr/>
            </w:pPr>
            <w:r>
              <w:rPr/>
              <w:t>​</w:t>
            </w:r>
          </w:p>
        </w:tc>
        <w:tc>
          <w:tcPr>
            <w:tcW w:w="966"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shd w:fill="FFFFFF" w:val="clear"/>
            <w:vAlign w:val="center"/>
          </w:tcPr>
          <w:p>
            <w:pPr>
              <w:pStyle w:val="TableContents"/>
              <w:bidi w:val="0"/>
              <w:spacing w:before="0" w:after="0"/>
              <w:ind w:left="0" w:right="0" w:hanging="0"/>
              <w:jc w:val="left"/>
              <w:rPr/>
            </w:pPr>
            <w:r>
              <w:rPr/>
              <w:t>​</w:t>
            </w:r>
          </w:p>
        </w:tc>
        <w:tc>
          <w:tcPr>
            <w:tcW w:w="931"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784"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shd w:fill="FFFFFF" w:val="clear"/>
            <w:vAlign w:val="center"/>
          </w:tcPr>
          <w:p>
            <w:pPr>
              <w:pStyle w:val="TableContents"/>
              <w:bidi w:val="0"/>
              <w:spacing w:before="0" w:after="0"/>
              <w:ind w:left="0" w:right="0" w:hanging="0"/>
              <w:jc w:val="left"/>
              <w:rPr/>
            </w:pPr>
            <w:r>
              <w:rPr/>
              <w:t>​</w:t>
            </w:r>
          </w:p>
        </w:tc>
        <w:tc>
          <w:tcPr>
            <w:tcW w:w="931"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4" w:type="dxa"/>
            <w:tcBorders/>
            <w:shd w:fill="FFFFFF" w:val="clear"/>
            <w:vAlign w:val="center"/>
          </w:tcPr>
          <w:p>
            <w:pPr>
              <w:pStyle w:val="TableContents"/>
              <w:bidi w:val="0"/>
              <w:spacing w:before="0" w:after="0"/>
              <w:ind w:left="0" w:right="0" w:hanging="0"/>
              <w:jc w:val="left"/>
              <w:rPr/>
            </w:pPr>
            <w:r>
              <w:rPr/>
              <w:t>​</w:t>
            </w:r>
          </w:p>
        </w:tc>
        <w:tc>
          <w:tcPr>
            <w:tcW w:w="966"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784"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r>
      <w:tr>
        <w:trPr/>
        <w:tc>
          <w:tcPr>
            <w:tcW w:w="334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Indirect home improvement</w:t>
            </w:r>
          </w:p>
        </w:tc>
        <w:tc>
          <w:tcPr>
            <w:tcW w:w="23"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4,799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4,799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4,256</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3348"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Marine</w:t>
            </w:r>
          </w:p>
        </w:tc>
        <w:tc>
          <w:tcPr>
            <w:tcW w:w="23" w:type="dxa"/>
            <w:tcBorders/>
            <w:shd w:fill="FFFFFF" w:val="clear"/>
            <w:vAlign w:val="center"/>
          </w:tcPr>
          <w:p>
            <w:pPr>
              <w:pStyle w:val="TableContents"/>
              <w:bidi w:val="0"/>
              <w:spacing w:before="0" w:after="0"/>
              <w:ind w:left="0" w:right="0" w:hanging="0"/>
              <w:jc w:val="left"/>
              <w:rPr/>
            </w:pPr>
            <w:r>
              <w:rPr/>
              <w:t>​</w:t>
            </w:r>
          </w:p>
        </w:tc>
        <w:tc>
          <w:tcPr>
            <w:tcW w:w="204" w:type="dxa"/>
            <w:tcBorders/>
            <w:shd w:fill="FFFFFF" w:val="clear"/>
            <w:vAlign w:val="center"/>
          </w:tcPr>
          <w:p>
            <w:pPr>
              <w:pStyle w:val="TableContents"/>
              <w:bidi w:val="0"/>
              <w:spacing w:before="0" w:after="0"/>
              <w:ind w:left="0" w:right="0" w:hanging="0"/>
              <w:jc w:val="left"/>
              <w:rPr/>
            </w:pPr>
            <w:r>
              <w:rPr/>
              <w:t>​</w:t>
            </w:r>
          </w:p>
        </w:tc>
        <w:tc>
          <w:tcPr>
            <w:tcW w:w="96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shd w:fill="FFFFFF" w:val="clear"/>
            <w:vAlign w:val="center"/>
          </w:tcPr>
          <w:p>
            <w:pPr>
              <w:pStyle w:val="TableContents"/>
              <w:bidi w:val="0"/>
              <w:spacing w:before="0" w:after="0"/>
              <w:ind w:left="0" w:right="0" w:hanging="0"/>
              <w:jc w:val="left"/>
              <w:rPr/>
            </w:pPr>
            <w:r>
              <w:rPr/>
              <w:t>​</w:t>
            </w:r>
          </w:p>
        </w:tc>
        <w:tc>
          <w:tcPr>
            <w:tcW w:w="9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7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shd w:fill="FFFFFF" w:val="clear"/>
            <w:vAlign w:val="center"/>
          </w:tcPr>
          <w:p>
            <w:pPr>
              <w:pStyle w:val="TableContents"/>
              <w:bidi w:val="0"/>
              <w:spacing w:before="0" w:after="0"/>
              <w:ind w:left="0" w:right="0" w:hanging="0"/>
              <w:jc w:val="left"/>
              <w:rPr/>
            </w:pPr>
            <w:r>
              <w:rPr/>
              <w:t>​</w:t>
            </w:r>
          </w:p>
        </w:tc>
        <w:tc>
          <w:tcPr>
            <w:tcW w:w="931"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4" w:type="dxa"/>
            <w:tcBorders/>
            <w:shd w:fill="FFFFFF" w:val="clear"/>
            <w:vAlign w:val="center"/>
          </w:tcPr>
          <w:p>
            <w:pPr>
              <w:pStyle w:val="TableContents"/>
              <w:bidi w:val="0"/>
              <w:spacing w:before="0" w:after="0"/>
              <w:ind w:left="0" w:right="0" w:hanging="0"/>
              <w:jc w:val="left"/>
              <w:rPr/>
            </w:pPr>
            <w:r>
              <w:rPr/>
              <w:t>​</w:t>
            </w:r>
          </w:p>
        </w:tc>
        <w:tc>
          <w:tcPr>
            <w:tcW w:w="96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7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454</w:t>
            </w:r>
          </w:p>
        </w:tc>
        <w:tc>
          <w:tcPr>
            <w:tcW w:w="26" w:type="dxa"/>
            <w:tcBorders/>
            <w:shd w:fill="FFFFFF" w:val="clear"/>
            <w:vAlign w:val="center"/>
          </w:tcPr>
          <w:p>
            <w:pPr>
              <w:pStyle w:val="TableContents"/>
              <w:bidi w:val="0"/>
              <w:spacing w:before="0" w:after="0"/>
              <w:ind w:left="0" w:right="0" w:hanging="0"/>
              <w:jc w:val="left"/>
              <w:rPr/>
            </w:pPr>
            <w:r>
              <w:rPr/>
              <w:t>​</w:t>
            </w:r>
          </w:p>
        </w:tc>
      </w:tr>
      <w:tr>
        <w:trPr/>
        <w:tc>
          <w:tcPr>
            <w:tcW w:w="3348"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consumer</w:t>
            </w:r>
          </w:p>
        </w:tc>
        <w:tc>
          <w:tcPr>
            <w:tcW w:w="23"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348"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5,424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5,424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4,712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4,712</w:t>
            </w:r>
          </w:p>
        </w:tc>
        <w:tc>
          <w:tcPr>
            <w:tcW w:w="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348"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COMMERCIAL BUSINESS LOANS</w:t>
            </w:r>
          </w:p>
        </w:tc>
        <w:tc>
          <w:tcPr>
            <w:tcW w:w="23"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4"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784"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3348"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C&amp;I</w:t>
            </w:r>
          </w:p>
        </w:tc>
        <w:tc>
          <w:tcPr>
            <w:tcW w:w="23" w:type="dxa"/>
            <w:tcBorders/>
            <w:shd w:fill="FFFF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6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580</w:t>
            </w:r>
          </w:p>
        </w:tc>
        <w:tc>
          <w:tcPr>
            <w:tcW w:w="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348"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23" w:type="dxa"/>
            <w:tcBorders/>
            <w:shd w:fill="CCEEFF" w:val="clear"/>
            <w:vAlign w:val="center"/>
          </w:tcPr>
          <w:p>
            <w:pPr>
              <w:pStyle w:val="TableContents"/>
              <w:bidi w:val="0"/>
              <w:spacing w:before="0" w:after="0"/>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10,223</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5,424</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15,647</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4,632</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14,113</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18,745</w:t>
            </w:r>
          </w:p>
        </w:tc>
        <w:tc>
          <w:tcPr>
            <w:tcW w:w="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recognized interest income on a cash basis for nonaccrual loans of $142,000 and $140,000 during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$274,000 and $245,000 during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the amortized cost basis of collateral dependent loans by class of loans as of the dates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05"/>
        <w:gridCol w:w="60"/>
        <w:gridCol w:w="110"/>
        <w:gridCol w:w="425"/>
        <w:gridCol w:w="60"/>
        <w:gridCol w:w="60"/>
        <w:gridCol w:w="161"/>
        <w:gridCol w:w="624"/>
        <w:gridCol w:w="60"/>
        <w:gridCol w:w="60"/>
        <w:gridCol w:w="139"/>
        <w:gridCol w:w="541"/>
        <w:gridCol w:w="60"/>
        <w:gridCol w:w="60"/>
        <w:gridCol w:w="110"/>
        <w:gridCol w:w="515"/>
        <w:gridCol w:w="60"/>
        <w:gridCol w:w="60"/>
        <w:gridCol w:w="110"/>
        <w:gridCol w:w="515"/>
        <w:gridCol w:w="60"/>
        <w:gridCol w:w="60"/>
        <w:gridCol w:w="161"/>
        <w:gridCol w:w="624"/>
        <w:gridCol w:w="60"/>
        <w:gridCol w:w="60"/>
        <w:gridCol w:w="139"/>
        <w:gridCol w:w="541"/>
        <w:gridCol w:w="60"/>
        <w:gridCol w:w="60"/>
        <w:gridCol w:w="110"/>
        <w:gridCol w:w="515"/>
        <w:gridCol w:w="60"/>
      </w:tblGrid>
      <w:tr>
        <w:trPr/>
        <w:tc>
          <w:tcPr>
            <w:tcW w:w="39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8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075"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December 31, 2025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9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Residential</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Other</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16"/>
              </w:rPr>
              <w:t>Residential</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16"/>
              </w:rPr>
              <w:t>Other</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9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Real</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Non-Real</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8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16"/>
              </w:rPr>
              <w:t>Real</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16"/>
              </w:rPr>
              <w:t>Non-Real</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905" w:type="dxa"/>
            <w:tcBorders/>
            <w:shd w:fill="FFFFFF" w:val="cle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CRE LOANS</w:t>
            </w:r>
          </w:p>
        </w:tc>
        <w:tc>
          <w:tcPr>
            <w:tcW w:w="60" w:type="dxa"/>
            <w:tcBorders/>
            <w:shd w:fill="FFFFFF" w:val="clear"/>
            <w:vAlign w:val="center"/>
          </w:tcPr>
          <w:p>
            <w:pPr>
              <w:pStyle w:val="TableContents"/>
              <w:bidi w:val="0"/>
              <w:spacing w:before="0" w:after="0"/>
              <w:ind w:left="0" w:right="0" w:hanging="0"/>
              <w:jc w:val="left"/>
              <w:rPr/>
            </w:pPr>
            <w:r>
              <w:rPr/>
              <w:t> </w:t>
            </w:r>
          </w:p>
        </w:tc>
        <w:tc>
          <w:tcPr>
            <w:tcW w:w="5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CRE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Estate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Estate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CRE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Estate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Estate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Total</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CRE owner occupied</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614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1"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614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2,049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1"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41"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2,049</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Commercial and speculative construction and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7,164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7,164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9,236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9,236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7,778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7,778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11,285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11,285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9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1" w:type="dxa"/>
            <w:tcBorders/>
            <w:shd w:fill="FFFFFF" w:val="clear"/>
            <w:vAlign w:val="center"/>
          </w:tcPr>
          <w:p>
            <w:pPr>
              <w:pStyle w:val="TableContents"/>
              <w:bidi w:val="0"/>
              <w:spacing w:before="0" w:after="0"/>
              <w:ind w:left="0" w:right="0" w:hanging="0"/>
              <w:jc w:val="left"/>
              <w:rPr/>
            </w:pPr>
            <w:r>
              <w:rPr/>
              <w:t> </w:t>
            </w:r>
          </w:p>
        </w:tc>
        <w:tc>
          <w:tcPr>
            <w:tcW w:w="62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1" w:type="dxa"/>
            <w:tcBorders/>
            <w:shd w:fill="FFFFFF" w:val="clear"/>
            <w:vAlign w:val="center"/>
          </w:tcPr>
          <w:p>
            <w:pPr>
              <w:pStyle w:val="TableContents"/>
              <w:bidi w:val="0"/>
              <w:spacing w:before="0" w:after="0"/>
              <w:ind w:left="0" w:right="0" w:hanging="0"/>
              <w:jc w:val="left"/>
              <w:rPr/>
            </w:pPr>
            <w:r>
              <w:rPr/>
              <w:t> </w:t>
            </w:r>
          </w:p>
        </w:tc>
        <w:tc>
          <w:tcPr>
            <w:tcW w:w="62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905" w:type="dxa"/>
            <w:tcBorders/>
            <w:shd w:fill="CCEEFF" w:val="cle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RESIDENTIAL REAL ESTATE LOANS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1" w:type="dxa"/>
            <w:tcBorders/>
            <w:shd w:fill="CCEEFF" w:val="clear"/>
            <w:vAlign w:val="center"/>
          </w:tcPr>
          <w:p>
            <w:pPr>
              <w:pStyle w:val="TableContents"/>
              <w:bidi w:val="0"/>
              <w:spacing w:before="0" w:after="0"/>
              <w:ind w:left="0" w:right="0" w:hanging="0"/>
              <w:jc w:val="left"/>
              <w:rPr/>
            </w:pPr>
            <w:r>
              <w:rPr/>
              <w:t> </w:t>
            </w:r>
          </w:p>
        </w:tc>
        <w:tc>
          <w:tcPr>
            <w:tcW w:w="624"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1" w:type="dxa"/>
            <w:tcBorders/>
            <w:shd w:fill="CCEEFF" w:val="clear"/>
            <w:vAlign w:val="center"/>
          </w:tcPr>
          <w:p>
            <w:pPr>
              <w:pStyle w:val="TableContents"/>
              <w:bidi w:val="0"/>
              <w:spacing w:before="0" w:after="0"/>
              <w:ind w:left="0" w:right="0" w:hanging="0"/>
              <w:jc w:val="left"/>
              <w:rPr/>
            </w:pPr>
            <w:r>
              <w:rPr/>
              <w:t> </w:t>
            </w:r>
          </w:p>
        </w:tc>
        <w:tc>
          <w:tcPr>
            <w:tcW w:w="624"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One-to-four-family</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1" w:type="dxa"/>
            <w:tcBorders/>
            <w:shd w:fill="FFFFFF" w:val="clear"/>
            <w:vAlign w:val="center"/>
          </w:tcPr>
          <w:p>
            <w:pPr>
              <w:pStyle w:val="TableContents"/>
              <w:bidi w:val="0"/>
              <w:spacing w:before="0" w:after="0"/>
              <w:ind w:left="0" w:right="0" w:hanging="0"/>
              <w:jc w:val="left"/>
              <w:rPr/>
            </w:pPr>
            <w:r>
              <w:rPr/>
              <w:t> </w:t>
            </w:r>
          </w:p>
        </w:tc>
        <w:tc>
          <w:tcPr>
            <w:tcW w:w="624"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1,973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1,973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1" w:type="dxa"/>
            <w:tcBorders/>
            <w:shd w:fill="FFFFFF" w:val="clear"/>
            <w:vAlign w:val="center"/>
          </w:tcPr>
          <w:p>
            <w:pPr>
              <w:pStyle w:val="TableContents"/>
              <w:bidi w:val="0"/>
              <w:spacing w:before="0" w:after="0"/>
              <w:ind w:left="0" w:right="0" w:hanging="0"/>
              <w:jc w:val="left"/>
              <w:rPr/>
            </w:pPr>
            <w:r>
              <w:rPr/>
              <w:t> </w:t>
            </w:r>
          </w:p>
        </w:tc>
        <w:tc>
          <w:tcPr>
            <w:tcW w:w="624"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1,778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1,778</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Home equity</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472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472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9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2,445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2,445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2,168</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2,168</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1" w:type="dxa"/>
            <w:tcBorders/>
            <w:shd w:fill="CCEEFF" w:val="clear"/>
            <w:vAlign w:val="center"/>
          </w:tcPr>
          <w:p>
            <w:pPr>
              <w:pStyle w:val="TableContents"/>
              <w:bidi w:val="0"/>
              <w:spacing w:before="0" w:after="0"/>
              <w:ind w:left="0" w:right="0" w:hanging="0"/>
              <w:jc w:val="left"/>
              <w:rPr/>
            </w:pPr>
            <w:r>
              <w:rPr/>
              <w:t> </w:t>
            </w:r>
          </w:p>
        </w:tc>
        <w:tc>
          <w:tcPr>
            <w:tcW w:w="624"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1" w:type="dxa"/>
            <w:tcBorders/>
            <w:shd w:fill="CCEEFF" w:val="clear"/>
            <w:vAlign w:val="center"/>
          </w:tcPr>
          <w:p>
            <w:pPr>
              <w:pStyle w:val="TableContents"/>
              <w:bidi w:val="0"/>
              <w:spacing w:before="0" w:after="0"/>
              <w:ind w:left="0" w:right="0" w:hanging="0"/>
              <w:jc w:val="left"/>
              <w:rPr/>
            </w:pPr>
            <w:r>
              <w:rPr/>
              <w:t> </w:t>
            </w:r>
          </w:p>
        </w:tc>
        <w:tc>
          <w:tcPr>
            <w:tcW w:w="624"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905" w:type="dxa"/>
            <w:tcBorders/>
            <w:shd w:fill="FFFFFF" w:val="cle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CONSUMER LOANS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1" w:type="dxa"/>
            <w:tcBorders/>
            <w:shd w:fill="FFFFFF" w:val="clear"/>
            <w:vAlign w:val="center"/>
          </w:tcPr>
          <w:p>
            <w:pPr>
              <w:pStyle w:val="TableContents"/>
              <w:bidi w:val="0"/>
              <w:spacing w:before="0" w:after="0"/>
              <w:ind w:left="0" w:right="0" w:hanging="0"/>
              <w:jc w:val="left"/>
              <w:rPr/>
            </w:pPr>
            <w:r>
              <w:rPr/>
              <w:t> </w:t>
            </w:r>
          </w:p>
        </w:tc>
        <w:tc>
          <w:tcPr>
            <w:tcW w:w="62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1" w:type="dxa"/>
            <w:tcBorders/>
            <w:shd w:fill="FFFFFF" w:val="clear"/>
            <w:vAlign w:val="center"/>
          </w:tcPr>
          <w:p>
            <w:pPr>
              <w:pStyle w:val="TableContents"/>
              <w:bidi w:val="0"/>
              <w:spacing w:before="0" w:after="0"/>
              <w:ind w:left="0" w:right="0" w:hanging="0"/>
              <w:jc w:val="left"/>
              <w:rPr/>
            </w:pPr>
            <w:r>
              <w:rPr/>
              <w:t> </w:t>
            </w:r>
          </w:p>
        </w:tc>
        <w:tc>
          <w:tcPr>
            <w:tcW w:w="62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Indirect home improvement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1" w:type="dxa"/>
            <w:tcBorders/>
            <w:shd w:fill="CCEEFF" w:val="clear"/>
            <w:vAlign w:val="center"/>
          </w:tcPr>
          <w:p>
            <w:pPr>
              <w:pStyle w:val="TableContents"/>
              <w:bidi w:val="0"/>
              <w:spacing w:before="0" w:after="0"/>
              <w:ind w:left="0" w:right="0" w:hanging="0"/>
              <w:jc w:val="left"/>
              <w:rPr/>
            </w:pPr>
            <w:r>
              <w:rPr/>
              <w:t> </w:t>
            </w:r>
          </w:p>
        </w:tc>
        <w:tc>
          <w:tcPr>
            <w:tcW w:w="624"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4,799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4,799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1" w:type="dxa"/>
            <w:tcBorders/>
            <w:shd w:fill="CCEEFF" w:val="clear"/>
            <w:vAlign w:val="center"/>
          </w:tcPr>
          <w:p>
            <w:pPr>
              <w:pStyle w:val="TableContents"/>
              <w:bidi w:val="0"/>
              <w:spacing w:before="0" w:after="0"/>
              <w:ind w:left="0" w:right="0" w:hanging="0"/>
              <w:jc w:val="left"/>
              <w:rPr/>
            </w:pPr>
            <w:r>
              <w:rPr/>
              <w:t> </w:t>
            </w:r>
          </w:p>
        </w:tc>
        <w:tc>
          <w:tcPr>
            <w:tcW w:w="624" w:type="dxa"/>
            <w:tcBorders/>
            <w:shd w:fill="CCEEFF" w:val="clear"/>
            <w:vAlign w:val="center"/>
          </w:tcPr>
          <w:p>
            <w:pPr>
              <w:pStyle w:val="TableContents"/>
              <w:bidi w:val="0"/>
              <w:spacing w:before="0" w:after="0"/>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shd w:fill="CCEEFF" w:val="clear"/>
            <w:vAlign w:val="center"/>
          </w:tcPr>
          <w:p>
            <w:pPr>
              <w:pStyle w:val="TableContents"/>
              <w:bidi w:val="0"/>
              <w:spacing w:before="0" w:after="0"/>
              <w:ind w:left="0" w:right="0" w:hanging="0"/>
              <w:jc w:val="left"/>
              <w:rPr/>
            </w:pPr>
            <w:r>
              <w:rPr/>
              <w:t> </w:t>
            </w:r>
          </w:p>
        </w:tc>
        <w:tc>
          <w:tcPr>
            <w:tcW w:w="54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4,256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51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4,256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390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Marine</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42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606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606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2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454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454</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9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5,405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5,405</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4,710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4,710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905" w:type="dxa"/>
            <w:tcBorders/>
            <w:shd w:fill="FFFFFF" w:val="cle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COMMERCIAL BUSINESS LOANS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1" w:type="dxa"/>
            <w:tcBorders/>
            <w:shd w:fill="FFFFFF" w:val="clear"/>
            <w:vAlign w:val="center"/>
          </w:tcPr>
          <w:p>
            <w:pPr>
              <w:pStyle w:val="TableContents"/>
              <w:bidi w:val="0"/>
              <w:spacing w:before="0" w:after="0"/>
              <w:ind w:left="0" w:right="0" w:hanging="0"/>
              <w:jc w:val="left"/>
              <w:rPr/>
            </w:pPr>
            <w:r>
              <w:rPr/>
              <w:t> </w:t>
            </w:r>
          </w:p>
        </w:tc>
        <w:tc>
          <w:tcPr>
            <w:tcW w:w="62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1" w:type="dxa"/>
            <w:tcBorders/>
            <w:shd w:fill="FFFFFF" w:val="clear"/>
            <w:vAlign w:val="center"/>
          </w:tcPr>
          <w:p>
            <w:pPr>
              <w:pStyle w:val="TableContents"/>
              <w:bidi w:val="0"/>
              <w:spacing w:before="0" w:after="0"/>
              <w:ind w:left="0" w:right="0" w:hanging="0"/>
              <w:jc w:val="left"/>
              <w:rPr/>
            </w:pPr>
            <w:r>
              <w:rPr/>
              <w:t> </w:t>
            </w:r>
          </w:p>
        </w:tc>
        <w:tc>
          <w:tcPr>
            <w:tcW w:w="62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shd w:fill="FFFFFF" w:val="clear"/>
            <w:vAlign w:val="center"/>
          </w:tcPr>
          <w:p>
            <w:pPr>
              <w:pStyle w:val="TableContents"/>
              <w:bidi w:val="0"/>
              <w:spacing w:before="0" w:after="0"/>
              <w:ind w:left="0" w:right="0" w:hanging="0"/>
              <w:jc w:val="left"/>
              <w:rPr/>
            </w:pPr>
            <w:r>
              <w:rPr/>
              <w:t> </w:t>
            </w:r>
          </w:p>
        </w:tc>
        <w:tc>
          <w:tcPr>
            <w:tcW w:w="54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5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390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6"/>
              </w:rPr>
            </w:pPr>
            <w:r>
              <w:rPr>
                <w:rFonts w:ascii="Times New Roman" w:hAnsi="Times New Roman"/>
                <w:caps w:val="false"/>
                <w:smallCaps w:val="false"/>
                <w:sz w:val="16"/>
              </w:rPr>
              <w:t>C&amp;I</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42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398</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3905"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Total</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42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7,778</w:t>
            </w:r>
          </w:p>
        </w:tc>
        <w:tc>
          <w:tcPr>
            <w:tcW w:w="6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2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2,445</w:t>
            </w:r>
          </w:p>
        </w:tc>
        <w:tc>
          <w:tcPr>
            <w:tcW w:w="6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4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5,405</w:t>
            </w:r>
          </w:p>
        </w:tc>
        <w:tc>
          <w:tcPr>
            <w:tcW w:w="6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15,628</w:t>
            </w:r>
          </w:p>
        </w:tc>
        <w:tc>
          <w:tcPr>
            <w:tcW w:w="6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11,285</w:t>
            </w:r>
          </w:p>
        </w:tc>
        <w:tc>
          <w:tcPr>
            <w:tcW w:w="6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62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2,168</w:t>
            </w:r>
          </w:p>
        </w:tc>
        <w:tc>
          <w:tcPr>
            <w:tcW w:w="6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4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5,108</w:t>
            </w:r>
          </w:p>
        </w:tc>
        <w:tc>
          <w:tcPr>
            <w:tcW w:w="6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1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18,561</w:t>
            </w:r>
          </w:p>
        </w:tc>
        <w:tc>
          <w:tcPr>
            <w:tcW w:w="60" w:type="dxa"/>
            <w:tcBorders>
              <w:bottom w:val="double" w:sz="6" w:space="0" w:color="000000"/>
            </w:tcBorders>
            <w:shd w:fill="FFFFFF" w:val="clear"/>
            <w:tcMar>
              <w:bottom w:w="45"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xml:space="preserve"> </w:t>
      </w:r>
      <w:r>
        <w:rPr>
          <w:rStyle w:val="Emphasis"/>
          <w:rFonts w:ascii="Times New Roman" w:hAnsi="Times New Roman"/>
          <w:b/>
          <w:caps w:val="false"/>
          <w:smallCaps w:val="false"/>
          <w:sz w:val="20"/>
        </w:rPr>
        <w:t>4</w:t>
      </w:r>
      <w:r>
        <w:rPr>
          <w:rFonts w:ascii="Times New Roman" w:hAnsi="Times New Roman"/>
          <w:caps w:val="false"/>
          <w:smallCaps w:val="false"/>
          <w:sz w:val="20"/>
        </w:rPr>
        <w:t xml:space="preserve"> – </w:t>
      </w:r>
      <w:r>
        <w:rPr>
          <w:rFonts w:ascii="Times New Roman" w:hAnsi="Times New Roman"/>
          <w:b/>
          <w:caps w:val="false"/>
          <w:smallCaps w:val="false"/>
          <w:sz w:val="20"/>
        </w:rPr>
        <w:t>MORTGAGE SERVICING RIGHTS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Loans serviced for others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included on the Consolidated Balance Sheets. The unpaid principal balance of residential mortgage loans serviced for others was $1.71 billion and $1.67 billion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respectively. Custodial escrow balances maintained in connection with loans serviced for others were $12.1 million and $10.9 million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MSRs activity at or for the dates indicated:</w:t>
      </w:r>
    </w:p>
    <w:p>
      <w:pPr>
        <w:pStyle w:val="TextBody"/>
        <w:bidi w:val="0"/>
        <w:spacing w:before="0" w:after="0"/>
        <w:ind w:left="0" w:right="0" w:hanging="0"/>
        <w:jc w:val="left"/>
        <w:rPr>
          <w:caps w:val="false"/>
          <w:smallCaps w:val="false"/>
        </w:rPr>
      </w:pPr>
      <w:r>
        <w:rPr>
          <w:caps w:val="false"/>
          <w:smallCaps w:val="false"/>
        </w:rPr>
        <w:t> </w:t>
      </w:r>
    </w:p>
    <w:tbl>
      <w:tblPr>
        <w:tblW w:w="7153" w:type="dxa"/>
        <w:jc w:val="left"/>
        <w:tblInd w:w="0" w:type="dxa"/>
        <w:tblLayout w:type="fixed"/>
        <w:tblCellMar>
          <w:top w:w="0" w:type="dxa"/>
          <w:left w:w="0" w:type="dxa"/>
          <w:bottom w:w="0" w:type="dxa"/>
          <w:right w:w="0" w:type="dxa"/>
        </w:tblCellMar>
      </w:tblPr>
      <w:tblGrid>
        <w:gridCol w:w="4205"/>
        <w:gridCol w:w="60"/>
        <w:gridCol w:w="262"/>
        <w:gridCol w:w="1017"/>
        <w:gridCol w:w="125"/>
        <w:gridCol w:w="125"/>
        <w:gridCol w:w="262"/>
        <w:gridCol w:w="1017"/>
        <w:gridCol w:w="80"/>
      </w:tblGrid>
      <w:tr>
        <w:trPr/>
        <w:tc>
          <w:tcPr>
            <w:tcW w:w="42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08"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At or For the Three Months Ended</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2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2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12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at the lower of cost or fair value</w:t>
            </w:r>
          </w:p>
        </w:tc>
        <w:tc>
          <w:tcPr>
            <w:tcW w:w="60" w:type="dxa"/>
            <w:tcBorders/>
            <w:shd w:fill="CCEEFF" w:val="clear"/>
            <w:vAlign w:val="center"/>
          </w:tcPr>
          <w:p>
            <w:pPr>
              <w:pStyle w:val="TableContents"/>
              <w:bidi w:val="0"/>
              <w:spacing w:before="0" w:after="0"/>
              <w:ind w:left="0" w:right="0" w:hanging="0"/>
              <w:jc w:val="left"/>
              <w:rPr/>
            </w:pPr>
            <w:r>
              <w:rPr/>
              <w:t> </w:t>
            </w:r>
          </w:p>
        </w:tc>
        <w:tc>
          <w:tcPr>
            <w:tcW w:w="2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8,676</w:t>
            </w:r>
          </w:p>
        </w:tc>
        <w:tc>
          <w:tcPr>
            <w:tcW w:w="12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26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8,926</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2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vAlign w:val="center"/>
          </w:tcPr>
          <w:p>
            <w:pPr>
              <w:pStyle w:val="TableContents"/>
              <w:bidi w:val="0"/>
              <w:spacing w:before="0" w:after="0"/>
              <w:ind w:left="0" w:right="0" w:hanging="0"/>
              <w:jc w:val="left"/>
              <w:rPr/>
            </w:pPr>
            <w:r>
              <w:rPr/>
              <w:t> </w:t>
            </w:r>
          </w:p>
        </w:tc>
        <w:tc>
          <w:tcPr>
            <w:tcW w:w="262" w:type="dxa"/>
            <w:tcBorders/>
            <w:shd w:fill="FFFFFF" w:val="clear"/>
            <w:vAlign w:val="center"/>
          </w:tcPr>
          <w:p>
            <w:pPr>
              <w:pStyle w:val="TableContents"/>
              <w:bidi w:val="0"/>
              <w:spacing w:before="0" w:after="0"/>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949</w:t>
            </w:r>
          </w:p>
        </w:tc>
        <w:tc>
          <w:tcPr>
            <w:tcW w:w="125"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262" w:type="dxa"/>
            <w:tcBorders/>
            <w:shd w:fill="FFFFFF" w:val="clear"/>
            <w:vAlign w:val="center"/>
          </w:tcPr>
          <w:p>
            <w:pPr>
              <w:pStyle w:val="TableContents"/>
              <w:bidi w:val="0"/>
              <w:spacing w:before="0" w:after="0"/>
              <w:ind w:left="0" w:right="0" w:hanging="0"/>
              <w:jc w:val="left"/>
              <w:rPr/>
            </w:pPr>
            <w:r>
              <w:rPr/>
              <w:t> </w:t>
            </w:r>
          </w:p>
        </w:tc>
        <w:tc>
          <w:tcPr>
            <w:tcW w:w="10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2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MSRs amortized</w:t>
            </w:r>
          </w:p>
        </w:tc>
        <w:tc>
          <w:tcPr>
            <w:tcW w:w="60" w:type="dxa"/>
            <w:tcBorders/>
            <w:shd w:fill="CCEEFF" w:val="clear"/>
            <w:vAlign w:val="center"/>
          </w:tcPr>
          <w:p>
            <w:pPr>
              <w:pStyle w:val="TableContents"/>
              <w:bidi w:val="0"/>
              <w:spacing w:before="0" w:after="0"/>
              <w:ind w:left="0" w:right="0" w:hanging="0"/>
              <w:jc w:val="left"/>
              <w:rPr/>
            </w:pPr>
            <w:r>
              <w:rPr/>
              <w:t> </w:t>
            </w:r>
          </w:p>
        </w:tc>
        <w:tc>
          <w:tcPr>
            <w:tcW w:w="262"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w:t>
            </w:r>
          </w:p>
        </w:tc>
        <w:tc>
          <w:tcPr>
            <w:tcW w:w="125"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262" w:type="dxa"/>
            <w:tcBorders/>
            <w:shd w:fill="CCEEFF" w:val="clear"/>
            <w:vAlign w:val="center"/>
          </w:tcPr>
          <w:p>
            <w:pPr>
              <w:pStyle w:val="TableContents"/>
              <w:bidi w:val="0"/>
              <w:spacing w:before="0" w:after="0"/>
              <w:ind w:left="0" w:right="0" w:hanging="0"/>
              <w:jc w:val="left"/>
              <w:rPr/>
            </w:pPr>
            <w:r>
              <w:rPr/>
              <w:t> </w:t>
            </w:r>
          </w:p>
        </w:tc>
        <w:tc>
          <w:tcPr>
            <w:tcW w:w="10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of MSRs</w:t>
            </w:r>
          </w:p>
        </w:tc>
        <w:tc>
          <w:tcPr>
            <w:tcW w:w="60" w:type="dxa"/>
            <w:tcBorders/>
            <w:shd w:fill="FFFFFF" w:val="clear"/>
            <w:vAlign w:val="center"/>
          </w:tcPr>
          <w:p>
            <w:pPr>
              <w:pStyle w:val="TableContents"/>
              <w:bidi w:val="0"/>
              <w:spacing w:before="0" w:after="0"/>
              <w:ind w:left="0" w:right="0" w:hanging="0"/>
              <w:jc w:val="left"/>
              <w:rPr/>
            </w:pPr>
            <w:r>
              <w:rPr/>
              <w:t> </w:t>
            </w:r>
          </w:p>
        </w:tc>
        <w:tc>
          <w:tcPr>
            <w:tcW w:w="2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2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0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at the lower of cost or fair value</w:t>
            </w:r>
          </w:p>
        </w:tc>
        <w:tc>
          <w:tcPr>
            <w:tcW w:w="60" w:type="dxa"/>
            <w:tcBorders/>
            <w:shd w:fill="CCEEFF" w:val="clear"/>
            <w:vAlign w:val="center"/>
          </w:tcPr>
          <w:p>
            <w:pPr>
              <w:pStyle w:val="TableContents"/>
              <w:bidi w:val="0"/>
              <w:spacing w:before="0" w:after="0"/>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8,912</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26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941" w:type="dxa"/>
        <w:jc w:val="left"/>
        <w:tblInd w:w="0" w:type="dxa"/>
        <w:tblLayout w:type="fixed"/>
        <w:tblCellMar>
          <w:top w:w="0" w:type="dxa"/>
          <w:left w:w="0" w:type="dxa"/>
          <w:bottom w:w="0" w:type="dxa"/>
          <w:right w:w="0" w:type="dxa"/>
        </w:tblCellMar>
      </w:tblPr>
      <w:tblGrid>
        <w:gridCol w:w="4205"/>
        <w:gridCol w:w="60"/>
        <w:gridCol w:w="213"/>
        <w:gridCol w:w="1034"/>
        <w:gridCol w:w="102"/>
        <w:gridCol w:w="102"/>
        <w:gridCol w:w="213"/>
        <w:gridCol w:w="932"/>
        <w:gridCol w:w="80"/>
      </w:tblGrid>
      <w:tr>
        <w:trPr/>
        <w:tc>
          <w:tcPr>
            <w:tcW w:w="42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96"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At or For the Six Months Ended</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2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2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4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11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balance, at the lower of cost or fair value</w:t>
            </w:r>
          </w:p>
        </w:tc>
        <w:tc>
          <w:tcPr>
            <w:tcW w:w="60"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8,608</w:t>
            </w:r>
          </w:p>
        </w:tc>
        <w:tc>
          <w:tcPr>
            <w:tcW w:w="102"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2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w:t>
            </w:r>
          </w:p>
        </w:tc>
        <w:tc>
          <w:tcPr>
            <w:tcW w:w="102" w:type="dxa"/>
            <w:tcBorders/>
            <w:shd w:fill="FFFFFF" w:val="cle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732</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20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MSRs amortized</w:t>
            </w:r>
          </w:p>
        </w:tc>
        <w:tc>
          <w:tcPr>
            <w:tcW w:w="60"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(1,570)</w:t>
            </w:r>
          </w:p>
        </w:tc>
        <w:tc>
          <w:tcPr>
            <w:tcW w:w="102" w:type="dxa"/>
            <w:tcBorders/>
            <w:shd w:fill="CCEEFF" w:val="cle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0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Recovery (impairment) of MSRs</w:t>
            </w:r>
          </w:p>
        </w:tc>
        <w:tc>
          <w:tcPr>
            <w:tcW w:w="60" w:type="dxa"/>
            <w:tcBorders/>
            <w:shd w:fill="FFFF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 w:type="dxa"/>
            <w:tcBorders/>
            <w:shd w:fill="FFFF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0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Ending balance, at the lower of cost or fair value</w:t>
            </w:r>
          </w:p>
        </w:tc>
        <w:tc>
          <w:tcPr>
            <w:tcW w:w="60" w:type="dxa"/>
            <w:tcBorders/>
            <w:shd w:fill="CCEEFF" w:val="clear"/>
            <w:vAlign w:val="center"/>
          </w:tcPr>
          <w:p>
            <w:pPr>
              <w:pStyle w:val="TableContents"/>
              <w:bidi w:val="0"/>
              <w:spacing w:before="0" w:after="0"/>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8,912</w:t>
            </w:r>
          </w:p>
        </w:tc>
        <w:tc>
          <w:tcPr>
            <w:tcW w:w="1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 w:type="dxa"/>
            <w:tcBorders/>
            <w:shd w:fill="CCEEFF" w:val="clear"/>
            <w:vAlign w:val="center"/>
          </w:tcPr>
          <w:p>
            <w:pPr>
              <w:pStyle w:val="TableContents"/>
              <w:bidi w:val="0"/>
              <w:spacing w:before="0" w:after="0"/>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fair value of the MSRs assets was $23.2 million and $21.8 million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respectively.  Fair value adjustments to MSRs are mainly due to market-based assumptions associated with discounted cash flows, loan prepayment speeds, and changes in interest rates.  A significant change in prepayments of the loans in the MSRs portfolio could result in significant changes in the valuation adjustments, thus creating potential volatility in the carrying amount of MSRs.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Key economic assumptions used in estimating the current fair value of single-family MSRs are presented in the table below. The table also presents the sensitivity of the fair value of the MSR portfolio to adverse changes in key valuation assumptions. Two sets of sensitivities are provided: (i) prepayment sensitivity, reflecting the impact of 10% and 20% adverse changes in prepayment speeds while holding the discount rate constant; and (ii) discount rate sensitivity, reflecting the impact of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w:t>
      </w:r>
      <w:r>
        <w:rPr>
          <w:rFonts w:ascii="Times New Roman" w:hAnsi="Times New Roman"/>
          <w:caps w:val="false"/>
          <w:smallCaps w:val="false"/>
          <w:sz w:val="20"/>
        </w:rPr>
        <w:t xml:space="preserve"> adverse changes in the discount rate while holding the prepayment assumption constant.</w:t>
      </w:r>
    </w:p>
    <w:p>
      <w:pPr>
        <w:pStyle w:val="TextBody"/>
        <w:bidi w:val="0"/>
        <w:spacing w:before="0" w:after="0"/>
        <w:ind w:left="0" w:right="0" w:hanging="0"/>
        <w:jc w:val="both"/>
        <w:rPr>
          <w:caps w:val="false"/>
          <w:smallCaps w:val="false"/>
        </w:rPr>
      </w:pPr>
      <w:r>
        <w:rPr>
          <w:caps w:val="false"/>
          <w:smallCaps w:val="false"/>
        </w:rPr>
        <w:t> </w:t>
      </w:r>
    </w:p>
    <w:tbl>
      <w:tblPr>
        <w:tblW w:w="7604" w:type="dxa"/>
        <w:jc w:val="left"/>
        <w:tblInd w:w="0" w:type="dxa"/>
        <w:tblLayout w:type="fixed"/>
        <w:tblCellMar>
          <w:top w:w="0" w:type="dxa"/>
          <w:left w:w="0" w:type="dxa"/>
          <w:bottom w:w="0" w:type="dxa"/>
          <w:right w:w="0" w:type="dxa"/>
        </w:tblCellMar>
      </w:tblPr>
      <w:tblGrid>
        <w:gridCol w:w="5015"/>
        <w:gridCol w:w="60"/>
        <w:gridCol w:w="125"/>
        <w:gridCol w:w="845"/>
        <w:gridCol w:w="185"/>
        <w:gridCol w:w="60"/>
        <w:gridCol w:w="145"/>
        <w:gridCol w:w="984"/>
        <w:gridCol w:w="185"/>
      </w:tblGrid>
      <w:tr>
        <w:trPr/>
        <w:tc>
          <w:tcPr>
            <w:tcW w:w="50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20"/>
              </w:rPr>
              <w:t>June 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29"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sz w:val="20"/>
              </w:rPr>
              <w:t>December 31,</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501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2026</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0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Aggregate portfolio principal balance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1,706,939</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1,673,501</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50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rate of loans in MSRs portfolio</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0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Fair value MSRs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23,202</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21,800</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50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life in years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50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Weighted average constant prepayment rate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0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Decline in fair value from 10% adverse change (prepayment)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761</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736</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50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Decline in fair value from 20% adverse change (prepayment)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1,185</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1,253</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50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Effective discount rate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01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Decline in fair value from 10% adverse change (discount rate)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970</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899</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501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Decline in fair value from 20% adverse change (discount rate)</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1,868</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1,730</w:t>
            </w:r>
          </w:p>
        </w:tc>
        <w:tc>
          <w:tcPr>
            <w:tcW w:w="185"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These sensitivities are hypothetical and should be used with caution, as the table above demonstrates that the estimated fair value of MSRs is highly sensitive to changes in key assumptions. For example, actual prepayment experience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differ and any difference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a material effect on the fair value of MSRs. Changes in fair value resulting from changes in assumptions generally cannot be extrapolated because the relationship of the change in the assumption to the change in fair value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linear. Also, in this table, the effects of a variation in a particular assumption on the fair value of MSRs are calculated without changing any other assumption; in reality, changes in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factor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associated with changes in another (for example, decreases in market interest rates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provide an incentive to refinance, however, this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also indicate a slowing economy and an increase in the unemployment rate, which reduces the number of borrowers who qualify for refinancing), which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magnify or counteract the sensitivities. Thus, any measurement of the fair value of MSRs is limited by the conditions existing and assumptions made at a particular point in time. Those assumptions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appropriate if they are applied to a different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recorded $1.1 million for gross contractually specified servicing fees, late fees, and other ancillary fees resulting from servicing of loans for both the </w:t>
      </w:r>
      <w:r>
        <w:rPr>
          <w:rStyle w:val="Emphasis"/>
          <w:rFonts w:ascii="Times New Roman" w:hAnsi="Times New Roman"/>
          <w:caps w:val="false"/>
          <w:smallCaps w:val="false"/>
          <w:sz w:val="20"/>
        </w:rPr>
        <w:t>three</w:t>
      </w:r>
      <w:r>
        <w:rPr>
          <w:rFonts w:ascii="Times New Roman" w:hAnsi="Times New Roman"/>
          <w:caps w:val="false"/>
          <w:smallCaps w:val="false"/>
          <w:sz w:val="20"/>
        </w:rPr>
        <w:t>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$2.3 million and $2.2 million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 The related income, net of amortization of MSRs, is reported in “Service charges and fee income” on the Consolidated Statements of Income.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xml:space="preserve"> </w:t>
      </w:r>
      <w:r>
        <w:rPr>
          <w:rStyle w:val="Emphasis"/>
          <w:rFonts w:ascii="Times New Roman" w:hAnsi="Times New Roman"/>
          <w:b/>
          <w:caps w:val="false"/>
          <w:smallCaps w:val="false"/>
          <w:sz w:val="20"/>
        </w:rPr>
        <w:t>5</w:t>
      </w:r>
      <w:r>
        <w:rPr>
          <w:rFonts w:ascii="Times New Roman" w:hAnsi="Times New Roman"/>
          <w:caps w:val="false"/>
          <w:smallCaps w:val="false"/>
          <w:sz w:val="20"/>
        </w:rPr>
        <w:t xml:space="preserve"> – </w:t>
      </w:r>
      <w:r>
        <w:rPr>
          <w:rFonts w:ascii="Times New Roman" w:hAnsi="Times New Roman"/>
          <w:b/>
          <w:caps w:val="false"/>
          <w:smallCaps w:val="false"/>
          <w:sz w:val="20"/>
        </w:rPr>
        <w:t>DERIVATIVES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exposed to certain risks arising from both its business operations and economic conditions. The Company principally manages its exposures to a wide variety of business and operational risks through management of its core business activities. The Company manages economic risks, including interest rate, liquidity, and credit risk primarily by managing the amount, sources, and duration of its assets and liabilities and through the use of derivative financial instruments. Specifically, the Company enters into derivative financial instruments to manage exposures that arise from business activities that result in the receipt or payment of future known and uncertain cash amounts, the value of which is affected by changes in interest rates.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predominant derivative and hedging activities involve interest rate swaps related to certain borrowings, brokered deposits, investment securities, forward sales contracts, and commitments to extend credit associated with mortgage banking activities. Generally, these instruments help the Company manage exposure to market risk. Market risk represents the possibility that economic value or net interest income will be adversely affected by fluctuations in external factors such as market-driven interest rates and prices or other economic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Mortgage Banking Derivatives </w:t>
      </w:r>
      <w:r>
        <w:rPr>
          <w:rStyle w:val="Emphasis"/>
          <w:rFonts w:ascii="Times New Roman" w:hAnsi="Times New Roman"/>
          <w:b/>
          <w:i/>
          <w:caps w:val="false"/>
          <w:smallCaps w:val="false"/>
          <w:sz w:val="20"/>
        </w:rPr>
        <w:t>Not</w:t>
      </w:r>
      <w:r>
        <w:rPr>
          <w:rFonts w:ascii="Times New Roman" w:hAnsi="Times New Roman"/>
          <w:b/>
          <w:i/>
          <w:caps w:val="false"/>
          <w:smallCaps w:val="false"/>
          <w:sz w:val="20"/>
        </w:rPr>
        <w:t xml:space="preserve"> Designated as Hedges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regularly enters into commitments to originate and sell loans held for sale. The Company has exposure to movements in interest rates associated with written interest rate lock commitments with potential borrowers to originate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loans that are intended to be sold and closed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mortgage loans held for sale for which the fair value option has been elected and that are awaiting sale and delivery into the secondary market. The Company economically hedges the risk of changing interest rates associated with these mortgage loan commitments by entering into forward sales contracts to sell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mortgage loans or into contracts to sell forward To-Be-Announced (“TBA”) mortgage-backed securities. These commitments and contracts are considered derivatives but have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been designated as hedging instruments for reporting purposes under U.S. GAAP. Rather, they are accounted for as free-standing derivatives, or economic hedges, with changes in the fair value of the derivatives reported in noninterest income or noninterest expense. The Bank recognizes all derivative instruments as either “Other assets” or “Other liabilities” on the Consolidated Balance Sheets and measures those instruments at fair value.</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b/>
          <w:i/>
          <w:caps w:val="false"/>
          <w:smallCaps w:val="false"/>
          <w:sz w:val="20"/>
        </w:rPr>
        <w:t xml:space="preserve">Customer Swaps </w:t>
      </w:r>
      <w:r>
        <w:rPr>
          <w:rStyle w:val="Emphasis"/>
          <w:rFonts w:ascii="Times New Roman" w:hAnsi="Times New Roman"/>
          <w:b/>
          <w:i/>
          <w:caps w:val="false"/>
          <w:smallCaps w:val="false"/>
          <w:sz w:val="20"/>
        </w:rPr>
        <w:t>Not</w:t>
      </w:r>
      <w:r>
        <w:rPr>
          <w:rFonts w:ascii="Times New Roman" w:hAnsi="Times New Roman"/>
          <w:b/>
          <w:i/>
          <w:caps w:val="false"/>
          <w:smallCaps w:val="false"/>
          <w:sz w:val="20"/>
        </w:rPr>
        <w:t xml:space="preserve"> Designated as Hedges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also enters into derivative contracts, which consist of interest rate swaps, to facilitate the needs of clients desiring to manage interest rate risk. These swaps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designated as accounting hedges under ASC </w:t>
      </w:r>
      <w:r>
        <w:rPr>
          <w:rStyle w:val="Emphasis"/>
          <w:rFonts w:ascii="Times New Roman" w:hAnsi="Times New Roman"/>
          <w:caps w:val="false"/>
          <w:smallCaps w:val="false"/>
          <w:sz w:val="20"/>
        </w:rPr>
        <w:t>815,</w:t>
      </w:r>
      <w:r>
        <w:rPr>
          <w:rFonts w:ascii="Times New Roman" w:hAnsi="Times New Roman"/>
          <w:caps w:val="false"/>
          <w:smallCaps w:val="false"/>
          <w:sz w:val="20"/>
        </w:rPr>
        <w:t xml:space="preserve"> Derivatives and Hedging. To economically hedge the interest rate risk associated with offering this product, the Company simultaneously enters into derivative contracts with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parties to offset the customer contracts such that the Company minimizes its net risk exposure resulting from such transactions. The derivative contracts are structured such that the notional amounts reduce over time to generally match the expected amortization of the underlying loans. These derivatives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speculative and arise from a service provided to clients.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Cash Flow Hedges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entered into interest rate swaps to reduce its exposure to variability in interest-related cash outflows attributable to changes in forecasted Secured Overnight Financing Rate (“SOFR”) based brokered deposits. These derivative instruments are designated as cash flow hedges. The hedged item is the SOFR portion of a series of future adjustable-rate borrowings and deposits over the term of the interest rate swap. The Company tests for hedging effectiveness on a quarterly basis. The accumulated other comprehensive income or loss is subsequently reclassified into earnings in the period that the hedged forecasted transaction affects earnings. The Company has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recorded any hedge ineffectiveness since the inception of the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expects that approximately $982,000 will be reclassified from accumulated other comprehensive loss as a decrease to interest expense over the next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related to these cash flow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Fair Value Hedges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exposed to changes in the fair value of certain pools of prepayable fixed-rate assets due to changes in benchmark interest rates. The Company uses interest rate swaps to manage its exposure to changes in fair value on these instruments attributable to changes in the designated benchmark interest rate, SOFR. Interest rate swaps designated as fair value hedges involve the receipt of variable-rate amounts from a counterparty in exchange for the Company making fixed-rate payments over the life of the agreements without the exchange of the underlying notional amount. For derivatives that are designated as and that qualify as fair value hedges, the gain or loss on the derivative, as well as the offsetting loss or gain on the hedged item attributable to the hedged risk are recognized in interest income.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amounts were recorded on the balance sheet related to cumulative-basis adjustment for fair value hedges for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67"/>
        <w:gridCol w:w="23"/>
        <w:gridCol w:w="321"/>
        <w:gridCol w:w="1521"/>
        <w:gridCol w:w="23"/>
        <w:gridCol w:w="23"/>
        <w:gridCol w:w="938"/>
        <w:gridCol w:w="3663"/>
        <w:gridCol w:w="26"/>
      </w:tblGrid>
      <w:tr>
        <w:trPr/>
        <w:tc>
          <w:tcPr>
            <w:tcW w:w="36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Line item in the Consolidated Balance Sheets in which the hedged item is included</w:t>
            </w:r>
          </w:p>
        </w:tc>
        <w:tc>
          <w:tcPr>
            <w:tcW w:w="23" w:type="dxa"/>
            <w:tcBorders/>
            <w:vAlign w:val="center"/>
          </w:tcPr>
          <w:p>
            <w:pPr>
              <w:pStyle w:val="TableContents"/>
              <w:bidi w:val="0"/>
              <w:spacing w:before="0" w:after="0"/>
              <w:ind w:left="0" w:right="0" w:hanging="0"/>
              <w:jc w:val="left"/>
              <w:rPr/>
            </w:pPr>
            <w:r>
              <w:rPr/>
              <w:t>​</w:t>
            </w:r>
          </w:p>
        </w:tc>
        <w:tc>
          <w:tcPr>
            <w:tcW w:w="18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Carrying Amount of the Hedged Assets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6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Cumulative Amount of Fair Value Hedging Adjustment Included in the Carrying Amount of the Hedged Assets</w:t>
            </w:r>
          </w:p>
        </w:tc>
        <w:tc>
          <w:tcPr>
            <w:tcW w:w="2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June 30, 2026</w:t>
            </w:r>
          </w:p>
        </w:tc>
        <w:tc>
          <w:tcPr>
            <w:tcW w:w="23" w:type="dxa"/>
            <w:tcBorders/>
            <w:vAlign w:val="center"/>
          </w:tcPr>
          <w:p>
            <w:pPr>
              <w:pStyle w:val="TableContents"/>
              <w:bidi w:val="0"/>
              <w:spacing w:before="0" w:after="0"/>
              <w:ind w:left="0" w:right="0" w:hanging="0"/>
              <w:jc w:val="left"/>
              <w:rPr/>
            </w:pPr>
            <w:r>
              <w:rPr/>
              <w:t>​</w:t>
            </w:r>
          </w:p>
        </w:tc>
        <w:tc>
          <w:tcPr>
            <w:tcW w:w="321" w:type="dxa"/>
            <w:tcBorders/>
            <w:vAlign w:val="center"/>
          </w:tcPr>
          <w:p>
            <w:pPr>
              <w:pStyle w:val="TableContents"/>
              <w:bidi w:val="0"/>
              <w:spacing w:before="0" w:after="0"/>
              <w:ind w:left="0" w:right="0" w:hanging="0"/>
              <w:jc w:val="left"/>
              <w:rPr/>
            </w:pPr>
            <w:r>
              <w:rPr/>
              <w:t>​</w:t>
            </w:r>
          </w:p>
        </w:tc>
        <w:tc>
          <w:tcPr>
            <w:tcW w:w="1521"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38" w:type="dxa"/>
            <w:tcBorders/>
            <w:vAlign w:val="center"/>
          </w:tcPr>
          <w:p>
            <w:pPr>
              <w:pStyle w:val="TableContents"/>
              <w:bidi w:val="0"/>
              <w:spacing w:before="0" w:after="0"/>
              <w:ind w:left="0" w:right="0" w:hanging="0"/>
              <w:jc w:val="left"/>
              <w:rPr/>
            </w:pPr>
            <w:r>
              <w:rPr/>
              <w:t>​</w:t>
            </w:r>
          </w:p>
        </w:tc>
        <w:tc>
          <w:tcPr>
            <w:tcW w:w="3663" w:type="dxa"/>
            <w:tcBorders/>
            <w:vAlign w:val="center"/>
          </w:tcPr>
          <w:p>
            <w:pPr>
              <w:pStyle w:val="TableContents"/>
              <w:bidi w:val="0"/>
              <w:spacing w:before="0" w:after="0"/>
              <w:ind w:left="0" w:right="0" w:hanging="0"/>
              <w:jc w:val="left"/>
              <w:rPr/>
            </w:pPr>
            <w:r>
              <w:rPr/>
              <w:t>​</w:t>
            </w:r>
          </w:p>
        </w:tc>
        <w:tc>
          <w:tcPr>
            <w:tcW w:w="26" w:type="dxa"/>
            <w:tcBorders/>
            <w:vAlign w:val="center"/>
          </w:tcPr>
          <w:p>
            <w:pPr>
              <w:pStyle w:val="TableContents"/>
              <w:bidi w:val="0"/>
              <w:spacing w:before="0" w:after="0"/>
              <w:ind w:left="0" w:right="0" w:hanging="0"/>
              <w:jc w:val="left"/>
              <w:rPr/>
            </w:pPr>
            <w:r>
              <w:rPr/>
              <w:t>​</w:t>
            </w:r>
          </w:p>
        </w:tc>
      </w:tr>
      <w:tr>
        <w:trPr/>
        <w:tc>
          <w:tcPr>
            <w:tcW w:w="366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Investment securities </w:t>
            </w:r>
            <w:r>
              <w:rPr>
                <w:rFonts w:ascii="Times New Roman" w:hAnsi="Times New Roman"/>
                <w:caps w:val="false"/>
                <w:smallCaps w:val="false"/>
                <w:position w:val="7"/>
                <w:sz w:val="16"/>
                <w:sz w:val="20"/>
              </w:rPr>
              <w:t>(1)</w:t>
            </w:r>
          </w:p>
        </w:tc>
        <w:tc>
          <w:tcPr>
            <w:tcW w:w="23"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57,050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2,950</w:t>
            </w:r>
          </w:p>
        </w:tc>
        <w:tc>
          <w:tcPr>
            <w:tcW w:w="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66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23" w:type="dxa"/>
            <w:tcBorders/>
            <w:shd w:fill="FFFF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2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57,050</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93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66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2,950</w:t>
            </w:r>
          </w:p>
        </w:tc>
        <w:tc>
          <w:tcPr>
            <w:tcW w:w="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667"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21" w:type="dxa"/>
            <w:tcBorders/>
            <w:shd w:fill="CCEEFF" w:val="clear"/>
            <w:vAlign w:val="center"/>
          </w:tcPr>
          <w:p>
            <w:pPr>
              <w:pStyle w:val="TableContents"/>
              <w:bidi w:val="0"/>
              <w:spacing w:before="0" w:after="0"/>
              <w:ind w:left="0" w:right="0" w:hanging="0"/>
              <w:jc w:val="left"/>
              <w:rPr/>
            </w:pPr>
            <w:r>
              <w:rPr/>
              <w:t>​</w:t>
            </w:r>
          </w:p>
        </w:tc>
        <w:tc>
          <w:tcPr>
            <w:tcW w:w="1521"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38" w:type="dxa"/>
            <w:tcBorders/>
            <w:shd w:fill="CCEEFF" w:val="clear"/>
            <w:vAlign w:val="center"/>
          </w:tcPr>
          <w:p>
            <w:pPr>
              <w:pStyle w:val="TableContents"/>
              <w:bidi w:val="0"/>
              <w:spacing w:before="0" w:after="0"/>
              <w:ind w:left="0" w:right="0" w:hanging="0"/>
              <w:jc w:val="left"/>
              <w:rPr/>
            </w:pPr>
            <w:r>
              <w:rPr/>
              <w:t>​</w:t>
            </w:r>
          </w:p>
        </w:tc>
        <w:tc>
          <w:tcPr>
            <w:tcW w:w="3663"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366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December 31, 2025</w:t>
            </w:r>
          </w:p>
        </w:tc>
        <w:tc>
          <w:tcPr>
            <w:tcW w:w="23" w:type="dxa"/>
            <w:tcBorders/>
            <w:shd w:fill="FFFFFF" w:val="clear"/>
            <w:vAlign w:val="center"/>
          </w:tcPr>
          <w:p>
            <w:pPr>
              <w:pStyle w:val="TableContents"/>
              <w:bidi w:val="0"/>
              <w:spacing w:before="0" w:after="0"/>
              <w:ind w:left="0" w:right="0" w:hanging="0"/>
              <w:jc w:val="left"/>
              <w:rPr/>
            </w:pPr>
            <w:r>
              <w:rPr/>
              <w:t>​</w:t>
            </w:r>
          </w:p>
        </w:tc>
        <w:tc>
          <w:tcPr>
            <w:tcW w:w="321" w:type="dxa"/>
            <w:tcBorders/>
            <w:shd w:fill="FFFFFF" w:val="clear"/>
            <w:vAlign w:val="center"/>
          </w:tcPr>
          <w:p>
            <w:pPr>
              <w:pStyle w:val="TableContents"/>
              <w:bidi w:val="0"/>
              <w:spacing w:before="0" w:after="0"/>
              <w:ind w:left="0" w:right="0" w:hanging="0"/>
              <w:jc w:val="left"/>
              <w:rPr/>
            </w:pPr>
            <w:r>
              <w:rPr/>
              <w:t>​</w:t>
            </w:r>
          </w:p>
        </w:tc>
        <w:tc>
          <w:tcPr>
            <w:tcW w:w="1521"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938" w:type="dxa"/>
            <w:tcBorders/>
            <w:shd w:fill="FFFFFF" w:val="clear"/>
            <w:vAlign w:val="center"/>
          </w:tcPr>
          <w:p>
            <w:pPr>
              <w:pStyle w:val="TableContents"/>
              <w:bidi w:val="0"/>
              <w:spacing w:before="0" w:after="0"/>
              <w:ind w:left="0" w:right="0" w:hanging="0"/>
              <w:jc w:val="left"/>
              <w:rPr/>
            </w:pPr>
            <w:r>
              <w:rPr/>
              <w:t>​</w:t>
            </w:r>
          </w:p>
        </w:tc>
        <w:tc>
          <w:tcPr>
            <w:tcW w:w="3663"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r>
      <w:tr>
        <w:trPr/>
        <w:tc>
          <w:tcPr>
            <w:tcW w:w="366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Investment securities </w:t>
            </w:r>
            <w:r>
              <w:rPr>
                <w:rFonts w:ascii="Times New Roman" w:hAnsi="Times New Roman"/>
                <w:caps w:val="false"/>
                <w:smallCaps w:val="false"/>
                <w:position w:val="7"/>
                <w:sz w:val="16"/>
                <w:sz w:val="20"/>
              </w:rPr>
              <w:t>(1)</w:t>
            </w:r>
          </w:p>
        </w:tc>
        <w:tc>
          <w:tcPr>
            <w:tcW w:w="23" w:type="dxa"/>
            <w:tcBorders/>
            <w:shd w:fill="CCEEFF" w:val="clear"/>
            <w:vAlign w:val="center"/>
          </w:tcPr>
          <w:p>
            <w:pPr>
              <w:pStyle w:val="TableContents"/>
              <w:bidi w:val="0"/>
              <w:spacing w:before="0" w:after="0"/>
              <w:ind w:left="0" w:right="0" w:hanging="0"/>
              <w:jc w:val="left"/>
              <w:rPr/>
            </w:pPr>
            <w:r>
              <w:rPr/>
              <w:t>​</w:t>
            </w:r>
          </w:p>
        </w:tc>
        <w:tc>
          <w:tcPr>
            <w:tcW w:w="3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57,869</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3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66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2,131</w:t>
            </w:r>
          </w:p>
        </w:tc>
        <w:tc>
          <w:tcPr>
            <w:tcW w:w="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667"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23" w:type="dxa"/>
            <w:tcBorders/>
            <w:shd w:fill="FFFFFF" w:val="clear"/>
            <w:vAlign w:val="center"/>
          </w:tcPr>
          <w:p>
            <w:pPr>
              <w:pStyle w:val="TableContents"/>
              <w:bidi w:val="0"/>
              <w:spacing w:before="0" w:after="0"/>
              <w:ind w:left="0" w:right="0" w:hanging="0"/>
              <w:jc w:val="left"/>
              <w:rPr/>
            </w:pPr>
            <w:r>
              <w:rPr/>
              <w:t>​</w:t>
            </w:r>
          </w:p>
        </w:tc>
        <w:tc>
          <w:tcPr>
            <w:tcW w:w="32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2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57,869</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93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66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2,131</w:t>
            </w:r>
          </w:p>
        </w:tc>
        <w:tc>
          <w:tcPr>
            <w:tcW w:w="2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10064"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These amounts include the amortized cost basis of closed portfolios used in designated hedging relationships in which the hedged item is the last layer expected to be remaining at the end of the hedging relationship. At </w:t>
            </w:r>
            <w:r>
              <w:rPr>
                <w:rStyle w:val="Emphasis"/>
                <w:rFonts w:ascii="Times New Roman;Times;serif" w:hAnsi="Times New Roman;Times;serif"/>
                <w:caps w:val="false"/>
                <w:smallCaps w:val="false"/>
                <w:sz w:val="20"/>
              </w:rPr>
              <w:t xml:space="preserve"> June 30, 2026</w:t>
            </w:r>
            <w:r>
              <w:rPr>
                <w:rFonts w:ascii="Times New Roman;Times;serif" w:hAnsi="Times New Roman;Times;serif"/>
                <w:caps w:val="false"/>
                <w:smallCaps w:val="false"/>
                <w:sz w:val="20"/>
              </w:rPr>
              <w:t>, the amortized cost basis of the closed portfolios used in these hedging relationships was $175.9 million; the cumulative basis adjustments associated with these hedging relationships was $3.0 million; and the amount of the designated hedged items was $60.0 million.  At </w:t>
            </w:r>
            <w:r>
              <w:rPr>
                <w:rStyle w:val="Emphasis"/>
                <w:rFonts w:ascii="Times New Roman;Times;serif" w:hAnsi="Times New Roman;Times;serif"/>
                <w:caps w:val="false"/>
                <w:smallCaps w:val="false"/>
                <w:sz w:val="20"/>
              </w:rPr>
              <w:t xml:space="preserve"> December 31, 2025</w:t>
            </w:r>
            <w:r>
              <w:rPr>
                <w:rFonts w:ascii="Times New Roman;Times;serif" w:hAnsi="Times New Roman;Times;serif"/>
                <w:caps w:val="false"/>
                <w:smallCaps w:val="false"/>
                <w:sz w:val="20"/>
              </w:rPr>
              <w:t>, the amortized cost basis of the closed portfolios used in these hedging relationships was $179.4 million; the cumulative basis adjustment associated with these hedging relationships was a loss of $2.1 million; and the amount of the designated hedged items was $60.0 million.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summarize the Company’s derivative instruments at the dates indicated. The Company recognizes derivative assets and liabilities in “Other assets” and “Other liabilities,” respectively, on the Consolidated Balance Sheets, as follows:</w:t>
      </w:r>
    </w:p>
    <w:p>
      <w:pPr>
        <w:pStyle w:val="TextBody"/>
        <w:bidi w:val="0"/>
        <w:spacing w:before="0" w:after="0"/>
        <w:ind w:left="0" w:right="0" w:hanging="0"/>
        <w:jc w:val="left"/>
        <w:rPr>
          <w:caps w:val="false"/>
          <w:smallCaps w:val="false"/>
        </w:rPr>
      </w:pPr>
      <w:r>
        <w:rPr>
          <w:caps w:val="false"/>
          <w:smallCaps w:val="false"/>
        </w:rPr>
        <w:t> </w:t>
      </w:r>
    </w:p>
    <w:tbl>
      <w:tblPr>
        <w:tblW w:w="7593" w:type="dxa"/>
        <w:jc w:val="left"/>
        <w:tblInd w:w="0" w:type="dxa"/>
        <w:tblLayout w:type="fixed"/>
        <w:tblCellMar>
          <w:top w:w="0" w:type="dxa"/>
          <w:left w:w="0" w:type="dxa"/>
          <w:bottom w:w="0" w:type="dxa"/>
          <w:right w:w="0" w:type="dxa"/>
        </w:tblCellMar>
      </w:tblPr>
      <w:tblGrid>
        <w:gridCol w:w="5285"/>
        <w:gridCol w:w="23"/>
        <w:gridCol w:w="125"/>
        <w:gridCol w:w="695"/>
        <w:gridCol w:w="23"/>
        <w:gridCol w:w="23"/>
        <w:gridCol w:w="125"/>
        <w:gridCol w:w="485"/>
        <w:gridCol w:w="23"/>
        <w:gridCol w:w="23"/>
        <w:gridCol w:w="240"/>
        <w:gridCol w:w="500"/>
        <w:gridCol w:w="23"/>
      </w:tblGrid>
      <w:tr>
        <w:trPr/>
        <w:tc>
          <w:tcPr>
            <w:tcW w:w="52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6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2026</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2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Fair Value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28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 and fair value hedges:</w:t>
            </w:r>
          </w:p>
        </w:tc>
        <w:tc>
          <w:tcPr>
            <w:tcW w:w="23" w:type="dxa"/>
            <w:tcBorders/>
            <w:vAlign w:val="center"/>
          </w:tcPr>
          <w:p>
            <w:pPr>
              <w:pStyle w:val="TableContents"/>
              <w:bidi w:val="0"/>
              <w:spacing w:before="0" w:after="0"/>
              <w:ind w:left="0" w:right="0" w:hanging="0"/>
              <w:jc w:val="left"/>
              <w:rPr/>
            </w:pPr>
            <w:r>
              <w:rPr/>
              <w:t>​</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Notional</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Asset</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Liability</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2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285,000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4,362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00"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Non-hedging derivatives: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40" w:type="dxa"/>
            <w:tcBorders/>
            <w:shd w:fill="FFFFFF" w:val="clear"/>
            <w:vAlign w:val="center"/>
          </w:tcPr>
          <w:p>
            <w:pPr>
              <w:pStyle w:val="TableContents"/>
              <w:bidi w:val="0"/>
              <w:spacing w:before="0" w:after="0"/>
              <w:ind w:left="0" w:right="0" w:hanging="0"/>
              <w:jc w:val="left"/>
              <w:rPr/>
            </w:pPr>
            <w:r>
              <w:rPr/>
              <w:t>​</w:t>
            </w:r>
          </w:p>
        </w:tc>
        <w:tc>
          <w:tcPr>
            <w:tcW w:w="50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2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Fallout adjusted interest rate lock commitments with customers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37,869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500"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285" w:type="dxa"/>
            <w:tcBorders/>
            <w:shd w:fill="FFFFFF" w:val="clear"/>
            <w:vAlign w:val="center"/>
          </w:tcPr>
          <w:p>
            <w:pPr>
              <w:pStyle w:val="TableContents"/>
              <w:bidi w:val="0"/>
              <w:spacing w:before="0" w:after="0"/>
              <w:ind w:left="0" w:right="0" w:firstLine="180"/>
              <w:jc w:val="left"/>
              <w:rPr>
                <w:rFonts w:ascii="Times New Roman" w:hAnsi="Times New Roman"/>
                <w:sz w:val="20"/>
              </w:rPr>
            </w:pPr>
            <w:r>
              <w:rPr>
                <w:rFonts w:ascii="Times New Roman" w:hAnsi="Times New Roman"/>
                <w:sz w:val="20"/>
              </w:rPr>
              <w:t>Mandatory and best effort forward commitments with investors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12,590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40" w:type="dxa"/>
            <w:tcBorders/>
            <w:shd w:fill="FFFFFF" w:val="clear"/>
            <w:vAlign w:val="center"/>
          </w:tcPr>
          <w:p>
            <w:pPr>
              <w:pStyle w:val="TableContents"/>
              <w:bidi w:val="0"/>
              <w:spacing w:before="0" w:after="0"/>
              <w:ind w:left="0" w:right="0" w:hanging="0"/>
              <w:jc w:val="left"/>
              <w:rPr/>
            </w:pPr>
            <w:r>
              <w:rPr/>
              <w:t>​</w:t>
            </w:r>
          </w:p>
        </w:tc>
        <w:tc>
          <w:tcPr>
            <w:tcW w:w="50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28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Forward TBA mortgage-backed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45,000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50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285" w:type="dxa"/>
            <w:tcBorders/>
            <w:shd w:fill="FFFF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Interest rate swaps – customer swap positions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40" w:type="dxa"/>
            <w:tcBorders/>
            <w:shd w:fill="FFFFFF" w:val="clear"/>
            <w:vAlign w:val="center"/>
          </w:tcPr>
          <w:p>
            <w:pPr>
              <w:pStyle w:val="TableContents"/>
              <w:bidi w:val="0"/>
              <w:spacing w:before="0" w:after="0"/>
              <w:ind w:left="0" w:right="0" w:hanging="0"/>
              <w:jc w:val="left"/>
              <w:rPr/>
            </w:pPr>
            <w:r>
              <w:rPr/>
              <w:t>​</w:t>
            </w:r>
          </w:p>
        </w:tc>
        <w:tc>
          <w:tcPr>
            <w:tcW w:w="50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285" w:type="dxa"/>
            <w:tcBorders/>
            <w:shd w:fill="CCEEFF" w:val="clear"/>
            <w:vAlign w:val="center"/>
          </w:tcPr>
          <w:p>
            <w:pPr>
              <w:pStyle w:val="TableContents"/>
              <w:bidi w:val="0"/>
              <w:spacing w:before="0" w:after="0"/>
              <w:ind w:left="360" w:right="0" w:hanging="180"/>
              <w:jc w:val="left"/>
              <w:rPr>
                <w:rFonts w:ascii="Times New Roman" w:hAnsi="Times New Roman"/>
                <w:caps w:val="false"/>
                <w:smallCaps w:val="false"/>
                <w:sz w:val="20"/>
              </w:rPr>
            </w:pPr>
            <w:r>
              <w:rPr>
                <w:rFonts w:ascii="Times New Roman" w:hAnsi="Times New Roman"/>
                <w:caps w:val="false"/>
                <w:smallCaps w:val="false"/>
                <w:sz w:val="20"/>
              </w:rPr>
              <w:t>Interest rate swaps – dealer offsets to customer swap positions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40" w:type="dxa"/>
            <w:tcBorders/>
            <w:shd w:fill="CCEEFF" w:val="clear"/>
            <w:vAlign w:val="center"/>
          </w:tcPr>
          <w:p>
            <w:pPr>
              <w:pStyle w:val="TableContents"/>
              <w:bidi w:val="0"/>
              <w:spacing w:before="0" w:after="0"/>
              <w:ind w:left="0" w:right="0" w:hanging="0"/>
              <w:jc w:val="left"/>
              <w:rPr/>
            </w:pPr>
            <w:r>
              <w:rPr/>
              <w:t>​</w:t>
            </w:r>
          </w:p>
        </w:tc>
        <w:tc>
          <w:tcPr>
            <w:tcW w:w="500"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7443" w:type="dxa"/>
        <w:jc w:val="left"/>
        <w:tblInd w:w="0" w:type="dxa"/>
        <w:tblLayout w:type="fixed"/>
        <w:tblCellMar>
          <w:top w:w="0" w:type="dxa"/>
          <w:left w:w="0" w:type="dxa"/>
          <w:bottom w:w="0" w:type="dxa"/>
          <w:right w:w="0" w:type="dxa"/>
        </w:tblCellMar>
      </w:tblPr>
      <w:tblGrid>
        <w:gridCol w:w="5135"/>
        <w:gridCol w:w="23"/>
        <w:gridCol w:w="125"/>
        <w:gridCol w:w="695"/>
        <w:gridCol w:w="23"/>
        <w:gridCol w:w="23"/>
        <w:gridCol w:w="125"/>
        <w:gridCol w:w="485"/>
        <w:gridCol w:w="23"/>
        <w:gridCol w:w="23"/>
        <w:gridCol w:w="201"/>
        <w:gridCol w:w="539"/>
        <w:gridCol w:w="23"/>
      </w:tblGrid>
      <w:tr>
        <w:trPr/>
        <w:tc>
          <w:tcPr>
            <w:tcW w:w="513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6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13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tcMar>
              <w:bottom w:w="28" w:type="dxa"/>
            </w:tcMar>
            <w:vAlign w:val="center"/>
          </w:tcPr>
          <w:p>
            <w:pPr>
              <w:pStyle w:val="TableContents"/>
              <w:bidi w:val="0"/>
              <w:spacing w:before="0" w:after="0"/>
              <w:ind w:left="0" w:right="0" w:hanging="0"/>
              <w:jc w:val="center"/>
              <w:rPr/>
            </w:pPr>
            <w:r>
              <w:rPr/>
              <w:t>​</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9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Fair Value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1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flow and fair value hedges:</w:t>
            </w:r>
          </w:p>
        </w:tc>
        <w:tc>
          <w:tcPr>
            <w:tcW w:w="23" w:type="dxa"/>
            <w:tcBorders/>
            <w:vAlign w:val="center"/>
          </w:tcPr>
          <w:p>
            <w:pPr>
              <w:pStyle w:val="TableContents"/>
              <w:bidi w:val="0"/>
              <w:spacing w:before="0" w:after="0"/>
              <w:ind w:left="0" w:right="0" w:hanging="0"/>
              <w:jc w:val="left"/>
              <w:rPr/>
            </w:pPr>
            <w:r>
              <w:rPr/>
              <w:t>​</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Notional</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Asset</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Liability</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1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300,000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656</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1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Non-hedging derivatives: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1" w:type="dxa"/>
            <w:tcBorders/>
            <w:shd w:fill="FFFFFF" w:val="clear"/>
            <w:vAlign w:val="center"/>
          </w:tcPr>
          <w:p>
            <w:pPr>
              <w:pStyle w:val="TableContents"/>
              <w:bidi w:val="0"/>
              <w:spacing w:before="0" w:after="0"/>
              <w:ind w:left="0" w:right="0" w:hanging="0"/>
              <w:jc w:val="left"/>
              <w:rPr/>
            </w:pPr>
            <w:r>
              <w:rPr/>
              <w:t>​</w:t>
            </w:r>
          </w:p>
        </w:tc>
        <w:tc>
          <w:tcPr>
            <w:tcW w:w="539"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1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Fallout adjusted interest rate lock commitments with customers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25,468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539"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13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Mandatory and best effort forward commitments with investors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8,985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1" w:type="dxa"/>
            <w:tcBorders/>
            <w:shd w:fill="FFFFFF" w:val="clear"/>
            <w:vAlign w:val="center"/>
          </w:tcPr>
          <w:p>
            <w:pPr>
              <w:pStyle w:val="TableContents"/>
              <w:bidi w:val="0"/>
              <w:spacing w:before="0" w:after="0"/>
              <w:ind w:left="0" w:right="0" w:hanging="0"/>
              <w:jc w:val="left"/>
              <w:rPr/>
            </w:pPr>
            <w:r>
              <w:rPr/>
              <w:t>​</w:t>
            </w:r>
          </w:p>
        </w:tc>
        <w:tc>
          <w:tcPr>
            <w:tcW w:w="539"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13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Forward TBA mortgage-backed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56,000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5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13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rate swaps – customer swap positions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1" w:type="dxa"/>
            <w:tcBorders/>
            <w:shd w:fill="FFFFFF" w:val="clear"/>
            <w:vAlign w:val="center"/>
          </w:tcPr>
          <w:p>
            <w:pPr>
              <w:pStyle w:val="TableContents"/>
              <w:bidi w:val="0"/>
              <w:spacing w:before="0" w:after="0"/>
              <w:ind w:left="0" w:right="0" w:hanging="0"/>
              <w:jc w:val="left"/>
              <w:rPr/>
            </w:pPr>
            <w:r>
              <w:rPr/>
              <w:t>​</w:t>
            </w:r>
          </w:p>
        </w:tc>
        <w:tc>
          <w:tcPr>
            <w:tcW w:w="5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135" w:type="dxa"/>
            <w:tcBorders/>
            <w:shd w:fill="CCEE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Interest rate swaps – dealer offsets to customer swap positions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1" w:type="dxa"/>
            <w:tcBorders/>
            <w:shd w:fill="CCEEFF" w:val="clear"/>
            <w:vAlign w:val="center"/>
          </w:tcPr>
          <w:p>
            <w:pPr>
              <w:pStyle w:val="TableContents"/>
              <w:bidi w:val="0"/>
              <w:spacing w:before="0" w:after="0"/>
              <w:ind w:left="0" w:right="0" w:hanging="0"/>
              <w:jc w:val="left"/>
              <w:rPr/>
            </w:pPr>
            <w:r>
              <w:rPr/>
              <w:t>​</w:t>
            </w:r>
          </w:p>
        </w:tc>
        <w:tc>
          <w:tcPr>
            <w:tcW w:w="539"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 summarizes the effect of fair value and cash flow hedge accounting on the Consolidated Statements of Income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622"/>
        <w:gridCol w:w="23"/>
        <w:gridCol w:w="323"/>
        <w:gridCol w:w="1536"/>
        <w:gridCol w:w="23"/>
        <w:gridCol w:w="23"/>
        <w:gridCol w:w="262"/>
        <w:gridCol w:w="1019"/>
        <w:gridCol w:w="80"/>
        <w:gridCol w:w="23"/>
        <w:gridCol w:w="323"/>
        <w:gridCol w:w="1536"/>
        <w:gridCol w:w="23"/>
        <w:gridCol w:w="23"/>
        <w:gridCol w:w="238"/>
        <w:gridCol w:w="1042"/>
        <w:gridCol w:w="86"/>
      </w:tblGrid>
      <w:tr>
        <w:trPr/>
        <w:tc>
          <w:tcPr>
            <w:tcW w:w="3622"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47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Three Months Ended June 30,</w:t>
            </w:r>
          </w:p>
        </w:tc>
        <w:tc>
          <w:tcPr>
            <w:tcW w:w="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22"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1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185"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22"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Interest Expense Deposits and Borrowings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Interest Income Securities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Interest Expense Deposits and Borrowings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Interest Income Securities</w:t>
            </w:r>
          </w:p>
        </w:tc>
        <w:tc>
          <w:tcPr>
            <w:tcW w:w="8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62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amounts presented on the Consolidated Statements of Income</w:t>
            </w:r>
          </w:p>
        </w:tc>
        <w:tc>
          <w:tcPr>
            <w:tcW w:w="23"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16,105</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3,460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16,105</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3,665</w:t>
            </w:r>
          </w:p>
        </w:tc>
        <w:tc>
          <w:tcPr>
            <w:tcW w:w="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62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gains (losses) on fair value hedging relationships:</w:t>
            </w:r>
          </w:p>
        </w:tc>
        <w:tc>
          <w:tcPr>
            <w:tcW w:w="23" w:type="dxa"/>
            <w:tcBorders/>
            <w:shd w:fill="FFFFFF" w:val="clear"/>
            <w:vAlign w:val="center"/>
          </w:tcPr>
          <w:p>
            <w:pPr>
              <w:pStyle w:val="TableContents"/>
              <w:bidi w:val="0"/>
              <w:spacing w:before="0" w:after="0"/>
              <w:ind w:left="0" w:right="0" w:hanging="0"/>
              <w:jc w:val="left"/>
              <w:rPr/>
            </w:pPr>
            <w:r>
              <w:rPr/>
              <w:t>​</w:t>
            </w:r>
          </w:p>
        </w:tc>
        <w:tc>
          <w:tcPr>
            <w:tcW w:w="323" w:type="dxa"/>
            <w:tcBorders/>
            <w:shd w:fill="FFFFFF" w:val="clear"/>
            <w:vAlign w:val="center"/>
          </w:tcPr>
          <w:p>
            <w:pPr>
              <w:pStyle w:val="TableContents"/>
              <w:bidi w:val="0"/>
              <w:spacing w:before="0" w:after="0"/>
              <w:ind w:left="0" w:right="0" w:hanging="0"/>
              <w:jc w:val="left"/>
              <w:rPr/>
            </w:pPr>
            <w:r>
              <w:rPr/>
              <w:t>​</w:t>
            </w:r>
          </w:p>
        </w:tc>
        <w:tc>
          <w:tcPr>
            <w:tcW w:w="1536"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62" w:type="dxa"/>
            <w:tcBorders/>
            <w:shd w:fill="FFFFFF" w:val="clear"/>
            <w:vAlign w:val="center"/>
          </w:tcPr>
          <w:p>
            <w:pPr>
              <w:pStyle w:val="TableContents"/>
              <w:bidi w:val="0"/>
              <w:spacing w:before="0" w:after="0"/>
              <w:ind w:left="0" w:right="0" w:hanging="0"/>
              <w:jc w:val="left"/>
              <w:rPr/>
            </w:pPr>
            <w:r>
              <w:rPr/>
              <w:t>​</w:t>
            </w:r>
          </w:p>
        </w:tc>
        <w:tc>
          <w:tcPr>
            <w:tcW w:w="1019"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23" w:type="dxa"/>
            <w:tcBorders/>
            <w:shd w:fill="FFFFFF" w:val="clear"/>
            <w:vAlign w:val="center"/>
          </w:tcPr>
          <w:p>
            <w:pPr>
              <w:pStyle w:val="TableContents"/>
              <w:bidi w:val="0"/>
              <w:spacing w:before="0" w:after="0"/>
              <w:ind w:left="0" w:right="0" w:hanging="0"/>
              <w:jc w:val="left"/>
              <w:rPr/>
            </w:pPr>
            <w:r>
              <w:rPr/>
              <w:t>​</w:t>
            </w:r>
          </w:p>
        </w:tc>
        <w:tc>
          <w:tcPr>
            <w:tcW w:w="1536"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shd w:fill="FFFFFF" w:val="clear"/>
            <w:vAlign w:val="center"/>
          </w:tcPr>
          <w:p>
            <w:pPr>
              <w:pStyle w:val="TableContents"/>
              <w:bidi w:val="0"/>
              <w:spacing w:before="0" w:after="0"/>
              <w:ind w:left="0" w:right="0" w:hanging="0"/>
              <w:jc w:val="left"/>
              <w:rPr/>
            </w:pPr>
            <w:r>
              <w:rPr/>
              <w:t>​</w:t>
            </w:r>
          </w:p>
        </w:tc>
        <w:tc>
          <w:tcPr>
            <w:tcW w:w="1042" w:type="dxa"/>
            <w:tcBorders/>
            <w:shd w:fill="FFFFFF" w:val="clear"/>
            <w:vAlign w:val="center"/>
          </w:tcPr>
          <w:p>
            <w:pPr>
              <w:pStyle w:val="TableContents"/>
              <w:bidi w:val="0"/>
              <w:spacing w:before="0" w:after="0"/>
              <w:ind w:left="0" w:right="0" w:hanging="0"/>
              <w:jc w:val="left"/>
              <w:rPr/>
            </w:pPr>
            <w:r>
              <w:rPr/>
              <w:t>​</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362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536"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536"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left"/>
              <w:rPr/>
            </w:pPr>
            <w:r>
              <w:rPr/>
              <w:t>​</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3622"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Recognized on hedged items</w:t>
            </w:r>
          </w:p>
        </w:tc>
        <w:tc>
          <w:tcPr>
            <w:tcW w:w="23" w:type="dxa"/>
            <w:tcBorders/>
            <w:shd w:fill="FFFFFF" w:val="clear"/>
            <w:vAlign w:val="center"/>
          </w:tcPr>
          <w:p>
            <w:pPr>
              <w:pStyle w:val="TableContents"/>
              <w:bidi w:val="0"/>
              <w:spacing w:before="0" w:after="0"/>
              <w:ind w:left="0" w:right="0" w:hanging="0"/>
              <w:jc w:val="left"/>
              <w:rPr/>
            </w:pPr>
            <w:r>
              <w:rPr/>
              <w:t>​</w:t>
            </w:r>
          </w:p>
        </w:tc>
        <w:tc>
          <w:tcPr>
            <w:tcW w:w="32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3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6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32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3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1,548</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3622"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Recognized on derivatives designated as hedging instruments</w:t>
            </w:r>
          </w:p>
        </w:tc>
        <w:tc>
          <w:tcPr>
            <w:tcW w:w="23"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53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557</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53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(1,548</w:t>
            </w:r>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362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interest income recognized on cash flows of derivatives designated as hedging instruments</w:t>
            </w:r>
          </w:p>
        </w:tc>
        <w:tc>
          <w:tcPr>
            <w:tcW w:w="23" w:type="dxa"/>
            <w:tcBorders/>
            <w:shd w:fill="FFFF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5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5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245</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622" w:type="dxa"/>
            <w:tcBorders/>
            <w:shd w:fill="CCEEFF" w:val="clear"/>
            <w:vAlign w:val="center"/>
          </w:tcPr>
          <w:p>
            <w:pPr>
              <w:pStyle w:val="TableContents"/>
              <w:bidi w:val="0"/>
              <w:spacing w:before="0" w:after="0"/>
              <w:ind w:left="540" w:right="0" w:hanging="540"/>
              <w:jc w:val="left"/>
              <w:rPr>
                <w:rFonts w:ascii="Times New Roman" w:hAnsi="Times New Roman"/>
                <w:caps w:val="false"/>
                <w:smallCaps w:val="false"/>
                <w:sz w:val="20"/>
              </w:rPr>
            </w:pPr>
            <w:r>
              <w:rPr>
                <w:rFonts w:ascii="Times New Roman" w:hAnsi="Times New Roman"/>
                <w:caps w:val="false"/>
                <w:smallCaps w:val="false"/>
                <w:sz w:val="20"/>
              </w:rPr>
              <w:t>Net income recognized on fair value hedges</w:t>
            </w:r>
          </w:p>
        </w:tc>
        <w:tc>
          <w:tcPr>
            <w:tcW w:w="23"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245</w:t>
            </w:r>
          </w:p>
        </w:tc>
        <w:tc>
          <w:tcPr>
            <w:tcW w:w="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362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gain on cash flow hedging relationships:</w:t>
            </w:r>
          </w:p>
        </w:tc>
        <w:tc>
          <w:tcPr>
            <w:tcW w:w="23" w:type="dxa"/>
            <w:tcBorders/>
            <w:shd w:fill="FFFFFF" w:val="clear"/>
            <w:vAlign w:val="center"/>
          </w:tcPr>
          <w:p>
            <w:pPr>
              <w:pStyle w:val="TableContents"/>
              <w:bidi w:val="0"/>
              <w:spacing w:before="0" w:after="0"/>
              <w:ind w:left="0" w:right="0" w:hanging="0"/>
              <w:jc w:val="left"/>
              <w:rPr/>
            </w:pPr>
            <w:r>
              <w:rPr/>
              <w:t>​</w:t>
            </w:r>
          </w:p>
        </w:tc>
        <w:tc>
          <w:tcPr>
            <w:tcW w:w="323" w:type="dxa"/>
            <w:tcBorders/>
            <w:shd w:fill="FFFFFF" w:val="clear"/>
            <w:vAlign w:val="center"/>
          </w:tcPr>
          <w:p>
            <w:pPr>
              <w:pStyle w:val="TableContents"/>
              <w:bidi w:val="0"/>
              <w:spacing w:before="0" w:after="0"/>
              <w:ind w:left="0" w:right="0" w:hanging="0"/>
              <w:jc w:val="left"/>
              <w:rPr/>
            </w:pPr>
            <w:r>
              <w:rPr/>
              <w:t>​</w:t>
            </w:r>
          </w:p>
        </w:tc>
        <w:tc>
          <w:tcPr>
            <w:tcW w:w="1536"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62" w:type="dxa"/>
            <w:tcBorders/>
            <w:shd w:fill="FFFFFF" w:val="clear"/>
            <w:vAlign w:val="center"/>
          </w:tcPr>
          <w:p>
            <w:pPr>
              <w:pStyle w:val="TableContents"/>
              <w:bidi w:val="0"/>
              <w:spacing w:before="0" w:after="0"/>
              <w:ind w:left="0" w:right="0" w:hanging="0"/>
              <w:jc w:val="left"/>
              <w:rPr/>
            </w:pPr>
            <w:r>
              <w:rPr/>
              <w:t>​</w:t>
            </w:r>
          </w:p>
        </w:tc>
        <w:tc>
          <w:tcPr>
            <w:tcW w:w="1019"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23" w:type="dxa"/>
            <w:tcBorders/>
            <w:shd w:fill="FFFFFF" w:val="clear"/>
            <w:vAlign w:val="center"/>
          </w:tcPr>
          <w:p>
            <w:pPr>
              <w:pStyle w:val="TableContents"/>
              <w:bidi w:val="0"/>
              <w:spacing w:before="0" w:after="0"/>
              <w:ind w:left="0" w:right="0" w:hanging="0"/>
              <w:jc w:val="left"/>
              <w:rPr/>
            </w:pPr>
            <w:r>
              <w:rPr/>
              <w:t>​</w:t>
            </w:r>
          </w:p>
        </w:tc>
        <w:tc>
          <w:tcPr>
            <w:tcW w:w="1536"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shd w:fill="FFFFFF" w:val="clear"/>
            <w:vAlign w:val="center"/>
          </w:tcPr>
          <w:p>
            <w:pPr>
              <w:pStyle w:val="TableContents"/>
              <w:bidi w:val="0"/>
              <w:spacing w:before="0" w:after="0"/>
              <w:ind w:left="0" w:right="0" w:hanging="0"/>
              <w:jc w:val="left"/>
              <w:rPr/>
            </w:pPr>
            <w:r>
              <w:rPr/>
              <w:t>​</w:t>
            </w:r>
          </w:p>
        </w:tc>
        <w:tc>
          <w:tcPr>
            <w:tcW w:w="1042" w:type="dxa"/>
            <w:tcBorders/>
            <w:shd w:fill="FFFFFF" w:val="clear"/>
            <w:vAlign w:val="center"/>
          </w:tcPr>
          <w:p>
            <w:pPr>
              <w:pStyle w:val="TableContents"/>
              <w:bidi w:val="0"/>
              <w:spacing w:before="0" w:after="0"/>
              <w:ind w:left="0" w:right="0" w:hanging="0"/>
              <w:jc w:val="left"/>
              <w:rPr/>
            </w:pPr>
            <w:r>
              <w:rPr/>
              <w:t>​</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362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brokered deposits and borrowings</w:t>
            </w:r>
          </w:p>
        </w:tc>
        <w:tc>
          <w:tcPr>
            <w:tcW w:w="23"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536"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62"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23" w:type="dxa"/>
            <w:tcBorders/>
            <w:shd w:fill="CCEEFF" w:val="clear"/>
            <w:vAlign w:val="center"/>
          </w:tcPr>
          <w:p>
            <w:pPr>
              <w:pStyle w:val="TableContents"/>
              <w:bidi w:val="0"/>
              <w:spacing w:before="0" w:after="0"/>
              <w:ind w:left="0" w:right="0" w:hanging="0"/>
              <w:jc w:val="left"/>
              <w:rPr/>
            </w:pPr>
            <w:r>
              <w:rPr/>
              <w:t>​</w:t>
            </w:r>
          </w:p>
        </w:tc>
        <w:tc>
          <w:tcPr>
            <w:tcW w:w="1536"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shd w:fill="CCEEFF" w:val="clear"/>
            <w:vAlign w:val="center"/>
          </w:tcPr>
          <w:p>
            <w:pPr>
              <w:pStyle w:val="TableContents"/>
              <w:bidi w:val="0"/>
              <w:spacing w:before="0" w:after="0"/>
              <w:ind w:left="0" w:right="0" w:hanging="0"/>
              <w:jc w:val="left"/>
              <w:rPr/>
            </w:pPr>
            <w:r>
              <w:rPr/>
              <w:t>​</w:t>
            </w:r>
          </w:p>
        </w:tc>
        <w:tc>
          <w:tcPr>
            <w:tcW w:w="1042" w:type="dxa"/>
            <w:tcBorders/>
            <w:shd w:fill="CCEEFF" w:val="clear"/>
            <w:vAlign w:val="center"/>
          </w:tcPr>
          <w:p>
            <w:pPr>
              <w:pStyle w:val="TableContents"/>
              <w:bidi w:val="0"/>
              <w:spacing w:before="0" w:after="0"/>
              <w:ind w:left="0" w:right="0" w:hanging="0"/>
              <w:jc w:val="left"/>
              <w:rPr/>
            </w:pPr>
            <w:r>
              <w:rPr/>
              <w:t>​</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3622"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Realized gains, pre-tax, reclassified from accumulated other comprehensive loss into net income</w:t>
            </w:r>
          </w:p>
        </w:tc>
        <w:tc>
          <w:tcPr>
            <w:tcW w:w="23" w:type="dxa"/>
            <w:tcBorders/>
            <w:shd w:fill="FFFF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6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3622" w:type="dxa"/>
            <w:tcBorders/>
            <w:shd w:fill="CCEEFF" w:val="clear"/>
            <w:vAlign w:val="center"/>
          </w:tcPr>
          <w:p>
            <w:pPr>
              <w:pStyle w:val="TableContents"/>
              <w:bidi w:val="0"/>
              <w:spacing w:before="0" w:after="0"/>
              <w:ind w:left="540" w:right="0" w:hanging="540"/>
              <w:jc w:val="left"/>
              <w:rPr>
                <w:rFonts w:ascii="Times New Roman" w:hAnsi="Times New Roman"/>
                <w:caps w:val="false"/>
                <w:smallCaps w:val="false"/>
                <w:sz w:val="20"/>
              </w:rPr>
            </w:pPr>
            <w:r>
              <w:rPr>
                <w:rFonts w:ascii="Times New Roman" w:hAnsi="Times New Roman"/>
                <w:caps w:val="false"/>
                <w:smallCaps w:val="false"/>
                <w:sz w:val="20"/>
              </w:rPr>
              <w:t>Net income recognized on cash flow hedges</w:t>
            </w:r>
          </w:p>
        </w:tc>
        <w:tc>
          <w:tcPr>
            <w:tcW w:w="23"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711</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36"/>
        <w:gridCol w:w="60"/>
        <w:gridCol w:w="188"/>
        <w:gridCol w:w="866"/>
        <w:gridCol w:w="60"/>
        <w:gridCol w:w="60"/>
        <w:gridCol w:w="169"/>
        <w:gridCol w:w="661"/>
        <w:gridCol w:w="60"/>
        <w:gridCol w:w="60"/>
        <w:gridCol w:w="188"/>
        <w:gridCol w:w="866"/>
        <w:gridCol w:w="60"/>
        <w:gridCol w:w="60"/>
        <w:gridCol w:w="154"/>
        <w:gridCol w:w="676"/>
        <w:gridCol w:w="81"/>
      </w:tblGrid>
      <w:tr>
        <w:trPr/>
        <w:tc>
          <w:tcPr>
            <w:tcW w:w="593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128" w:type="dxa"/>
            <w:gridSpan w:val="1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 June 30,</w:t>
            </w:r>
          </w:p>
        </w:tc>
        <w:tc>
          <w:tcPr>
            <w:tcW w:w="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93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0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93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Interest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661"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Interest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4" w:type="dxa"/>
            <w:tcBorders/>
            <w:shd w:fill="FFFFFF" w:val="clear"/>
            <w:vAlign w:val="center"/>
          </w:tcPr>
          <w:p>
            <w:pPr>
              <w:pStyle w:val="TableContents"/>
              <w:bidi w:val="0"/>
              <w:spacing w:before="0" w:after="0"/>
              <w:ind w:left="0" w:right="0" w:hanging="0"/>
              <w:jc w:val="left"/>
              <w:rPr/>
            </w:pPr>
            <w:r>
              <w:rPr/>
              <w:t> </w:t>
            </w:r>
          </w:p>
        </w:tc>
        <w:tc>
          <w:tcPr>
            <w:tcW w:w="676" w:type="dxa"/>
            <w:tcBorders/>
            <w:shd w:fill="FFFFFF" w:val="clear"/>
            <w:vAlign w:val="center"/>
          </w:tcPr>
          <w:p>
            <w:pPr>
              <w:pStyle w:val="TableContents"/>
              <w:bidi w:val="0"/>
              <w:spacing w:before="0" w:after="0"/>
              <w:ind w:left="0" w:right="0" w:hanging="0"/>
              <w:jc w:val="center"/>
              <w:rPr/>
            </w:pPr>
            <w:r>
              <w:rPr>
                <w:rStyle w:val="Emphasis"/>
              </w:rPr>
              <w:t> </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93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Expense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Interest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Expense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Interest</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93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Deposits and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Income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Deposits and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Income</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93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Borrowings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Securities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Borrowings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Securities</w:t>
            </w:r>
          </w:p>
        </w:tc>
        <w:tc>
          <w:tcPr>
            <w:tcW w:w="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9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amounts presented on the Consolidated Statements of Income</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32,202</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6,781</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31,426</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7,150</w:t>
            </w:r>
          </w:p>
        </w:tc>
        <w:tc>
          <w:tcPr>
            <w:tcW w:w="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59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gains (losses) on fair value hedging relationships:</w:t>
            </w:r>
          </w:p>
        </w:tc>
        <w:tc>
          <w:tcPr>
            <w:tcW w:w="60" w:type="dxa"/>
            <w:tcBorders/>
            <w:shd w:fill="FFFFFF" w:val="clear"/>
            <w:vAlign w:val="center"/>
          </w:tcPr>
          <w:p>
            <w:pPr>
              <w:pStyle w:val="TableContents"/>
              <w:bidi w:val="0"/>
              <w:spacing w:before="0" w:after="0"/>
              <w:ind w:left="0" w:right="0" w:hanging="0"/>
              <w:jc w:val="left"/>
              <w:rPr/>
            </w:pPr>
            <w:r>
              <w:rPr/>
              <w:t> </w:t>
            </w:r>
          </w:p>
        </w:tc>
        <w:tc>
          <w:tcPr>
            <w:tcW w:w="188" w:type="dxa"/>
            <w:tcBorders/>
            <w:shd w:fill="FFFFFF" w:val="clear"/>
            <w:vAlign w:val="center"/>
          </w:tcPr>
          <w:p>
            <w:pPr>
              <w:pStyle w:val="TableContents"/>
              <w:bidi w:val="0"/>
              <w:spacing w:before="0" w:after="0"/>
              <w:ind w:left="0" w:right="0" w:hanging="0"/>
              <w:jc w:val="left"/>
              <w:rPr/>
            </w:pPr>
            <w:r>
              <w:rPr/>
              <w:t> </w:t>
            </w:r>
          </w:p>
        </w:tc>
        <w:tc>
          <w:tcPr>
            <w:tcW w:w="86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66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8" w:type="dxa"/>
            <w:tcBorders/>
            <w:shd w:fill="FFFFFF" w:val="clear"/>
            <w:vAlign w:val="center"/>
          </w:tcPr>
          <w:p>
            <w:pPr>
              <w:pStyle w:val="TableContents"/>
              <w:bidi w:val="0"/>
              <w:spacing w:before="0" w:after="0"/>
              <w:ind w:left="0" w:right="0" w:hanging="0"/>
              <w:jc w:val="left"/>
              <w:rPr/>
            </w:pPr>
            <w:r>
              <w:rPr/>
              <w:t> </w:t>
            </w:r>
          </w:p>
        </w:tc>
        <w:tc>
          <w:tcPr>
            <w:tcW w:w="86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4" w:type="dxa"/>
            <w:tcBorders/>
            <w:shd w:fill="FFFFFF" w:val="clear"/>
            <w:vAlign w:val="center"/>
          </w:tcPr>
          <w:p>
            <w:pPr>
              <w:pStyle w:val="TableContents"/>
              <w:bidi w:val="0"/>
              <w:spacing w:before="0" w:after="0"/>
              <w:ind w:left="0" w:right="0" w:hanging="0"/>
              <w:jc w:val="left"/>
              <w:rPr/>
            </w:pPr>
            <w:r>
              <w:rPr/>
              <w:t> </w:t>
            </w:r>
          </w:p>
        </w:tc>
        <w:tc>
          <w:tcPr>
            <w:tcW w:w="676"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9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 securities</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593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on hedged items</w:t>
            </w:r>
          </w:p>
        </w:tc>
        <w:tc>
          <w:tcPr>
            <w:tcW w:w="60" w:type="dxa"/>
            <w:tcBorders/>
            <w:shd w:fill="FFFFFF" w:val="clear"/>
            <w:vAlign w:val="center"/>
          </w:tcPr>
          <w:p>
            <w:pPr>
              <w:pStyle w:val="TableContents"/>
              <w:bidi w:val="0"/>
              <w:spacing w:before="0" w:after="0"/>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936"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on derivatives designated as hedging instruments</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(1,940</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interest income recognized on cash flows of derivatives designated as hedging instruments</w:t>
            </w:r>
          </w:p>
        </w:tc>
        <w:tc>
          <w:tcPr>
            <w:tcW w:w="60" w:type="dxa"/>
            <w:tcBorders/>
            <w:shd w:fill="FFFFFF" w:val="clear"/>
            <w:vAlign w:val="center"/>
          </w:tcPr>
          <w:p>
            <w:pPr>
              <w:pStyle w:val="TableContents"/>
              <w:bidi w:val="0"/>
              <w:spacing w:before="0" w:after="0"/>
              <w:ind w:left="0" w:right="0" w:hanging="0"/>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9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recognized on fair value hedges</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327</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59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gain on cash flow hedging relationships:</w:t>
            </w:r>
          </w:p>
        </w:tc>
        <w:tc>
          <w:tcPr>
            <w:tcW w:w="60" w:type="dxa"/>
            <w:tcBorders/>
            <w:shd w:fill="FFFFFF" w:val="clear"/>
            <w:vAlign w:val="center"/>
          </w:tcPr>
          <w:p>
            <w:pPr>
              <w:pStyle w:val="TableContents"/>
              <w:bidi w:val="0"/>
              <w:spacing w:before="0" w:after="0"/>
              <w:ind w:left="0" w:right="0" w:hanging="0"/>
              <w:jc w:val="left"/>
              <w:rPr/>
            </w:pPr>
            <w:r>
              <w:rPr/>
              <w:t> </w:t>
            </w:r>
          </w:p>
        </w:tc>
        <w:tc>
          <w:tcPr>
            <w:tcW w:w="188" w:type="dxa"/>
            <w:tcBorders/>
            <w:shd w:fill="FFFFFF" w:val="clear"/>
            <w:vAlign w:val="center"/>
          </w:tcPr>
          <w:p>
            <w:pPr>
              <w:pStyle w:val="TableContents"/>
              <w:bidi w:val="0"/>
              <w:spacing w:before="0" w:after="0"/>
              <w:ind w:left="0" w:right="0" w:hanging="0"/>
              <w:jc w:val="left"/>
              <w:rPr/>
            </w:pPr>
            <w:r>
              <w:rPr/>
              <w:t> </w:t>
            </w:r>
          </w:p>
        </w:tc>
        <w:tc>
          <w:tcPr>
            <w:tcW w:w="86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66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8" w:type="dxa"/>
            <w:tcBorders/>
            <w:shd w:fill="FFFFFF" w:val="clear"/>
            <w:vAlign w:val="center"/>
          </w:tcPr>
          <w:p>
            <w:pPr>
              <w:pStyle w:val="TableContents"/>
              <w:bidi w:val="0"/>
              <w:spacing w:before="0" w:after="0"/>
              <w:ind w:left="0" w:right="0" w:hanging="0"/>
              <w:jc w:val="left"/>
              <w:rPr/>
            </w:pPr>
            <w:r>
              <w:rPr/>
              <w:t> </w:t>
            </w:r>
          </w:p>
        </w:tc>
        <w:tc>
          <w:tcPr>
            <w:tcW w:w="86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4" w:type="dxa"/>
            <w:tcBorders/>
            <w:shd w:fill="FFFFFF" w:val="clear"/>
            <w:vAlign w:val="center"/>
          </w:tcPr>
          <w:p>
            <w:pPr>
              <w:pStyle w:val="TableContents"/>
              <w:bidi w:val="0"/>
              <w:spacing w:before="0" w:after="0"/>
              <w:ind w:left="0" w:right="0" w:hanging="0"/>
              <w:jc w:val="left"/>
              <w:rPr/>
            </w:pPr>
            <w:r>
              <w:rPr/>
              <w:t> </w:t>
            </w:r>
          </w:p>
        </w:tc>
        <w:tc>
          <w:tcPr>
            <w:tcW w:w="676"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r>
      <w:tr>
        <w:trPr/>
        <w:tc>
          <w:tcPr>
            <w:tcW w:w="5936"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 swaps – brokered deposits and borrowings</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661"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shd w:fill="CCEEFF" w:val="clear"/>
            <w:vAlign w:val="center"/>
          </w:tcPr>
          <w:p>
            <w:pPr>
              <w:pStyle w:val="TableContents"/>
              <w:bidi w:val="0"/>
              <w:spacing w:before="0" w:after="0"/>
              <w:ind w:left="0" w:right="0" w:hanging="0"/>
              <w:jc w:val="left"/>
              <w:rPr/>
            </w:pPr>
            <w:r>
              <w:rPr/>
              <w:t> </w:t>
            </w:r>
          </w:p>
        </w:tc>
        <w:tc>
          <w:tcPr>
            <w:tcW w:w="86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4"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r>
      <w:tr>
        <w:trPr/>
        <w:tc>
          <w:tcPr>
            <w:tcW w:w="5936"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Realized gains, pre-tax, reclassified from accumulated other comprehensive loss into net income</w:t>
            </w:r>
          </w:p>
        </w:tc>
        <w:tc>
          <w:tcPr>
            <w:tcW w:w="60" w:type="dxa"/>
            <w:tcBorders/>
            <w:shd w:fill="FFFFFF" w:val="clear"/>
            <w:vAlign w:val="center"/>
          </w:tcPr>
          <w:p>
            <w:pPr>
              <w:pStyle w:val="TableContents"/>
              <w:bidi w:val="0"/>
              <w:spacing w:before="0" w:after="0"/>
              <w:ind w:left="0" w:right="0" w:hanging="0"/>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9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recognized on cash flow hedges</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1,285</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Changes in the fair value of non-hedging derivatives were recorded in “Gain on sale of loans” on the Consolidated Statements of Income as net losses of $63,000 and net gains of $197,000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and net gains of $356,000 and $269,000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present a summary of amounts outstanding in derivative financial instruments, including those entered into in connection with the same counterparty under master netting agreements at the dates indicated. While these agreements are typically over-collateralized, GAAP requires disclosures in these tables to limit the amount of such collateral recognized for disclosure purposes to the amount of the related asset or liability for each counterparty.</w:t>
      </w:r>
    </w:p>
    <w:p>
      <w:pPr>
        <w:pStyle w:val="TextBody"/>
        <w:bidi w:val="0"/>
        <w:spacing w:before="0" w:after="0"/>
        <w:ind w:left="0" w:right="0" w:hanging="0"/>
        <w:jc w:val="left"/>
        <w:rPr>
          <w:caps w:val="false"/>
          <w:smallCaps w:val="false"/>
        </w:rPr>
      </w:pPr>
      <w:r>
        <w:rPr>
          <w:caps w:val="false"/>
          <w:smallCaps w:val="false"/>
        </w:rPr>
        <w:t> </w:t>
      </w:r>
    </w:p>
    <w:tbl>
      <w:tblPr>
        <w:tblW w:w="9384" w:type="dxa"/>
        <w:jc w:val="left"/>
        <w:tblInd w:w="0" w:type="dxa"/>
        <w:tblLayout w:type="fixed"/>
        <w:tblCellMar>
          <w:top w:w="0" w:type="dxa"/>
          <w:left w:w="0" w:type="dxa"/>
          <w:bottom w:w="0" w:type="dxa"/>
          <w:right w:w="0" w:type="dxa"/>
        </w:tblCellMar>
      </w:tblPr>
      <w:tblGrid>
        <w:gridCol w:w="2075"/>
        <w:gridCol w:w="60"/>
        <w:gridCol w:w="216"/>
        <w:gridCol w:w="838"/>
        <w:gridCol w:w="60"/>
        <w:gridCol w:w="60"/>
        <w:gridCol w:w="293"/>
        <w:gridCol w:w="776"/>
        <w:gridCol w:w="60"/>
        <w:gridCol w:w="60"/>
        <w:gridCol w:w="311"/>
        <w:gridCol w:w="1208"/>
        <w:gridCol w:w="60"/>
        <w:gridCol w:w="60"/>
        <w:gridCol w:w="241"/>
        <w:gridCol w:w="574"/>
        <w:gridCol w:w="97"/>
        <w:gridCol w:w="97"/>
        <w:gridCol w:w="326"/>
        <w:gridCol w:w="773"/>
        <w:gridCol w:w="97"/>
        <w:gridCol w:w="97"/>
        <w:gridCol w:w="178"/>
        <w:gridCol w:w="692"/>
        <w:gridCol w:w="75"/>
      </w:tblGrid>
      <w:tr>
        <w:trPr/>
        <w:tc>
          <w:tcPr>
            <w:tcW w:w="20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6" w:type="dxa"/>
            <w:tcBorders/>
            <w:shd w:fill="FFFFFF" w:val="clear"/>
            <w:vAlign w:val="center"/>
          </w:tcPr>
          <w:p>
            <w:pPr>
              <w:pStyle w:val="TableContents"/>
              <w:bidi w:val="0"/>
              <w:spacing w:before="0" w:after="0"/>
              <w:ind w:left="0" w:right="0" w:hanging="0"/>
              <w:jc w:val="left"/>
              <w:rPr/>
            </w:pPr>
            <w:r>
              <w:rPr/>
              <w:t> </w:t>
            </w:r>
          </w:p>
        </w:tc>
        <w:tc>
          <w:tcPr>
            <w:tcW w:w="838" w:type="dxa"/>
            <w:tcBorders/>
            <w:shd w:fill="FFFFFF" w:val="clear"/>
            <w:vAlign w:val="center"/>
          </w:tcPr>
          <w:p>
            <w:pPr>
              <w:pStyle w:val="TableContents"/>
              <w:bidi w:val="0"/>
              <w:spacing w:before="0" w:after="0"/>
              <w:ind w:left="0" w:right="0" w:hanging="0"/>
              <w:jc w:val="center"/>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Gross Amounts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Net Amounts of Assets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172" w:type="dxa"/>
            <w:gridSpan w:val="10"/>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Gross Amounts Not Offset</w:t>
            </w:r>
          </w:p>
        </w:tc>
        <w:tc>
          <w:tcPr>
            <w:tcW w:w="75" w:type="dxa"/>
            <w:tcBorders/>
            <w:shd w:fill="FFFFFF" w:val="clear"/>
            <w:vAlign w:val="center"/>
          </w:tcPr>
          <w:p>
            <w:pPr>
              <w:pStyle w:val="TableContents"/>
              <w:bidi w:val="0"/>
              <w:spacing w:before="0" w:after="0"/>
              <w:ind w:left="0" w:right="0" w:hanging="0"/>
              <w:jc w:val="left"/>
              <w:rPr/>
            </w:pPr>
            <w:r>
              <w:rPr/>
              <w:t> </w:t>
            </w:r>
          </w:p>
        </w:tc>
      </w:tr>
      <w:tr>
        <w:trPr/>
        <w:tc>
          <w:tcPr>
            <w:tcW w:w="20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Gross Amounts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Offset in the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Presented in the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17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in the Consolidated Balance Sheets</w:t>
            </w:r>
          </w:p>
        </w:tc>
        <w:tc>
          <w:tcPr>
            <w:tcW w:w="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07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of Recognized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Consolidated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Consolidated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Financial</w:t>
            </w:r>
          </w:p>
        </w:tc>
        <w:tc>
          <w:tcPr>
            <w:tcW w:w="97"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09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Cash Collateral</w:t>
            </w:r>
          </w:p>
        </w:tc>
        <w:tc>
          <w:tcPr>
            <w:tcW w:w="97"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78" w:type="dxa"/>
            <w:tcBorders/>
            <w:shd w:fill="FFFFFF" w:val="clear"/>
            <w:vAlign w:val="center"/>
          </w:tcPr>
          <w:p>
            <w:pPr>
              <w:pStyle w:val="TableContents"/>
              <w:bidi w:val="0"/>
              <w:spacing w:before="0" w:after="0"/>
              <w:ind w:left="0" w:right="0" w:hanging="0"/>
              <w:jc w:val="left"/>
              <w:rPr/>
            </w:pPr>
            <w:r>
              <w:rPr/>
              <w:t> </w:t>
            </w:r>
          </w:p>
        </w:tc>
        <w:tc>
          <w:tcPr>
            <w:tcW w:w="692" w:type="dxa"/>
            <w:tcBorders/>
            <w:shd w:fill="FFFFFF" w:val="clear"/>
            <w:vAlign w:val="center"/>
          </w:tcPr>
          <w:p>
            <w:pPr>
              <w:pStyle w:val="TableContents"/>
              <w:bidi w:val="0"/>
              <w:spacing w:before="0" w:after="0"/>
              <w:ind w:left="0" w:right="0" w:hanging="0"/>
              <w:jc w:val="center"/>
              <w:rPr/>
            </w:pPr>
            <w:r>
              <w:rPr>
                <w:rStyle w:val="Emphasis"/>
              </w:rPr>
              <w:t> </w:t>
            </w:r>
          </w:p>
        </w:tc>
        <w:tc>
          <w:tcPr>
            <w:tcW w:w="75" w:type="dxa"/>
            <w:tcBorders/>
            <w:shd w:fill="FFFFFF" w:val="clear"/>
            <w:vAlign w:val="center"/>
          </w:tcPr>
          <w:p>
            <w:pPr>
              <w:pStyle w:val="TableContents"/>
              <w:bidi w:val="0"/>
              <w:spacing w:before="0" w:after="0"/>
              <w:ind w:left="0" w:right="0" w:hanging="0"/>
              <w:jc w:val="left"/>
              <w:rPr/>
            </w:pPr>
            <w:r>
              <w:rPr/>
              <w:t> </w:t>
            </w:r>
          </w:p>
        </w:tc>
      </w:tr>
      <w:tr>
        <w:trPr/>
        <w:tc>
          <w:tcPr>
            <w:tcW w:w="20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Offsetting of derivative assets</w:t>
            </w:r>
          </w:p>
        </w:tc>
        <w:tc>
          <w:tcPr>
            <w:tcW w:w="60" w:type="dxa"/>
            <w:tcBorders/>
            <w:shd w:fill="FFFFFF" w:val="clear"/>
            <w:vAlign w:val="center"/>
          </w:tcPr>
          <w:p>
            <w:pPr>
              <w:pStyle w:val="TableContents"/>
              <w:bidi w:val="0"/>
              <w:spacing w:before="0" w:after="0"/>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Assets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Balance Sheets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5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Balance Sheets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Instruments</w:t>
            </w:r>
          </w:p>
        </w:tc>
        <w:tc>
          <w:tcPr>
            <w:tcW w:w="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09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Received</w:t>
            </w:r>
          </w:p>
        </w:tc>
        <w:tc>
          <w:tcPr>
            <w:tcW w:w="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8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16"/>
              </w:rPr>
              <w:t>Net Amount</w:t>
            </w:r>
          </w:p>
        </w:tc>
        <w:tc>
          <w:tcPr>
            <w:tcW w:w="7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At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 </w:t>
            </w:r>
          </w:p>
        </w:tc>
        <w:tc>
          <w:tcPr>
            <w:tcW w:w="838"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93"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pPr>
            <w:r>
              <w:rPr/>
              <w:t> </w:t>
            </w:r>
          </w:p>
        </w:tc>
        <w:tc>
          <w:tcPr>
            <w:tcW w:w="1208"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 </w:t>
            </w:r>
          </w:p>
        </w:tc>
        <w:tc>
          <w:tcPr>
            <w:tcW w:w="57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73"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78" w:type="dxa"/>
            <w:tcBorders/>
            <w:shd w:fill="CCEEFF" w:val="clear"/>
            <w:vAlign w:val="center"/>
          </w:tcPr>
          <w:p>
            <w:pPr>
              <w:pStyle w:val="TableContents"/>
              <w:bidi w:val="0"/>
              <w:spacing w:before="0" w:after="0"/>
              <w:ind w:left="0" w:right="0" w:hanging="0"/>
              <w:jc w:val="left"/>
              <w:rPr/>
            </w:pPr>
            <w:r>
              <w:rPr/>
              <w:t> </w:t>
            </w:r>
          </w:p>
        </w:tc>
        <w:tc>
          <w:tcPr>
            <w:tcW w:w="692" w:type="dxa"/>
            <w:tcBorders/>
            <w:shd w:fill="CCEEFF" w:val="clear"/>
            <w:vAlign w:val="center"/>
          </w:tcPr>
          <w:p>
            <w:pPr>
              <w:pStyle w:val="TableContents"/>
              <w:bidi w:val="0"/>
              <w:spacing w:before="0" w:after="0"/>
              <w:ind w:left="0" w:right="0" w:hanging="0"/>
              <w:jc w:val="left"/>
              <w:rPr/>
            </w:pPr>
            <w:r>
              <w:rPr/>
              <w:t> </w:t>
            </w:r>
          </w:p>
        </w:tc>
        <w:tc>
          <w:tcPr>
            <w:tcW w:w="75" w:type="dxa"/>
            <w:tcBorders/>
            <w:shd w:fill="CCEEFF" w:val="clear"/>
            <w:vAlign w:val="center"/>
          </w:tcPr>
          <w:p>
            <w:pPr>
              <w:pStyle w:val="TableContents"/>
              <w:bidi w:val="0"/>
              <w:spacing w:before="0" w:after="0"/>
              <w:ind w:left="0" w:right="0" w:hanging="0"/>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Interest rate swaps</w:t>
            </w:r>
          </w:p>
        </w:tc>
        <w:tc>
          <w:tcPr>
            <w:tcW w:w="60" w:type="dxa"/>
            <w:tcBorders/>
            <w:shd w:fill="FFFFFF" w:val="clear"/>
            <w:vAlign w:val="center"/>
          </w:tcPr>
          <w:p>
            <w:pPr>
              <w:pStyle w:val="TableContents"/>
              <w:bidi w:val="0"/>
              <w:spacing w:before="0" w:after="0"/>
              <w:ind w:left="0" w:right="0" w:hanging="0"/>
              <w:jc w:val="left"/>
              <w:rPr/>
            </w:pPr>
            <w:r>
              <w:rPr/>
              <w:t> </w:t>
            </w:r>
          </w:p>
        </w:tc>
        <w:tc>
          <w:tcPr>
            <w:tcW w:w="216"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3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4,536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3"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1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208"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4,411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FFFFFF" w:val="clear"/>
            <w:vAlign w:val="center"/>
          </w:tcPr>
          <w:p>
            <w:pPr>
              <w:pStyle w:val="TableContents"/>
              <w:bidi w:val="0"/>
              <w:spacing w:before="0" w:after="283"/>
              <w:ind w:left="0" w:right="0" w:hanging="0"/>
              <w:jc w:val="right"/>
              <w:rPr/>
            </w:pPr>
            <w:r>
              <w:rPr/>
              <w:t>—</w:t>
            </w:r>
          </w:p>
        </w:tc>
        <w:tc>
          <w:tcPr>
            <w:tcW w:w="97"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73" w:type="dxa"/>
            <w:tcBorders/>
            <w:shd w:fill="FFFFFF" w:val="clear"/>
            <w:vAlign w:val="center"/>
          </w:tcPr>
          <w:p>
            <w:pPr>
              <w:pStyle w:val="TableContents"/>
              <w:bidi w:val="0"/>
              <w:spacing w:before="0" w:after="283"/>
              <w:ind w:left="0" w:right="0" w:hanging="0"/>
              <w:jc w:val="right"/>
              <w:rPr/>
            </w:pPr>
            <w:r>
              <w:rPr/>
              <w:t>—</w:t>
            </w:r>
          </w:p>
        </w:tc>
        <w:tc>
          <w:tcPr>
            <w:tcW w:w="97"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78" w:type="dxa"/>
            <w:tcBorders/>
            <w:shd w:fill="FFFF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92" w:type="dxa"/>
            <w:tcBorders/>
            <w:shd w:fill="FFFF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4,411</w:t>
            </w:r>
          </w:p>
        </w:tc>
        <w:tc>
          <w:tcPr>
            <w:tcW w:w="75" w:type="dxa"/>
            <w:tcBorders/>
            <w:shd w:fill="FFFFFF" w:val="clear"/>
            <w:vAlign w:val="center"/>
          </w:tcPr>
          <w:p>
            <w:pPr>
              <w:pStyle w:val="TableContents"/>
              <w:bidi w:val="0"/>
              <w:spacing w:before="0" w:after="0"/>
              <w:ind w:left="0" w:right="0" w:hanging="0"/>
              <w:jc w:val="left"/>
              <w:rPr/>
            </w:pPr>
            <w:r>
              <w:rPr/>
              <w:t> </w:t>
            </w:r>
          </w:p>
        </w:tc>
      </w:tr>
      <w:tr>
        <w:trPr/>
        <w:tc>
          <w:tcPr>
            <w:tcW w:w="207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0"/>
              <w:ind w:left="0" w:right="0" w:hanging="0"/>
              <w:jc w:val="left"/>
              <w:rPr/>
            </w:pPr>
            <w:r>
              <w:rPr/>
              <w:t> </w:t>
            </w:r>
          </w:p>
        </w:tc>
        <w:tc>
          <w:tcPr>
            <w:tcW w:w="838"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93" w:type="dxa"/>
            <w:tcBorders/>
            <w:shd w:fill="CCEEFF" w:val="clear"/>
            <w:vAlign w:val="center"/>
          </w:tcPr>
          <w:p>
            <w:pPr>
              <w:pStyle w:val="TableContents"/>
              <w:bidi w:val="0"/>
              <w:spacing w:before="0" w:after="0"/>
              <w:ind w:left="0" w:right="0" w:hanging="0"/>
              <w:jc w:val="left"/>
              <w:rPr/>
            </w:pPr>
            <w:r>
              <w:rPr/>
              <w:t> </w:t>
            </w:r>
          </w:p>
        </w:tc>
        <w:tc>
          <w:tcPr>
            <w:tcW w:w="77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0"/>
              <w:ind w:left="0" w:right="0" w:hanging="0"/>
              <w:jc w:val="left"/>
              <w:rPr/>
            </w:pPr>
            <w:r>
              <w:rPr/>
              <w:t> </w:t>
            </w:r>
          </w:p>
        </w:tc>
        <w:tc>
          <w:tcPr>
            <w:tcW w:w="1208"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0"/>
              <w:ind w:left="0" w:right="0" w:hanging="0"/>
              <w:jc w:val="left"/>
              <w:rPr/>
            </w:pPr>
            <w:r>
              <w:rPr/>
              <w:t> </w:t>
            </w:r>
          </w:p>
        </w:tc>
        <w:tc>
          <w:tcPr>
            <w:tcW w:w="574"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73"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78" w:type="dxa"/>
            <w:tcBorders/>
            <w:shd w:fill="CCEEFF" w:val="clear"/>
            <w:vAlign w:val="center"/>
          </w:tcPr>
          <w:p>
            <w:pPr>
              <w:pStyle w:val="TableContents"/>
              <w:bidi w:val="0"/>
              <w:spacing w:before="0" w:after="0"/>
              <w:ind w:left="0" w:right="0" w:hanging="0"/>
              <w:jc w:val="left"/>
              <w:rPr/>
            </w:pPr>
            <w:r>
              <w:rPr/>
              <w:t> </w:t>
            </w:r>
          </w:p>
        </w:tc>
        <w:tc>
          <w:tcPr>
            <w:tcW w:w="692" w:type="dxa"/>
            <w:tcBorders/>
            <w:shd w:fill="CCEEFF" w:val="clear"/>
            <w:vAlign w:val="center"/>
          </w:tcPr>
          <w:p>
            <w:pPr>
              <w:pStyle w:val="TableContents"/>
              <w:bidi w:val="0"/>
              <w:spacing w:before="0" w:after="0"/>
              <w:ind w:left="0" w:right="0" w:hanging="0"/>
              <w:jc w:val="left"/>
              <w:rPr/>
            </w:pPr>
            <w:r>
              <w:rPr/>
              <w:t> </w:t>
            </w:r>
          </w:p>
        </w:tc>
        <w:tc>
          <w:tcPr>
            <w:tcW w:w="75" w:type="dxa"/>
            <w:tcBorders/>
            <w:shd w:fill="CCEEFF" w:val="clear"/>
            <w:vAlign w:val="center"/>
          </w:tcPr>
          <w:p>
            <w:pPr>
              <w:pStyle w:val="TableContents"/>
              <w:bidi w:val="0"/>
              <w:spacing w:before="0" w:after="0"/>
              <w:ind w:left="0" w:right="0" w:hanging="0"/>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At December 31, 2025</w:t>
            </w:r>
          </w:p>
        </w:tc>
        <w:tc>
          <w:tcPr>
            <w:tcW w:w="60" w:type="dxa"/>
            <w:tcBorders/>
            <w:shd w:fill="FFFFFF" w:val="clear"/>
            <w:vAlign w:val="center"/>
          </w:tcPr>
          <w:p>
            <w:pPr>
              <w:pStyle w:val="TableContents"/>
              <w:bidi w:val="0"/>
              <w:spacing w:before="0" w:after="0"/>
              <w:ind w:left="0" w:right="0" w:hanging="0"/>
              <w:jc w:val="left"/>
              <w:rPr/>
            </w:pPr>
            <w:r>
              <w:rPr/>
              <w:t> </w:t>
            </w:r>
          </w:p>
        </w:tc>
        <w:tc>
          <w:tcPr>
            <w:tcW w:w="216" w:type="dxa"/>
            <w:tcBorders/>
            <w:shd w:fill="FFFFFF" w:val="clear"/>
            <w:vAlign w:val="center"/>
          </w:tcPr>
          <w:p>
            <w:pPr>
              <w:pStyle w:val="TableContents"/>
              <w:bidi w:val="0"/>
              <w:spacing w:before="0" w:after="0"/>
              <w:ind w:left="0" w:right="0" w:hanging="0"/>
              <w:jc w:val="left"/>
              <w:rPr/>
            </w:pPr>
            <w:r>
              <w:rPr/>
              <w:t> </w:t>
            </w:r>
          </w:p>
        </w:tc>
        <w:tc>
          <w:tcPr>
            <w:tcW w:w="83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3" w:type="dxa"/>
            <w:tcBorders/>
            <w:shd w:fill="FFFFFF" w:val="clear"/>
            <w:vAlign w:val="center"/>
          </w:tcPr>
          <w:p>
            <w:pPr>
              <w:pStyle w:val="TableContents"/>
              <w:bidi w:val="0"/>
              <w:spacing w:before="0" w:after="0"/>
              <w:ind w:left="0" w:right="0" w:hanging="0"/>
              <w:jc w:val="left"/>
              <w:rPr/>
            </w:pPr>
            <w:r>
              <w:rPr/>
              <w:t> </w:t>
            </w:r>
          </w:p>
        </w:tc>
        <w:tc>
          <w:tcPr>
            <w:tcW w:w="77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11" w:type="dxa"/>
            <w:tcBorders/>
            <w:shd w:fill="FFFFFF" w:val="clear"/>
            <w:vAlign w:val="center"/>
          </w:tcPr>
          <w:p>
            <w:pPr>
              <w:pStyle w:val="TableContents"/>
              <w:bidi w:val="0"/>
              <w:spacing w:before="0" w:after="0"/>
              <w:ind w:left="0" w:right="0" w:hanging="0"/>
              <w:jc w:val="left"/>
              <w:rPr/>
            </w:pPr>
            <w:r>
              <w:rPr/>
              <w:t> </w:t>
            </w:r>
          </w:p>
        </w:tc>
        <w:tc>
          <w:tcPr>
            <w:tcW w:w="1208"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574"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326" w:type="dxa"/>
            <w:tcBorders/>
            <w:shd w:fill="FFFFFF" w:val="clear"/>
            <w:vAlign w:val="center"/>
          </w:tcPr>
          <w:p>
            <w:pPr>
              <w:pStyle w:val="TableContents"/>
              <w:bidi w:val="0"/>
              <w:spacing w:before="0" w:after="0"/>
              <w:ind w:left="0" w:right="0" w:hanging="0"/>
              <w:jc w:val="left"/>
              <w:rPr/>
            </w:pPr>
            <w:r>
              <w:rPr/>
              <w:t> </w:t>
            </w:r>
          </w:p>
        </w:tc>
        <w:tc>
          <w:tcPr>
            <w:tcW w:w="773"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 </w:t>
            </w:r>
          </w:p>
        </w:tc>
        <w:tc>
          <w:tcPr>
            <w:tcW w:w="178" w:type="dxa"/>
            <w:tcBorders/>
            <w:shd w:fill="FFFFFF" w:val="clear"/>
            <w:vAlign w:val="center"/>
          </w:tcPr>
          <w:p>
            <w:pPr>
              <w:pStyle w:val="TableContents"/>
              <w:bidi w:val="0"/>
              <w:spacing w:before="0" w:after="0"/>
              <w:ind w:left="0" w:right="0" w:hanging="0"/>
              <w:jc w:val="left"/>
              <w:rPr/>
            </w:pPr>
            <w:r>
              <w:rPr/>
              <w:t> </w:t>
            </w:r>
          </w:p>
        </w:tc>
        <w:tc>
          <w:tcPr>
            <w:tcW w:w="692" w:type="dxa"/>
            <w:tcBorders/>
            <w:shd w:fill="FFFFFF" w:val="clear"/>
            <w:vAlign w:val="center"/>
          </w:tcPr>
          <w:p>
            <w:pPr>
              <w:pStyle w:val="TableContents"/>
              <w:bidi w:val="0"/>
              <w:spacing w:before="0" w:after="0"/>
              <w:ind w:left="0" w:right="0" w:hanging="0"/>
              <w:jc w:val="left"/>
              <w:rPr/>
            </w:pPr>
            <w:r>
              <w:rPr/>
              <w:t> </w:t>
            </w:r>
          </w:p>
        </w:tc>
        <w:tc>
          <w:tcPr>
            <w:tcW w:w="75" w:type="dxa"/>
            <w:tcBorders/>
            <w:shd w:fill="FFFFFF" w:val="clear"/>
            <w:vAlign w:val="center"/>
          </w:tcPr>
          <w:p>
            <w:pPr>
              <w:pStyle w:val="TableContents"/>
              <w:bidi w:val="0"/>
              <w:spacing w:before="0" w:after="0"/>
              <w:ind w:left="0" w:right="0" w:hanging="0"/>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6"/>
              </w:rPr>
            </w:pPr>
            <w:r>
              <w:rPr>
                <w:rFonts w:ascii="Times New Roman;Times;serif" w:hAnsi="Times New Roman;Times;serif"/>
                <w:caps w:val="false"/>
                <w:smallCaps w:val="false"/>
                <w:sz w:val="16"/>
              </w:rPr>
              <w:t>Interest rate swaps</w:t>
            </w:r>
          </w:p>
        </w:tc>
        <w:tc>
          <w:tcPr>
            <w:tcW w:w="60" w:type="dxa"/>
            <w:tcBorders/>
            <w:shd w:fill="CCEEFF" w:val="clear"/>
            <w:vAlign w:val="center"/>
          </w:tcPr>
          <w:p>
            <w:pPr>
              <w:pStyle w:val="TableContents"/>
              <w:bidi w:val="0"/>
              <w:spacing w:before="0" w:after="0"/>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83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2,269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93"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76"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339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1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1208"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1,930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574"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326"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773"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0"/>
              <w:ind w:left="0" w:right="0" w:hanging="0"/>
              <w:jc w:val="left"/>
              <w:rPr/>
            </w:pPr>
            <w:r>
              <w:rPr/>
              <w:t> </w:t>
            </w:r>
          </w:p>
        </w:tc>
        <w:tc>
          <w:tcPr>
            <w:tcW w:w="97" w:type="dxa"/>
            <w:tcBorders/>
            <w:shd w:fill="CCEEFF" w:val="clear"/>
            <w:vAlign w:val="center"/>
          </w:tcPr>
          <w:p>
            <w:pPr>
              <w:pStyle w:val="TableContents"/>
              <w:bidi w:val="0"/>
              <w:spacing w:before="0" w:after="0"/>
              <w:ind w:left="0" w:right="0" w:hanging="0"/>
              <w:jc w:val="left"/>
              <w:rPr/>
            </w:pPr>
            <w:r>
              <w:rPr/>
              <w:t> </w:t>
            </w:r>
          </w:p>
        </w:tc>
        <w:tc>
          <w:tcPr>
            <w:tcW w:w="178" w:type="dxa"/>
            <w:tcBorders/>
            <w:shd w:fill="CCEEFF" w:val="clear"/>
            <w:vAlign w:val="center"/>
          </w:tcPr>
          <w:p>
            <w:pPr>
              <w:pStyle w:val="TableContents"/>
              <w:bidi w:val="0"/>
              <w:spacing w:before="0" w:after="283"/>
              <w:ind w:left="0" w:right="0" w:hanging="0"/>
              <w:jc w:val="left"/>
              <w:rPr>
                <w:rFonts w:ascii="Times New Roman;Times;serif" w:hAnsi="Times New Roman;Times;serif"/>
                <w:sz w:val="16"/>
              </w:rPr>
            </w:pPr>
            <w:r>
              <w:rPr>
                <w:rFonts w:ascii="Times New Roman;Times;serif" w:hAnsi="Times New Roman;Times;serif"/>
                <w:sz w:val="16"/>
              </w:rPr>
              <w:t>$</w:t>
            </w:r>
          </w:p>
        </w:tc>
        <w:tc>
          <w:tcPr>
            <w:tcW w:w="692" w:type="dxa"/>
            <w:tcBorders/>
            <w:shd w:fill="CCEEFF" w:val="clear"/>
            <w:vAlign w:val="center"/>
          </w:tcPr>
          <w:p>
            <w:pPr>
              <w:pStyle w:val="TableContents"/>
              <w:bidi w:val="0"/>
              <w:spacing w:before="0" w:after="283"/>
              <w:ind w:left="0" w:right="0" w:hanging="0"/>
              <w:jc w:val="right"/>
              <w:rPr>
                <w:rFonts w:ascii="Times New Roman;Times;serif" w:hAnsi="Times New Roman;Times;serif"/>
                <w:sz w:val="16"/>
              </w:rPr>
            </w:pPr>
            <w:r>
              <w:rPr>
                <w:rFonts w:ascii="Times New Roman;Times;serif" w:hAnsi="Times New Roman;Times;serif"/>
                <w:sz w:val="16"/>
              </w:rPr>
              <w:t>1,930</w:t>
            </w:r>
          </w:p>
        </w:tc>
        <w:tc>
          <w:tcPr>
            <w:tcW w:w="75"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8659" w:type="dxa"/>
        <w:jc w:val="left"/>
        <w:tblInd w:w="0" w:type="dxa"/>
        <w:tblLayout w:type="fixed"/>
        <w:tblCellMar>
          <w:top w:w="0" w:type="dxa"/>
          <w:left w:w="0" w:type="dxa"/>
          <w:bottom w:w="0" w:type="dxa"/>
          <w:right w:w="0" w:type="dxa"/>
        </w:tblCellMar>
      </w:tblPr>
      <w:tblGrid>
        <w:gridCol w:w="2300"/>
        <w:gridCol w:w="23"/>
        <w:gridCol w:w="289"/>
        <w:gridCol w:w="765"/>
        <w:gridCol w:w="23"/>
        <w:gridCol w:w="23"/>
        <w:gridCol w:w="317"/>
        <w:gridCol w:w="752"/>
        <w:gridCol w:w="23"/>
        <w:gridCol w:w="23"/>
        <w:gridCol w:w="309"/>
        <w:gridCol w:w="820"/>
        <w:gridCol w:w="23"/>
        <w:gridCol w:w="23"/>
        <w:gridCol w:w="256"/>
        <w:gridCol w:w="559"/>
        <w:gridCol w:w="45"/>
        <w:gridCol w:w="45"/>
        <w:gridCol w:w="301"/>
        <w:gridCol w:w="798"/>
        <w:gridCol w:w="45"/>
        <w:gridCol w:w="45"/>
        <w:gridCol w:w="245"/>
        <w:gridCol w:w="584"/>
        <w:gridCol w:w="23"/>
      </w:tblGrid>
      <w:tr>
        <w:trPr/>
        <w:tc>
          <w:tcPr>
            <w:tcW w:w="230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17" w:type="dxa"/>
            <w:tcBorders/>
            <w:vAlign w:val="center"/>
          </w:tcPr>
          <w:p>
            <w:pPr>
              <w:pStyle w:val="TableContents"/>
              <w:bidi w:val="0"/>
              <w:spacing w:before="0" w:after="0"/>
              <w:ind w:left="0" w:right="0" w:hanging="0"/>
              <w:jc w:val="left"/>
              <w:rPr/>
            </w:pPr>
            <w:r>
              <w:rPr/>
              <w:t>​</w:t>
            </w:r>
          </w:p>
        </w:tc>
        <w:tc>
          <w:tcPr>
            <w:tcW w:w="752"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29" w:type="dxa"/>
            <w:gridSpan w:val="2"/>
            <w:tcBorders/>
            <w:vAlign w:val="center"/>
          </w:tcPr>
          <w:p>
            <w:pPr>
              <w:pStyle w:val="TableContents"/>
              <w:bidi w:val="0"/>
              <w:spacing w:before="0" w:after="0"/>
              <w:ind w:left="0" w:right="0" w:hanging="0"/>
              <w:jc w:val="center"/>
              <w:rPr>
                <w:rFonts w:ascii="Times New Roman" w:hAnsi="Times New Roman"/>
                <w:sz w:val="16"/>
              </w:rPr>
            </w:pPr>
            <w:r>
              <w:rPr>
                <w:rFonts w:ascii="Times New Roman" w:hAnsi="Times New Roman"/>
                <w:sz w:val="16"/>
              </w:rPr>
              <w:t>Net Amounts of</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56" w:type="dxa"/>
            <w:tcBorders/>
            <w:vAlign w:val="center"/>
          </w:tcPr>
          <w:p>
            <w:pPr>
              <w:pStyle w:val="TableContents"/>
              <w:bidi w:val="0"/>
              <w:spacing w:before="0" w:after="0"/>
              <w:ind w:left="0" w:right="0" w:hanging="0"/>
              <w:jc w:val="left"/>
              <w:rPr/>
            </w:pPr>
            <w:r>
              <w:rPr/>
              <w:t>​</w:t>
            </w:r>
          </w:p>
        </w:tc>
        <w:tc>
          <w:tcPr>
            <w:tcW w:w="559" w:type="dxa"/>
            <w:tcBorders/>
            <w:vAlign w:val="center"/>
          </w:tcPr>
          <w:p>
            <w:pPr>
              <w:pStyle w:val="TableContents"/>
              <w:bidi w:val="0"/>
              <w:spacing w:before="0" w:after="0"/>
              <w:ind w:left="0" w:right="0" w:hanging="0"/>
              <w:jc w:val="center"/>
              <w:rPr/>
            </w:pPr>
            <w:r>
              <w:rPr/>
              <w:t>​</w:t>
            </w:r>
          </w:p>
        </w:tc>
        <w:tc>
          <w:tcPr>
            <w:tcW w:w="45" w:type="dxa"/>
            <w:tcBorders/>
            <w:vAlign w:val="center"/>
          </w:tcPr>
          <w:p>
            <w:pPr>
              <w:pStyle w:val="TableContents"/>
              <w:bidi w:val="0"/>
              <w:spacing w:before="0" w:after="0"/>
              <w:ind w:left="0" w:right="0" w:hanging="0"/>
              <w:jc w:val="left"/>
              <w:rPr/>
            </w:pPr>
            <w:r>
              <w:rPr/>
              <w:t>​</w:t>
            </w:r>
          </w:p>
        </w:tc>
        <w:tc>
          <w:tcPr>
            <w:tcW w:w="45" w:type="dxa"/>
            <w:tcBorders/>
            <w:vAlign w:val="center"/>
          </w:tcPr>
          <w:p>
            <w:pPr>
              <w:pStyle w:val="TableContents"/>
              <w:bidi w:val="0"/>
              <w:spacing w:before="0" w:after="0"/>
              <w:ind w:left="0" w:right="0" w:hanging="0"/>
              <w:jc w:val="left"/>
              <w:rPr/>
            </w:pPr>
            <w:r>
              <w:rPr/>
              <w:t>​</w:t>
            </w:r>
          </w:p>
        </w:tc>
        <w:tc>
          <w:tcPr>
            <w:tcW w:w="301" w:type="dxa"/>
            <w:tcBorders/>
            <w:vAlign w:val="center"/>
          </w:tcPr>
          <w:p>
            <w:pPr>
              <w:pStyle w:val="TableContents"/>
              <w:bidi w:val="0"/>
              <w:spacing w:before="0" w:after="0"/>
              <w:ind w:left="0" w:right="0" w:hanging="0"/>
              <w:jc w:val="left"/>
              <w:rPr/>
            </w:pPr>
            <w:r>
              <w:rPr/>
              <w:t>​</w:t>
            </w:r>
          </w:p>
        </w:tc>
        <w:tc>
          <w:tcPr>
            <w:tcW w:w="798" w:type="dxa"/>
            <w:tcBorders/>
            <w:vAlign w:val="center"/>
          </w:tcPr>
          <w:p>
            <w:pPr>
              <w:pStyle w:val="TableContents"/>
              <w:bidi w:val="0"/>
              <w:spacing w:before="0" w:after="0"/>
              <w:ind w:left="0" w:right="0" w:hanging="0"/>
              <w:jc w:val="center"/>
              <w:rPr/>
            </w:pPr>
            <w:r>
              <w:rPr/>
              <w:t>​</w:t>
            </w:r>
          </w:p>
        </w:tc>
        <w:tc>
          <w:tcPr>
            <w:tcW w:w="45" w:type="dxa"/>
            <w:tcBorders/>
            <w:vAlign w:val="center"/>
          </w:tcPr>
          <w:p>
            <w:pPr>
              <w:pStyle w:val="TableContents"/>
              <w:bidi w:val="0"/>
              <w:spacing w:before="0" w:after="0"/>
              <w:ind w:left="0" w:right="0" w:hanging="0"/>
              <w:jc w:val="left"/>
              <w:rPr/>
            </w:pPr>
            <w:r>
              <w:rPr/>
              <w:t>​</w:t>
            </w:r>
          </w:p>
        </w:tc>
        <w:tc>
          <w:tcPr>
            <w:tcW w:w="45"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r>
      <w:tr>
        <w:trPr/>
        <w:tc>
          <w:tcPr>
            <w:tcW w:w="230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9" w:type="dxa"/>
            <w:tcBorders/>
            <w:vAlign w:val="center"/>
          </w:tcPr>
          <w:p>
            <w:pPr>
              <w:pStyle w:val="TableContents"/>
              <w:bidi w:val="0"/>
              <w:spacing w:before="0" w:after="0"/>
              <w:ind w:left="0" w:right="0" w:hanging="0"/>
              <w:jc w:val="left"/>
              <w:rPr/>
            </w:pPr>
            <w:r>
              <w:rPr/>
              <w:t>​</w:t>
            </w:r>
          </w:p>
        </w:tc>
        <w:tc>
          <w:tcPr>
            <w:tcW w:w="765"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69"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Gross Amounts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29"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Liabilities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923" w:type="dxa"/>
            <w:gridSpan w:val="10"/>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Gross Amounts Not Offset</w:t>
            </w:r>
          </w:p>
        </w:tc>
        <w:tc>
          <w:tcPr>
            <w:tcW w:w="23" w:type="dxa"/>
            <w:tcBorders/>
            <w:vAlign w:val="center"/>
          </w:tcPr>
          <w:p>
            <w:pPr>
              <w:pStyle w:val="TableContents"/>
              <w:bidi w:val="0"/>
              <w:spacing w:before="0" w:after="0"/>
              <w:ind w:left="0" w:right="0" w:hanging="0"/>
              <w:jc w:val="left"/>
              <w:rPr/>
            </w:pPr>
            <w:r>
              <w:rPr/>
              <w:t>​</w:t>
            </w:r>
          </w:p>
        </w:tc>
      </w:tr>
      <w:tr>
        <w:trPr/>
        <w:tc>
          <w:tcPr>
            <w:tcW w:w="230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54"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Gross Amounts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69"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Offset in the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29"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Presented in the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923" w:type="dxa"/>
            <w:gridSpan w:val="10"/>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in the Consolidated Balance Sheets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30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54"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of Recognized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69"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Consolidated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29"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Consolidated</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1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Financial</w:t>
            </w:r>
          </w:p>
        </w:tc>
        <w:tc>
          <w:tcPr>
            <w:tcW w:w="45" w:type="dxa"/>
            <w:tcBorders/>
            <w:vAlign w:val="center"/>
          </w:tcPr>
          <w:p>
            <w:pPr>
              <w:pStyle w:val="TableContents"/>
              <w:bidi w:val="0"/>
              <w:spacing w:before="0" w:after="0"/>
              <w:ind w:left="0" w:right="0" w:hanging="0"/>
              <w:jc w:val="left"/>
              <w:rPr/>
            </w:pPr>
            <w:r>
              <w:rPr/>
              <w:t>​</w:t>
            </w:r>
          </w:p>
        </w:tc>
        <w:tc>
          <w:tcPr>
            <w:tcW w:w="45" w:type="dxa"/>
            <w:tcBorders/>
            <w:vAlign w:val="center"/>
          </w:tcPr>
          <w:p>
            <w:pPr>
              <w:pStyle w:val="TableContents"/>
              <w:bidi w:val="0"/>
              <w:spacing w:before="0" w:after="0"/>
              <w:ind w:left="0" w:right="0" w:hanging="0"/>
              <w:jc w:val="left"/>
              <w:rPr/>
            </w:pPr>
            <w:r>
              <w:rPr/>
              <w:t>​</w:t>
            </w:r>
          </w:p>
        </w:tc>
        <w:tc>
          <w:tcPr>
            <w:tcW w:w="1099"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Cash Collateral</w:t>
            </w:r>
          </w:p>
        </w:tc>
        <w:tc>
          <w:tcPr>
            <w:tcW w:w="45" w:type="dxa"/>
            <w:tcBorders/>
            <w:vAlign w:val="center"/>
          </w:tcPr>
          <w:p>
            <w:pPr>
              <w:pStyle w:val="TableContents"/>
              <w:bidi w:val="0"/>
              <w:spacing w:before="0" w:after="0"/>
              <w:ind w:left="0" w:right="0" w:hanging="0"/>
              <w:jc w:val="left"/>
              <w:rPr/>
            </w:pPr>
            <w:r>
              <w:rPr/>
              <w:t>​</w:t>
            </w:r>
          </w:p>
        </w:tc>
        <w:tc>
          <w:tcPr>
            <w:tcW w:w="45" w:type="dxa"/>
            <w:tcBorders/>
            <w:vAlign w:val="center"/>
          </w:tcPr>
          <w:p>
            <w:pPr>
              <w:pStyle w:val="TableContents"/>
              <w:bidi w:val="0"/>
              <w:spacing w:before="0" w:after="0"/>
              <w:ind w:left="0" w:right="0" w:hanging="0"/>
              <w:jc w:val="left"/>
              <w:rPr/>
            </w:pPr>
            <w:r>
              <w:rPr/>
              <w:t>​</w:t>
            </w:r>
          </w:p>
        </w:tc>
        <w:tc>
          <w:tcPr>
            <w:tcW w:w="245" w:type="dxa"/>
            <w:tcBorders/>
            <w:vAlign w:val="center"/>
          </w:tcPr>
          <w:p>
            <w:pPr>
              <w:pStyle w:val="TableContents"/>
              <w:bidi w:val="0"/>
              <w:spacing w:before="0" w:after="0"/>
              <w:ind w:left="0" w:right="0" w:hanging="0"/>
              <w:jc w:val="left"/>
              <w:rPr/>
            </w:pPr>
            <w:r>
              <w:rPr/>
              <w:t>​</w:t>
            </w:r>
          </w:p>
        </w:tc>
        <w:tc>
          <w:tcPr>
            <w:tcW w:w="584" w:type="dxa"/>
            <w:tcBorders/>
            <w:vAlign w:val="center"/>
          </w:tcPr>
          <w:p>
            <w:pPr>
              <w:pStyle w:val="TableContents"/>
              <w:bidi w:val="0"/>
              <w:spacing w:before="0" w:after="0"/>
              <w:ind w:left="0" w:right="0" w:hanging="0"/>
              <w:jc w:val="center"/>
              <w:rPr/>
            </w:pPr>
            <w:r>
              <w:rPr>
                <w:rStyle w:val="Emphasis"/>
              </w:rPr>
              <w:t>​</w:t>
            </w:r>
          </w:p>
        </w:tc>
        <w:tc>
          <w:tcPr>
            <w:tcW w:w="23" w:type="dxa"/>
            <w:tcBorders/>
            <w:vAlign w:val="center"/>
          </w:tcPr>
          <w:p>
            <w:pPr>
              <w:pStyle w:val="TableContents"/>
              <w:bidi w:val="0"/>
              <w:spacing w:before="0" w:after="0"/>
              <w:ind w:left="0" w:right="0" w:hanging="0"/>
              <w:jc w:val="left"/>
              <w:rPr/>
            </w:pPr>
            <w:r>
              <w:rPr/>
              <w:t>​</w:t>
            </w:r>
          </w:p>
        </w:tc>
      </w:tr>
      <w:tr>
        <w:trPr/>
        <w:tc>
          <w:tcPr>
            <w:tcW w:w="23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Offsetting of derivative liabilities</w:t>
            </w:r>
          </w:p>
        </w:tc>
        <w:tc>
          <w:tcPr>
            <w:tcW w:w="23" w:type="dxa"/>
            <w:tcBorders/>
            <w:vAlign w:val="center"/>
          </w:tcPr>
          <w:p>
            <w:pPr>
              <w:pStyle w:val="TableContents"/>
              <w:bidi w:val="0"/>
              <w:spacing w:before="0" w:after="0"/>
              <w:ind w:left="0" w:right="0" w:hanging="0"/>
              <w:jc w:val="left"/>
              <w:rPr/>
            </w:pPr>
            <w:r>
              <w:rPr/>
              <w:t>​</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Liabilities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6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Balance Sheets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Balance Sheets</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Instruments</w:t>
            </w:r>
          </w:p>
        </w:tc>
        <w:tc>
          <w:tcPr>
            <w:tcW w:w="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 w:type="dxa"/>
            <w:tcBorders/>
            <w:vAlign w:val="center"/>
          </w:tcPr>
          <w:p>
            <w:pPr>
              <w:pStyle w:val="TableContents"/>
              <w:bidi w:val="0"/>
              <w:spacing w:before="0" w:after="0"/>
              <w:ind w:left="0" w:right="0" w:hanging="0"/>
              <w:jc w:val="left"/>
              <w:rPr/>
            </w:pPr>
            <w:r>
              <w:rPr/>
              <w:t>​</w:t>
            </w:r>
          </w:p>
        </w:tc>
        <w:tc>
          <w:tcPr>
            <w:tcW w:w="109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Posted</w:t>
            </w:r>
          </w:p>
        </w:tc>
        <w:tc>
          <w:tcPr>
            <w:tcW w:w="4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45" w:type="dxa"/>
            <w:tcBorders/>
            <w:vAlign w:val="center"/>
          </w:tcPr>
          <w:p>
            <w:pPr>
              <w:pStyle w:val="TableContents"/>
              <w:bidi w:val="0"/>
              <w:spacing w:before="0" w:after="0"/>
              <w:ind w:left="0" w:right="0" w:hanging="0"/>
              <w:jc w:val="left"/>
              <w:rPr/>
            </w:pPr>
            <w:r>
              <w:rPr/>
              <w:t>​</w:t>
            </w:r>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6"/>
              </w:rPr>
              <w:t>Net Amount</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3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At June 30, 2026</w:t>
            </w:r>
          </w:p>
        </w:tc>
        <w:tc>
          <w:tcPr>
            <w:tcW w:w="23"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82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559" w:type="dxa"/>
            <w:tcBorders/>
            <w:shd w:fill="CCEEFF" w:val="clear"/>
            <w:vAlign w:val="center"/>
          </w:tcPr>
          <w:p>
            <w:pPr>
              <w:pStyle w:val="TableContents"/>
              <w:bidi w:val="0"/>
              <w:spacing w:before="0" w:after="0"/>
              <w:ind w:left="0" w:right="0" w:hanging="0"/>
              <w:jc w:val="left"/>
              <w:rPr/>
            </w:pPr>
            <w:r>
              <w:rPr/>
              <w:t>​</w:t>
            </w:r>
          </w:p>
        </w:tc>
        <w:tc>
          <w:tcPr>
            <w:tcW w:w="45" w:type="dxa"/>
            <w:tcBorders/>
            <w:shd w:fill="CCEEFF" w:val="clear"/>
            <w:vAlign w:val="center"/>
          </w:tcPr>
          <w:p>
            <w:pPr>
              <w:pStyle w:val="TableContents"/>
              <w:bidi w:val="0"/>
              <w:spacing w:before="0" w:after="0"/>
              <w:ind w:left="0" w:right="0" w:hanging="0"/>
              <w:jc w:val="left"/>
              <w:rPr/>
            </w:pPr>
            <w:r>
              <w:rPr/>
              <w:t>​</w:t>
            </w:r>
          </w:p>
        </w:tc>
        <w:tc>
          <w:tcPr>
            <w:tcW w:w="45"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left"/>
              <w:rPr/>
            </w:pPr>
            <w:r>
              <w:rPr/>
              <w:t>​</w:t>
            </w:r>
          </w:p>
        </w:tc>
        <w:tc>
          <w:tcPr>
            <w:tcW w:w="45" w:type="dxa"/>
            <w:tcBorders/>
            <w:shd w:fill="CCEEFF" w:val="clear"/>
            <w:vAlign w:val="center"/>
          </w:tcPr>
          <w:p>
            <w:pPr>
              <w:pStyle w:val="TableContents"/>
              <w:bidi w:val="0"/>
              <w:spacing w:before="0" w:after="0"/>
              <w:ind w:left="0" w:right="0" w:hanging="0"/>
              <w:jc w:val="left"/>
              <w:rPr/>
            </w:pPr>
            <w:r>
              <w:rPr/>
              <w:t>​</w:t>
            </w:r>
          </w:p>
        </w:tc>
        <w:tc>
          <w:tcPr>
            <w:tcW w:w="45"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3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Interest rate swaps</w:t>
            </w:r>
          </w:p>
        </w:tc>
        <w:tc>
          <w:tcPr>
            <w:tcW w:w="23" w:type="dxa"/>
            <w:tcBorders/>
            <w:shd w:fill="FFFFFF" w:val="clear"/>
            <w:vAlign w:val="center"/>
          </w:tcPr>
          <w:p>
            <w:pPr>
              <w:pStyle w:val="TableContents"/>
              <w:bidi w:val="0"/>
              <w:spacing w:before="0" w:after="0"/>
              <w:ind w:left="0" w:right="0" w:hanging="0"/>
              <w:jc w:val="left"/>
              <w:rPr/>
            </w:pPr>
            <w:r>
              <w:rPr/>
              <w:t>​</w:t>
            </w:r>
          </w:p>
        </w:tc>
        <w:tc>
          <w:tcPr>
            <w:tcW w:w="289"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6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17"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52"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09"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82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56"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59" w:type="dxa"/>
            <w:tcBorders/>
            <w:shd w:fill="FFFFFF" w:val="clear"/>
            <w:vAlign w:val="center"/>
          </w:tcPr>
          <w:p>
            <w:pPr>
              <w:pStyle w:val="TableContents"/>
              <w:bidi w:val="0"/>
              <w:spacing w:before="0" w:after="0"/>
              <w:ind w:left="0" w:right="0" w:hanging="0"/>
              <w:jc w:val="right"/>
              <w:rPr/>
            </w:pPr>
            <w:r>
              <w:rPr/>
              <w:t>—</w:t>
            </w:r>
          </w:p>
        </w:tc>
        <w:tc>
          <w:tcPr>
            <w:tcW w:w="45" w:type="dxa"/>
            <w:tcBorders/>
            <w:shd w:fill="FFFFFF" w:val="clear"/>
            <w:vAlign w:val="center"/>
          </w:tcPr>
          <w:p>
            <w:pPr>
              <w:pStyle w:val="TableContents"/>
              <w:bidi w:val="0"/>
              <w:spacing w:before="0" w:after="0"/>
              <w:ind w:left="0" w:right="0" w:hanging="0"/>
              <w:jc w:val="left"/>
              <w:rPr/>
            </w:pPr>
            <w:r>
              <w:rPr/>
              <w:t>​</w:t>
            </w:r>
          </w:p>
        </w:tc>
        <w:tc>
          <w:tcPr>
            <w:tcW w:w="45" w:type="dxa"/>
            <w:tcBorders/>
            <w:shd w:fill="FFFFFF" w:val="clear"/>
            <w:vAlign w:val="center"/>
          </w:tcPr>
          <w:p>
            <w:pPr>
              <w:pStyle w:val="TableContents"/>
              <w:bidi w:val="0"/>
              <w:spacing w:before="0" w:after="0"/>
              <w:ind w:left="0" w:right="0" w:hanging="0"/>
              <w:jc w:val="left"/>
              <w:rPr/>
            </w:pPr>
            <w:r>
              <w:rPr/>
              <w:t>​</w:t>
            </w:r>
          </w:p>
        </w:tc>
        <w:tc>
          <w:tcPr>
            <w:tcW w:w="301"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98" w:type="dxa"/>
            <w:tcBorders/>
            <w:shd w:fill="FFFFFF" w:val="clear"/>
            <w:vAlign w:val="center"/>
          </w:tcPr>
          <w:p>
            <w:pPr>
              <w:pStyle w:val="TableContents"/>
              <w:bidi w:val="0"/>
              <w:spacing w:before="0" w:after="0"/>
              <w:ind w:left="0" w:right="0" w:hanging="0"/>
              <w:jc w:val="right"/>
              <w:rPr/>
            </w:pPr>
            <w:r>
              <w:rPr/>
              <w:t>—</w:t>
            </w:r>
          </w:p>
        </w:tc>
        <w:tc>
          <w:tcPr>
            <w:tcW w:w="45" w:type="dxa"/>
            <w:tcBorders/>
            <w:shd w:fill="FFFFFF" w:val="clear"/>
            <w:vAlign w:val="center"/>
          </w:tcPr>
          <w:p>
            <w:pPr>
              <w:pStyle w:val="TableContents"/>
              <w:bidi w:val="0"/>
              <w:spacing w:before="0" w:after="0"/>
              <w:ind w:left="0" w:right="0" w:hanging="0"/>
              <w:jc w:val="left"/>
              <w:rPr/>
            </w:pPr>
            <w:r>
              <w:rPr/>
              <w:t>​</w:t>
            </w:r>
          </w:p>
        </w:tc>
        <w:tc>
          <w:tcPr>
            <w:tcW w:w="45" w:type="dxa"/>
            <w:tcBorders/>
            <w:shd w:fill="FFFFFF" w:val="clear"/>
            <w:vAlign w:val="center"/>
          </w:tcPr>
          <w:p>
            <w:pPr>
              <w:pStyle w:val="TableContents"/>
              <w:bidi w:val="0"/>
              <w:spacing w:before="0" w:after="0"/>
              <w:ind w:left="0" w:right="0" w:hanging="0"/>
              <w:jc w:val="left"/>
              <w:rPr/>
            </w:pPr>
            <w:r>
              <w:rPr/>
              <w:t>​</w:t>
            </w:r>
          </w:p>
        </w:tc>
        <w:tc>
          <w:tcPr>
            <w:tcW w:w="24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8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30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pPr>
            <w:r>
              <w:rPr/>
              <w:t>​</w:t>
            </w:r>
          </w:p>
        </w:tc>
        <w:tc>
          <w:tcPr>
            <w:tcW w:w="76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pPr>
            <w:r>
              <w:rPr/>
              <w:t>​</w:t>
            </w:r>
          </w:p>
        </w:tc>
        <w:tc>
          <w:tcPr>
            <w:tcW w:w="752"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pPr>
            <w:r>
              <w:rPr/>
              <w:t>​</w:t>
            </w:r>
          </w:p>
        </w:tc>
        <w:tc>
          <w:tcPr>
            <w:tcW w:w="82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pPr>
            <w:r>
              <w:rPr/>
              <w:t>​</w:t>
            </w:r>
          </w:p>
        </w:tc>
        <w:tc>
          <w:tcPr>
            <w:tcW w:w="559" w:type="dxa"/>
            <w:tcBorders/>
            <w:shd w:fill="CCEEFF" w:val="clear"/>
            <w:vAlign w:val="center"/>
          </w:tcPr>
          <w:p>
            <w:pPr>
              <w:pStyle w:val="TableContents"/>
              <w:bidi w:val="0"/>
              <w:spacing w:before="0" w:after="0"/>
              <w:ind w:left="0" w:right="0" w:hanging="0"/>
              <w:jc w:val="left"/>
              <w:rPr/>
            </w:pPr>
            <w:r>
              <w:rPr/>
              <w:t>​</w:t>
            </w:r>
          </w:p>
        </w:tc>
        <w:tc>
          <w:tcPr>
            <w:tcW w:w="45" w:type="dxa"/>
            <w:tcBorders/>
            <w:shd w:fill="CCEEFF" w:val="clear"/>
            <w:vAlign w:val="center"/>
          </w:tcPr>
          <w:p>
            <w:pPr>
              <w:pStyle w:val="TableContents"/>
              <w:bidi w:val="0"/>
              <w:spacing w:before="0" w:after="0"/>
              <w:ind w:left="0" w:right="0" w:hanging="0"/>
              <w:jc w:val="left"/>
              <w:rPr/>
            </w:pPr>
            <w:r>
              <w:rPr/>
              <w:t>​</w:t>
            </w:r>
          </w:p>
        </w:tc>
        <w:tc>
          <w:tcPr>
            <w:tcW w:w="45"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pPr>
            <w:r>
              <w:rPr/>
              <w:t>​</w:t>
            </w:r>
          </w:p>
        </w:tc>
        <w:tc>
          <w:tcPr>
            <w:tcW w:w="798" w:type="dxa"/>
            <w:tcBorders/>
            <w:shd w:fill="CCEEFF" w:val="clear"/>
            <w:vAlign w:val="center"/>
          </w:tcPr>
          <w:p>
            <w:pPr>
              <w:pStyle w:val="TableContents"/>
              <w:bidi w:val="0"/>
              <w:spacing w:before="0" w:after="0"/>
              <w:ind w:left="0" w:right="0" w:hanging="0"/>
              <w:jc w:val="left"/>
              <w:rPr/>
            </w:pPr>
            <w:r>
              <w:rPr/>
              <w:t>​</w:t>
            </w:r>
          </w:p>
        </w:tc>
        <w:tc>
          <w:tcPr>
            <w:tcW w:w="45" w:type="dxa"/>
            <w:tcBorders/>
            <w:shd w:fill="CCEEFF" w:val="clear"/>
            <w:vAlign w:val="center"/>
          </w:tcPr>
          <w:p>
            <w:pPr>
              <w:pStyle w:val="TableContents"/>
              <w:bidi w:val="0"/>
              <w:spacing w:before="0" w:after="0"/>
              <w:ind w:left="0" w:right="0" w:hanging="0"/>
              <w:jc w:val="left"/>
              <w:rPr/>
            </w:pPr>
            <w:r>
              <w:rPr/>
              <w:t>​</w:t>
            </w:r>
          </w:p>
        </w:tc>
        <w:tc>
          <w:tcPr>
            <w:tcW w:w="45"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pPr>
            <w:r>
              <w:rPr/>
              <w:t>​</w:t>
            </w:r>
          </w:p>
        </w:tc>
        <w:tc>
          <w:tcPr>
            <w:tcW w:w="584"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3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At December 31, 2025</w:t>
            </w:r>
          </w:p>
        </w:tc>
        <w:tc>
          <w:tcPr>
            <w:tcW w:w="23" w:type="dxa"/>
            <w:tcBorders/>
            <w:shd w:fill="FFFFFF" w:val="clear"/>
            <w:vAlign w:val="center"/>
          </w:tcPr>
          <w:p>
            <w:pPr>
              <w:pStyle w:val="TableContents"/>
              <w:bidi w:val="0"/>
              <w:spacing w:before="0" w:after="0"/>
              <w:ind w:left="0" w:right="0" w:hanging="0"/>
              <w:jc w:val="left"/>
              <w:rPr/>
            </w:pPr>
            <w:r>
              <w:rPr/>
              <w:t>​</w:t>
            </w:r>
          </w:p>
        </w:tc>
        <w:tc>
          <w:tcPr>
            <w:tcW w:w="289" w:type="dxa"/>
            <w:tcBorders/>
            <w:shd w:fill="FFFFFF" w:val="clear"/>
            <w:vAlign w:val="center"/>
          </w:tcPr>
          <w:p>
            <w:pPr>
              <w:pStyle w:val="TableContents"/>
              <w:bidi w:val="0"/>
              <w:spacing w:before="0" w:after="0"/>
              <w:ind w:left="0" w:right="0" w:hanging="0"/>
              <w:jc w:val="left"/>
              <w:rPr/>
            </w:pPr>
            <w:r>
              <w:rPr/>
              <w:t>​</w:t>
            </w:r>
          </w:p>
        </w:tc>
        <w:tc>
          <w:tcPr>
            <w:tcW w:w="76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17" w:type="dxa"/>
            <w:tcBorders/>
            <w:shd w:fill="FFFFFF" w:val="clear"/>
            <w:vAlign w:val="center"/>
          </w:tcPr>
          <w:p>
            <w:pPr>
              <w:pStyle w:val="TableContents"/>
              <w:bidi w:val="0"/>
              <w:spacing w:before="0" w:after="0"/>
              <w:ind w:left="0" w:right="0" w:hanging="0"/>
              <w:jc w:val="left"/>
              <w:rPr/>
            </w:pPr>
            <w:r>
              <w:rPr/>
              <w:t>​</w:t>
            </w:r>
          </w:p>
        </w:tc>
        <w:tc>
          <w:tcPr>
            <w:tcW w:w="752"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09" w:type="dxa"/>
            <w:tcBorders/>
            <w:shd w:fill="FFFFFF" w:val="clear"/>
            <w:vAlign w:val="center"/>
          </w:tcPr>
          <w:p>
            <w:pPr>
              <w:pStyle w:val="TableContents"/>
              <w:bidi w:val="0"/>
              <w:spacing w:before="0" w:after="0"/>
              <w:ind w:left="0" w:right="0" w:hanging="0"/>
              <w:jc w:val="left"/>
              <w:rPr/>
            </w:pPr>
            <w:r>
              <w:rPr/>
              <w:t>​</w:t>
            </w:r>
          </w:p>
        </w:tc>
        <w:tc>
          <w:tcPr>
            <w:tcW w:w="82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56" w:type="dxa"/>
            <w:tcBorders/>
            <w:shd w:fill="FFFFFF" w:val="clear"/>
            <w:vAlign w:val="center"/>
          </w:tcPr>
          <w:p>
            <w:pPr>
              <w:pStyle w:val="TableContents"/>
              <w:bidi w:val="0"/>
              <w:spacing w:before="0" w:after="0"/>
              <w:ind w:left="0" w:right="0" w:hanging="0"/>
              <w:jc w:val="left"/>
              <w:rPr/>
            </w:pPr>
            <w:r>
              <w:rPr/>
              <w:t>​</w:t>
            </w:r>
          </w:p>
        </w:tc>
        <w:tc>
          <w:tcPr>
            <w:tcW w:w="559" w:type="dxa"/>
            <w:tcBorders/>
            <w:shd w:fill="FFFFFF" w:val="clear"/>
            <w:vAlign w:val="center"/>
          </w:tcPr>
          <w:p>
            <w:pPr>
              <w:pStyle w:val="TableContents"/>
              <w:bidi w:val="0"/>
              <w:spacing w:before="0" w:after="0"/>
              <w:ind w:left="0" w:right="0" w:hanging="0"/>
              <w:jc w:val="left"/>
              <w:rPr/>
            </w:pPr>
            <w:r>
              <w:rPr/>
              <w:t>​</w:t>
            </w:r>
          </w:p>
        </w:tc>
        <w:tc>
          <w:tcPr>
            <w:tcW w:w="45" w:type="dxa"/>
            <w:tcBorders/>
            <w:shd w:fill="FFFFFF" w:val="clear"/>
            <w:vAlign w:val="center"/>
          </w:tcPr>
          <w:p>
            <w:pPr>
              <w:pStyle w:val="TableContents"/>
              <w:bidi w:val="0"/>
              <w:spacing w:before="0" w:after="0"/>
              <w:ind w:left="0" w:right="0" w:hanging="0"/>
              <w:jc w:val="left"/>
              <w:rPr/>
            </w:pPr>
            <w:r>
              <w:rPr/>
              <w:t>​</w:t>
            </w:r>
          </w:p>
        </w:tc>
        <w:tc>
          <w:tcPr>
            <w:tcW w:w="45" w:type="dxa"/>
            <w:tcBorders/>
            <w:shd w:fill="FFFFFF" w:val="clear"/>
            <w:vAlign w:val="center"/>
          </w:tcPr>
          <w:p>
            <w:pPr>
              <w:pStyle w:val="TableContents"/>
              <w:bidi w:val="0"/>
              <w:spacing w:before="0" w:after="0"/>
              <w:ind w:left="0" w:right="0" w:hanging="0"/>
              <w:jc w:val="left"/>
              <w:rPr/>
            </w:pPr>
            <w:r>
              <w:rPr/>
              <w:t>​</w:t>
            </w:r>
          </w:p>
        </w:tc>
        <w:tc>
          <w:tcPr>
            <w:tcW w:w="301" w:type="dxa"/>
            <w:tcBorders/>
            <w:shd w:fill="FFFFFF" w:val="clear"/>
            <w:vAlign w:val="center"/>
          </w:tcPr>
          <w:p>
            <w:pPr>
              <w:pStyle w:val="TableContents"/>
              <w:bidi w:val="0"/>
              <w:spacing w:before="0" w:after="0"/>
              <w:ind w:left="0" w:right="0" w:hanging="0"/>
              <w:jc w:val="left"/>
              <w:rPr/>
            </w:pPr>
            <w:r>
              <w:rPr/>
              <w:t>​</w:t>
            </w:r>
          </w:p>
        </w:tc>
        <w:tc>
          <w:tcPr>
            <w:tcW w:w="798" w:type="dxa"/>
            <w:tcBorders/>
            <w:shd w:fill="FFFFFF" w:val="clear"/>
            <w:vAlign w:val="center"/>
          </w:tcPr>
          <w:p>
            <w:pPr>
              <w:pStyle w:val="TableContents"/>
              <w:bidi w:val="0"/>
              <w:spacing w:before="0" w:after="0"/>
              <w:ind w:left="0" w:right="0" w:hanging="0"/>
              <w:jc w:val="left"/>
              <w:rPr/>
            </w:pPr>
            <w:r>
              <w:rPr/>
              <w:t>​</w:t>
            </w:r>
          </w:p>
        </w:tc>
        <w:tc>
          <w:tcPr>
            <w:tcW w:w="45" w:type="dxa"/>
            <w:tcBorders/>
            <w:shd w:fill="FFFFFF" w:val="clear"/>
            <w:vAlign w:val="center"/>
          </w:tcPr>
          <w:p>
            <w:pPr>
              <w:pStyle w:val="TableContents"/>
              <w:bidi w:val="0"/>
              <w:spacing w:before="0" w:after="0"/>
              <w:ind w:left="0" w:right="0" w:hanging="0"/>
              <w:jc w:val="left"/>
              <w:rPr/>
            </w:pPr>
            <w:r>
              <w:rPr/>
              <w:t>​</w:t>
            </w:r>
          </w:p>
        </w:tc>
        <w:tc>
          <w:tcPr>
            <w:tcW w:w="45" w:type="dxa"/>
            <w:tcBorders/>
            <w:shd w:fill="FFFFFF" w:val="clear"/>
            <w:vAlign w:val="center"/>
          </w:tcPr>
          <w:p>
            <w:pPr>
              <w:pStyle w:val="TableContents"/>
              <w:bidi w:val="0"/>
              <w:spacing w:before="0" w:after="0"/>
              <w:ind w:left="0" w:right="0" w:hanging="0"/>
              <w:jc w:val="left"/>
              <w:rPr/>
            </w:pPr>
            <w:r>
              <w:rPr/>
              <w:t>​</w:t>
            </w:r>
          </w:p>
        </w:tc>
        <w:tc>
          <w:tcPr>
            <w:tcW w:w="245" w:type="dxa"/>
            <w:tcBorders/>
            <w:shd w:fill="FFFFFF" w:val="clear"/>
            <w:vAlign w:val="center"/>
          </w:tcPr>
          <w:p>
            <w:pPr>
              <w:pStyle w:val="TableContents"/>
              <w:bidi w:val="0"/>
              <w:spacing w:before="0" w:after="0"/>
              <w:ind w:left="0" w:right="0" w:hanging="0"/>
              <w:jc w:val="left"/>
              <w:rPr/>
            </w:pPr>
            <w:r>
              <w:rPr/>
              <w:t>​</w:t>
            </w:r>
          </w:p>
        </w:tc>
        <w:tc>
          <w:tcPr>
            <w:tcW w:w="584"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3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Interest rate swaps</w:t>
            </w:r>
          </w:p>
        </w:tc>
        <w:tc>
          <w:tcPr>
            <w:tcW w:w="23" w:type="dxa"/>
            <w:tcBorders/>
            <w:shd w:fill="CCEEFF" w:val="clear"/>
            <w:vAlign w:val="center"/>
          </w:tcPr>
          <w:p>
            <w:pPr>
              <w:pStyle w:val="TableContents"/>
              <w:bidi w:val="0"/>
              <w:spacing w:before="0" w:after="0"/>
              <w:ind w:left="0" w:right="0" w:hanging="0"/>
              <w:jc w:val="left"/>
              <w:rPr/>
            </w:pPr>
            <w:r>
              <w:rPr/>
              <w:t>​</w:t>
            </w:r>
          </w:p>
        </w:tc>
        <w:tc>
          <w:tcPr>
            <w:tcW w:w="289"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6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679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52"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09"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820"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656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56"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59" w:type="dxa"/>
            <w:tcBorders/>
            <w:shd w:fill="CCEEFF" w:val="clear"/>
            <w:vAlign w:val="center"/>
          </w:tcPr>
          <w:p>
            <w:pPr>
              <w:pStyle w:val="TableContents"/>
              <w:bidi w:val="0"/>
              <w:spacing w:before="0" w:after="0"/>
              <w:ind w:left="0" w:right="0" w:hanging="0"/>
              <w:jc w:val="right"/>
              <w:rPr/>
            </w:pPr>
            <w:r>
              <w:rPr/>
              <w:t>—</w:t>
            </w:r>
          </w:p>
        </w:tc>
        <w:tc>
          <w:tcPr>
            <w:tcW w:w="45" w:type="dxa"/>
            <w:tcBorders/>
            <w:shd w:fill="CCEEFF" w:val="clear"/>
            <w:vAlign w:val="center"/>
          </w:tcPr>
          <w:p>
            <w:pPr>
              <w:pStyle w:val="TableContents"/>
              <w:bidi w:val="0"/>
              <w:spacing w:before="0" w:after="0"/>
              <w:ind w:left="0" w:right="0" w:hanging="0"/>
              <w:jc w:val="left"/>
              <w:rPr/>
            </w:pPr>
            <w:r>
              <w:rPr/>
              <w:t>​</w:t>
            </w:r>
          </w:p>
        </w:tc>
        <w:tc>
          <w:tcPr>
            <w:tcW w:w="45" w:type="dxa"/>
            <w:tcBorders/>
            <w:shd w:fill="CCEEFF" w:val="clear"/>
            <w:vAlign w:val="center"/>
          </w:tcPr>
          <w:p>
            <w:pPr>
              <w:pStyle w:val="TableContents"/>
              <w:bidi w:val="0"/>
              <w:spacing w:before="0" w:after="0"/>
              <w:ind w:left="0" w:right="0" w:hanging="0"/>
              <w:jc w:val="left"/>
              <w:rPr/>
            </w:pPr>
            <w:r>
              <w:rPr/>
              <w:t>​</w:t>
            </w:r>
          </w:p>
        </w:tc>
        <w:tc>
          <w:tcPr>
            <w:tcW w:w="301"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798"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680</w:t>
            </w:r>
          </w:p>
        </w:tc>
        <w:tc>
          <w:tcPr>
            <w:tcW w:w="45" w:type="dxa"/>
            <w:tcBorders/>
            <w:shd w:fill="CCEEFF" w:val="clear"/>
            <w:vAlign w:val="center"/>
          </w:tcPr>
          <w:p>
            <w:pPr>
              <w:pStyle w:val="TableContents"/>
              <w:bidi w:val="0"/>
              <w:spacing w:before="0" w:after="0"/>
              <w:ind w:left="0" w:right="0" w:hanging="0"/>
              <w:jc w:val="left"/>
              <w:rPr/>
            </w:pPr>
            <w:r>
              <w:rPr/>
              <w:t>​</w:t>
            </w:r>
          </w:p>
        </w:tc>
        <w:tc>
          <w:tcPr>
            <w:tcW w:w="45" w:type="dxa"/>
            <w:tcBorders/>
            <w:shd w:fill="CCEEFF" w:val="clear"/>
            <w:vAlign w:val="center"/>
          </w:tcPr>
          <w:p>
            <w:pPr>
              <w:pStyle w:val="TableContents"/>
              <w:bidi w:val="0"/>
              <w:spacing w:before="0" w:after="0"/>
              <w:ind w:left="0" w:right="0" w:hanging="0"/>
              <w:jc w:val="left"/>
              <w:rPr/>
            </w:pPr>
            <w:r>
              <w:rPr/>
              <w:t>​</w:t>
            </w:r>
          </w:p>
        </w:tc>
        <w:tc>
          <w:tcPr>
            <w:tcW w:w="245"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58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Credit</w:t>
      </w:r>
      <w:r>
        <w:rPr>
          <w:rFonts w:ascii="Times New Roman;Times;serif" w:hAnsi="Times New Roman;Times;serif"/>
          <w:sz w:val="20"/>
        </w:rPr>
        <w:t> </w:t>
      </w:r>
      <w:r>
        <w:rPr>
          <w:rFonts w:ascii="Times New Roman;Times;serif" w:hAnsi="Times New Roman;Times;serif"/>
          <w:b/>
          <w:i/>
          <w:sz w:val="20"/>
        </w:rPr>
        <w:t>Risk</w:t>
      </w:r>
      <w:r>
        <w:rPr>
          <w:rFonts w:ascii="Times New Roman;Times;serif" w:hAnsi="Times New Roman;Times;serif"/>
          <w:sz w:val="20"/>
        </w:rPr>
        <w:t>–</w:t>
      </w:r>
      <w:r>
        <w:rPr>
          <w:rFonts w:ascii="Times New Roman;Times;serif" w:hAnsi="Times New Roman;Times;serif"/>
          <w:b/>
          <w:i/>
          <w:sz w:val="20"/>
        </w:rPr>
        <w:t>Related Contingent Features</w:t>
      </w:r>
      <w:r>
        <w:rPr>
          <w:rFonts w:ascii="Times New Roman;Times;serif" w:hAnsi="Times New Roman;Times;serif"/>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has derivative contracts with its derivative counterparties that contain a provision to post collateral to the counterparties when these contracts are in a net liability position.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 Company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collateral posted due to this provision.  Receivables related to cash collateral that has been paid to counterparties are included in “Cash and cash equivalents” on the Consolidated Balance Sheets.  In certain cases, the Company will have posted excess collateral compared to total exposure due to initial margin requirements or day-to-day rate volatility.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 xml:space="preserve">NOTE </w:t>
      </w:r>
      <w:r>
        <w:rPr>
          <w:rStyle w:val="Emphasis"/>
          <w:rFonts w:ascii="Times New Roman" w:hAnsi="Times New Roman"/>
          <w:b/>
          <w:caps w:val="false"/>
          <w:smallCaps w:val="false"/>
          <w:sz w:val="20"/>
        </w:rPr>
        <w:t>6</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LEASES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has operating leases for retail bank and home lending branches, loan production offices, and certain equipment.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these leases have remaining terms ranging from three months to nine years and </w:t>
      </w:r>
      <w:r>
        <w:rPr>
          <w:rStyle w:val="Emphasis"/>
          <w:rFonts w:ascii="Times New Roman" w:hAnsi="Times New Roman"/>
          <w:caps w:val="false"/>
          <w:smallCaps w:val="false"/>
          <w:sz w:val="20"/>
        </w:rPr>
        <w:t>one</w:t>
      </w:r>
      <w:r>
        <w:rPr>
          <w:rFonts w:ascii="Times New Roman" w:hAnsi="Times New Roman"/>
          <w:caps w:val="false"/>
          <w:smallCaps w:val="false"/>
          <w:sz w:val="20"/>
        </w:rPr>
        <w:t> month, with some including options to extend for up to five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components of lease cost (included in occupancy expense on the Consolidated Statements of Income)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are as follows:</w:t>
      </w:r>
    </w:p>
    <w:p>
      <w:pPr>
        <w:pStyle w:val="TextBody"/>
        <w:bidi w:val="0"/>
        <w:spacing w:before="0" w:after="0"/>
        <w:ind w:left="0" w:right="0" w:hanging="0"/>
        <w:jc w:val="left"/>
        <w:rPr>
          <w:caps w:val="false"/>
          <w:smallCaps w:val="false"/>
        </w:rPr>
      </w:pPr>
      <w:r>
        <w:rPr>
          <w:caps w:val="false"/>
          <w:smallCaps w:val="false"/>
        </w:rPr>
        <w:t> </w:t>
      </w:r>
    </w:p>
    <w:tbl>
      <w:tblPr>
        <w:tblW w:w="4194" w:type="dxa"/>
        <w:jc w:val="left"/>
        <w:tblInd w:w="0" w:type="dxa"/>
        <w:tblLayout w:type="fixed"/>
        <w:tblCellMar>
          <w:top w:w="0" w:type="dxa"/>
          <w:left w:w="0" w:type="dxa"/>
          <w:bottom w:w="0" w:type="dxa"/>
          <w:right w:w="0" w:type="dxa"/>
        </w:tblCellMar>
      </w:tblPr>
      <w:tblGrid>
        <w:gridCol w:w="1700"/>
        <w:gridCol w:w="23"/>
        <w:gridCol w:w="317"/>
        <w:gridCol w:w="849"/>
        <w:gridCol w:w="58"/>
        <w:gridCol w:w="58"/>
        <w:gridCol w:w="317"/>
        <w:gridCol w:w="849"/>
        <w:gridCol w:w="23"/>
      </w:tblGrid>
      <w:tr>
        <w:trPr/>
        <w:tc>
          <w:tcPr>
            <w:tcW w:w="170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448" w:type="dxa"/>
            <w:gridSpan w:val="6"/>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Three Months Ended June 30,</w:t>
            </w:r>
          </w:p>
        </w:tc>
        <w:tc>
          <w:tcPr>
            <w:tcW w:w="23" w:type="dxa"/>
            <w:tcBorders/>
            <w:vAlign w:val="center"/>
          </w:tcPr>
          <w:p>
            <w:pPr>
              <w:pStyle w:val="TableContents"/>
              <w:bidi w:val="0"/>
              <w:spacing w:before="0" w:after="0"/>
              <w:ind w:left="0" w:right="0" w:hanging="0"/>
              <w:jc w:val="left"/>
              <w:rPr/>
            </w:pPr>
            <w:r>
              <w:rPr/>
              <w:t>​</w:t>
            </w:r>
          </w:p>
        </w:tc>
      </w:tr>
      <w:tr>
        <w:trPr/>
        <w:tc>
          <w:tcPr>
            <w:tcW w:w="17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cost:</w:t>
            </w:r>
          </w:p>
        </w:tc>
        <w:tc>
          <w:tcPr>
            <w:tcW w:w="23" w:type="dxa"/>
            <w:tcBorders/>
            <w:vAlign w:val="center"/>
          </w:tcPr>
          <w:p>
            <w:pPr>
              <w:pStyle w:val="TableContents"/>
              <w:bidi w:val="0"/>
              <w:spacing w:before="0" w:after="0"/>
              <w:ind w:left="0" w:right="0" w:hanging="0"/>
              <w:jc w:val="left"/>
              <w:rPr/>
            </w:pPr>
            <w:r>
              <w:rPr/>
              <w:t>​</w:t>
            </w:r>
          </w:p>
        </w:tc>
        <w:tc>
          <w:tcPr>
            <w:tcW w:w="11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5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58" w:type="dxa"/>
            <w:tcBorders/>
            <w:vAlign w:val="center"/>
          </w:tcPr>
          <w:p>
            <w:pPr>
              <w:pStyle w:val="TableContents"/>
              <w:bidi w:val="0"/>
              <w:spacing w:before="0" w:after="0"/>
              <w:ind w:left="0" w:right="0" w:hanging="0"/>
              <w:jc w:val="left"/>
              <w:rPr/>
            </w:pPr>
            <w:r>
              <w:rPr/>
              <w:t>​</w:t>
            </w:r>
          </w:p>
        </w:tc>
        <w:tc>
          <w:tcPr>
            <w:tcW w:w="11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7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cost</w:t>
            </w:r>
          </w:p>
        </w:tc>
        <w:tc>
          <w:tcPr>
            <w:tcW w:w="23"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w:t>
            </w:r>
          </w:p>
        </w:tc>
        <w:tc>
          <w:tcPr>
            <w:tcW w:w="58" w:type="dxa"/>
            <w:tcBorders/>
            <w:shd w:fill="CCEEFF" w:val="clear"/>
            <w:vAlign w:val="center"/>
          </w:tcPr>
          <w:p>
            <w:pPr>
              <w:pStyle w:val="TableContents"/>
              <w:bidi w:val="0"/>
              <w:spacing w:before="0" w:after="0"/>
              <w:ind w:left="0" w:right="0" w:hanging="0"/>
              <w:jc w:val="left"/>
              <w:rPr/>
            </w:pPr>
            <w:r>
              <w:rPr/>
              <w:t>​</w:t>
            </w:r>
          </w:p>
        </w:tc>
        <w:tc>
          <w:tcPr>
            <w:tcW w:w="58" w:type="dxa"/>
            <w:tcBorders/>
            <w:shd w:fill="CCEEFF" w:val="clear"/>
            <w:vAlign w:val="center"/>
          </w:tcPr>
          <w:p>
            <w:pPr>
              <w:pStyle w:val="TableContents"/>
              <w:bidi w:val="0"/>
              <w:spacing w:before="0" w:after="0"/>
              <w:ind w:left="0" w:right="0" w:hanging="0"/>
              <w:jc w:val="left"/>
              <w:rPr/>
            </w:pPr>
            <w:r>
              <w:rPr/>
              <w:t>​</w:t>
            </w:r>
          </w:p>
        </w:tc>
        <w:tc>
          <w:tcPr>
            <w:tcW w:w="31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17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Short-term lease cost</w:t>
            </w:r>
          </w:p>
        </w:tc>
        <w:tc>
          <w:tcPr>
            <w:tcW w:w="23" w:type="dxa"/>
            <w:tcBorders/>
            <w:shd w:fill="FFFF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w:t>
            </w:r>
          </w:p>
        </w:tc>
        <w:tc>
          <w:tcPr>
            <w:tcW w:w="5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8" w:type="dxa"/>
            <w:tcBorders/>
            <w:shd w:fill="FFFFFF" w:val="clear"/>
            <w:vAlign w:val="center"/>
          </w:tcPr>
          <w:p>
            <w:pPr>
              <w:pStyle w:val="TableContents"/>
              <w:bidi w:val="0"/>
              <w:spacing w:before="0" w:after="0"/>
              <w:ind w:left="0" w:right="0" w:hanging="0"/>
              <w:jc w:val="left"/>
              <w:rPr/>
            </w:pPr>
            <w:r>
              <w:rPr/>
              <w:t>​</w:t>
            </w:r>
          </w:p>
        </w:tc>
        <w:tc>
          <w:tcPr>
            <w:tcW w:w="31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17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lease cost</w:t>
            </w:r>
          </w:p>
        </w:tc>
        <w:tc>
          <w:tcPr>
            <w:tcW w:w="23"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370</w:t>
            </w:r>
          </w:p>
        </w:tc>
        <w:tc>
          <w:tcPr>
            <w:tcW w:w="5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8" w:type="dxa"/>
            <w:tcBorders/>
            <w:shd w:fill="CCEEFF" w:val="clear"/>
            <w:vAlign w:val="center"/>
          </w:tcPr>
          <w:p>
            <w:pPr>
              <w:pStyle w:val="TableContents"/>
              <w:bidi w:val="0"/>
              <w:spacing w:before="0" w:after="0"/>
              <w:ind w:left="0" w:right="0" w:hanging="0"/>
              <w:jc w:val="left"/>
              <w:rPr/>
            </w:pPr>
            <w:r>
              <w:rPr/>
              <w:t>​</w:t>
            </w:r>
          </w:p>
        </w:tc>
        <w:tc>
          <w:tcPr>
            <w:tcW w:w="31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504</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4614" w:type="dxa"/>
        <w:jc w:val="left"/>
        <w:tblInd w:w="0" w:type="dxa"/>
        <w:tblLayout w:type="fixed"/>
        <w:tblCellMar>
          <w:top w:w="0" w:type="dxa"/>
          <w:left w:w="0" w:type="dxa"/>
          <w:bottom w:w="0" w:type="dxa"/>
          <w:right w:w="0" w:type="dxa"/>
        </w:tblCellMar>
      </w:tblPr>
      <w:tblGrid>
        <w:gridCol w:w="1700"/>
        <w:gridCol w:w="23"/>
        <w:gridCol w:w="371"/>
        <w:gridCol w:w="995"/>
        <w:gridCol w:w="68"/>
        <w:gridCol w:w="68"/>
        <w:gridCol w:w="371"/>
        <w:gridCol w:w="995"/>
        <w:gridCol w:w="23"/>
      </w:tblGrid>
      <w:tr>
        <w:trPr/>
        <w:tc>
          <w:tcPr>
            <w:tcW w:w="170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68"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Six Months Ended June 30,</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70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Lease cost:</w:t>
            </w:r>
          </w:p>
        </w:tc>
        <w:tc>
          <w:tcPr>
            <w:tcW w:w="23" w:type="dxa"/>
            <w:tcBorders/>
            <w:vAlign w:val="center"/>
          </w:tcPr>
          <w:p>
            <w:pPr>
              <w:pStyle w:val="TableContents"/>
              <w:bidi w:val="0"/>
              <w:spacing w:before="0" w:after="0"/>
              <w:ind w:left="0" w:right="0" w:hanging="0"/>
              <w:jc w:val="left"/>
              <w:rPr/>
            </w:pPr>
            <w:r>
              <w:rPr/>
              <w:t>​</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6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8" w:type="dxa"/>
            <w:tcBorders/>
            <w:vAlign w:val="center"/>
          </w:tcPr>
          <w:p>
            <w:pPr>
              <w:pStyle w:val="TableContents"/>
              <w:bidi w:val="0"/>
              <w:spacing w:before="0" w:after="0"/>
              <w:ind w:left="0" w:right="0" w:hanging="0"/>
              <w:jc w:val="left"/>
              <w:rPr/>
            </w:pPr>
            <w:r>
              <w:rPr/>
              <w:t>​</w:t>
            </w:r>
          </w:p>
        </w:tc>
        <w:tc>
          <w:tcPr>
            <w:tcW w:w="136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7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lease cost</w:t>
            </w:r>
          </w:p>
        </w:tc>
        <w:tc>
          <w:tcPr>
            <w:tcW w:w="23"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731</w:t>
            </w:r>
          </w:p>
        </w:tc>
        <w:tc>
          <w:tcPr>
            <w:tcW w:w="68" w:type="dxa"/>
            <w:tcBorders/>
            <w:shd w:fill="CCEEFF" w:val="clear"/>
            <w:vAlign w:val="center"/>
          </w:tcPr>
          <w:p>
            <w:pPr>
              <w:pStyle w:val="TableContents"/>
              <w:bidi w:val="0"/>
              <w:spacing w:before="0" w:after="0"/>
              <w:ind w:left="0" w:right="0" w:hanging="0"/>
              <w:jc w:val="left"/>
              <w:rPr/>
            </w:pPr>
            <w:r>
              <w:rPr/>
              <w:t>​</w:t>
            </w:r>
          </w:p>
        </w:tc>
        <w:tc>
          <w:tcPr>
            <w:tcW w:w="68" w:type="dxa"/>
            <w:tcBorders/>
            <w:shd w:fill="CCEEFF" w:val="clear"/>
            <w:vAlign w:val="center"/>
          </w:tcPr>
          <w:p>
            <w:pPr>
              <w:pStyle w:val="TableContents"/>
              <w:bidi w:val="0"/>
              <w:spacing w:before="0" w:after="0"/>
              <w:ind w:left="0" w:right="0" w:hanging="0"/>
              <w:jc w:val="left"/>
              <w:rPr/>
            </w:pPr>
            <w:r>
              <w:rPr/>
              <w:t>​</w:t>
            </w:r>
          </w:p>
        </w:tc>
        <w:tc>
          <w:tcPr>
            <w:tcW w:w="37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964</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17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Short-term lease cost</w:t>
            </w:r>
          </w:p>
        </w:tc>
        <w:tc>
          <w:tcPr>
            <w:tcW w:w="23" w:type="dxa"/>
            <w:tcBorders/>
            <w:shd w:fill="FFFF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w:t>
            </w:r>
          </w:p>
        </w:tc>
        <w:tc>
          <w:tcPr>
            <w:tcW w:w="6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8" w:type="dxa"/>
            <w:tcBorders/>
            <w:shd w:fill="FFFFFF" w:val="clear"/>
            <w:vAlign w:val="center"/>
          </w:tcPr>
          <w:p>
            <w:pPr>
              <w:pStyle w:val="TableContents"/>
              <w:bidi w:val="0"/>
              <w:spacing w:before="0" w:after="0"/>
              <w:ind w:left="0" w:right="0" w:hanging="0"/>
              <w:jc w:val="left"/>
              <w:rPr/>
            </w:pPr>
            <w:r>
              <w:rPr/>
              <w:t>​</w:t>
            </w:r>
          </w:p>
        </w:tc>
        <w:tc>
          <w:tcPr>
            <w:tcW w:w="37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17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lease cost</w:t>
            </w:r>
          </w:p>
        </w:tc>
        <w:tc>
          <w:tcPr>
            <w:tcW w:w="23" w:type="dxa"/>
            <w:tcBorders/>
            <w:shd w:fill="CCEEFF" w:val="clear"/>
            <w:vAlign w:val="center"/>
          </w:tcPr>
          <w:p>
            <w:pPr>
              <w:pStyle w:val="TableContents"/>
              <w:bidi w:val="0"/>
              <w:spacing w:before="0" w:after="0"/>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741</w:t>
            </w:r>
          </w:p>
        </w:tc>
        <w:tc>
          <w:tcPr>
            <w:tcW w:w="6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8" w:type="dxa"/>
            <w:tcBorders/>
            <w:shd w:fill="CCEEFF" w:val="clear"/>
            <w:vAlign w:val="center"/>
          </w:tcPr>
          <w:p>
            <w:pPr>
              <w:pStyle w:val="TableContents"/>
              <w:bidi w:val="0"/>
              <w:spacing w:before="0" w:after="0"/>
              <w:ind w:left="0" w:right="0" w:hanging="0"/>
              <w:jc w:val="left"/>
              <w:rPr/>
            </w:pPr>
            <w:r>
              <w:rPr/>
              <w:t>​</w:t>
            </w:r>
          </w:p>
        </w:tc>
        <w:tc>
          <w:tcPr>
            <w:tcW w:w="37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979</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 provides supplemental information related to operating leases at or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9455" w:type="dxa"/>
        <w:jc w:val="left"/>
        <w:tblInd w:w="0" w:type="dxa"/>
        <w:tblLayout w:type="fixed"/>
        <w:tblCellMar>
          <w:top w:w="0" w:type="dxa"/>
          <w:left w:w="0" w:type="dxa"/>
          <w:bottom w:w="0" w:type="dxa"/>
          <w:right w:w="0" w:type="dxa"/>
        </w:tblCellMar>
      </w:tblPr>
      <w:tblGrid>
        <w:gridCol w:w="5765"/>
        <w:gridCol w:w="23"/>
        <w:gridCol w:w="357"/>
        <w:gridCol w:w="1087"/>
        <w:gridCol w:w="529"/>
        <w:gridCol w:w="65"/>
        <w:gridCol w:w="357"/>
        <w:gridCol w:w="1087"/>
        <w:gridCol w:w="185"/>
      </w:tblGrid>
      <w:tr>
        <w:trPr/>
        <w:tc>
          <w:tcPr>
            <w:tcW w:w="576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48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At or For the Three months Ended June 30,</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7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amounts included in the measurement of lease liabilities:</w:t>
            </w:r>
          </w:p>
        </w:tc>
        <w:tc>
          <w:tcPr>
            <w:tcW w:w="23" w:type="dxa"/>
            <w:tcBorders/>
            <w:vAlign w:val="center"/>
          </w:tcPr>
          <w:p>
            <w:pPr>
              <w:pStyle w:val="TableContents"/>
              <w:bidi w:val="0"/>
              <w:spacing w:before="0" w:after="0"/>
              <w:ind w:left="0" w:right="0" w:hanging="0"/>
              <w:jc w:val="left"/>
              <w:rPr/>
            </w:pPr>
            <w:r>
              <w:rPr/>
              <w:t>​</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52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65" w:type="dxa"/>
            <w:tcBorders/>
            <w:vAlign w:val="center"/>
          </w:tcPr>
          <w:p>
            <w:pPr>
              <w:pStyle w:val="TableContents"/>
              <w:bidi w:val="0"/>
              <w:spacing w:before="0" w:after="0"/>
              <w:ind w:left="0" w:right="0" w:hanging="0"/>
              <w:jc w:val="left"/>
              <w:rPr/>
            </w:pPr>
            <w:r>
              <w:rPr/>
              <w:t>​</w:t>
            </w:r>
          </w:p>
        </w:tc>
        <w:tc>
          <w:tcPr>
            <w:tcW w:w="14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7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Operating cash flows from operating leases</w:t>
            </w:r>
          </w:p>
        </w:tc>
        <w:tc>
          <w:tcPr>
            <w:tcW w:w="23"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370</w:t>
            </w:r>
          </w:p>
        </w:tc>
        <w:tc>
          <w:tcPr>
            <w:tcW w:w="529" w:type="dxa"/>
            <w:tcBorders/>
            <w:shd w:fill="CCEEFF" w:val="clear"/>
            <w:vAlign w:val="center"/>
          </w:tcPr>
          <w:p>
            <w:pPr>
              <w:pStyle w:val="TableContents"/>
              <w:bidi w:val="0"/>
              <w:spacing w:before="0" w:after="0"/>
              <w:ind w:left="0" w:right="0" w:hanging="0"/>
              <w:jc w:val="left"/>
              <w:rPr/>
            </w:pPr>
            <w:r>
              <w:rPr/>
              <w:t>​</w:t>
            </w:r>
          </w:p>
        </w:tc>
        <w:tc>
          <w:tcPr>
            <w:tcW w:w="65"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505</w:t>
            </w:r>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5765" w:type="dxa"/>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Weighted average remaining lease term- operating leases (in years)</w:t>
            </w:r>
          </w:p>
        </w:tc>
        <w:tc>
          <w:tcPr>
            <w:tcW w:w="23" w:type="dxa"/>
            <w:tcBorders/>
            <w:shd w:fill="FFFFFF" w:val="clear"/>
            <w:vAlign w:val="center"/>
          </w:tcPr>
          <w:p>
            <w:pPr>
              <w:pStyle w:val="TableContents"/>
              <w:bidi w:val="0"/>
              <w:spacing w:before="0" w:after="0"/>
              <w:ind w:left="0" w:right="0" w:hanging="0"/>
              <w:jc w:val="left"/>
              <w:rPr/>
            </w:pPr>
            <w:r>
              <w:rPr/>
              <w:t>​</w:t>
            </w:r>
          </w:p>
        </w:tc>
        <w:tc>
          <w:tcPr>
            <w:tcW w:w="357" w:type="dxa"/>
            <w:tcBorders/>
            <w:shd w:fill="FFFFFF" w:val="clear"/>
            <w:vAlign w:val="center"/>
          </w:tcPr>
          <w:p>
            <w:pPr>
              <w:pStyle w:val="TableContents"/>
              <w:bidi w:val="0"/>
              <w:spacing w:before="0" w:after="0"/>
              <w:ind w:left="0" w:right="0" w:hanging="0"/>
              <w:jc w:val="left"/>
              <w:rPr/>
            </w:pPr>
            <w:r>
              <w:rPr/>
              <w:t>​</w:t>
            </w:r>
          </w:p>
        </w:tc>
        <w:tc>
          <w:tcPr>
            <w:tcW w:w="10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w:t>
            </w:r>
          </w:p>
        </w:tc>
        <w:tc>
          <w:tcPr>
            <w:tcW w:w="529" w:type="dxa"/>
            <w:tcBorders/>
            <w:shd w:fill="FFFFFF" w:val="clear"/>
            <w:vAlign w:val="center"/>
          </w:tcPr>
          <w:p>
            <w:pPr>
              <w:pStyle w:val="TableContents"/>
              <w:bidi w:val="0"/>
              <w:spacing w:before="0" w:after="0"/>
              <w:ind w:left="0" w:right="0" w:hanging="0"/>
              <w:jc w:val="left"/>
              <w:rPr/>
            </w:pPr>
            <w:r>
              <w:rPr/>
              <w:t>​</w:t>
            </w:r>
          </w:p>
        </w:tc>
        <w:tc>
          <w:tcPr>
            <w:tcW w:w="65" w:type="dxa"/>
            <w:tcBorders/>
            <w:shd w:fill="FFFFFF" w:val="clear"/>
            <w:vAlign w:val="center"/>
          </w:tcPr>
          <w:p>
            <w:pPr>
              <w:pStyle w:val="TableContents"/>
              <w:bidi w:val="0"/>
              <w:spacing w:before="0" w:after="0"/>
              <w:ind w:left="0" w:right="0" w:hanging="0"/>
              <w:jc w:val="left"/>
              <w:rPr/>
            </w:pPr>
            <w:r>
              <w:rPr/>
              <w:t>​</w:t>
            </w:r>
          </w:p>
        </w:tc>
        <w:tc>
          <w:tcPr>
            <w:tcW w:w="357" w:type="dxa"/>
            <w:tcBorders/>
            <w:shd w:fill="FFFFFF" w:val="clear"/>
            <w:vAlign w:val="center"/>
          </w:tcPr>
          <w:p>
            <w:pPr>
              <w:pStyle w:val="TableContents"/>
              <w:bidi w:val="0"/>
              <w:spacing w:before="0" w:after="0"/>
              <w:ind w:left="0" w:right="0" w:hanging="0"/>
              <w:jc w:val="left"/>
              <w:rPr/>
            </w:pPr>
            <w:r>
              <w:rPr/>
              <w:t>​</w:t>
            </w:r>
          </w:p>
        </w:tc>
        <w:tc>
          <w:tcPr>
            <w:tcW w:w="108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5765" w:type="dxa"/>
            <w:tcBorders/>
            <w:shd w:fill="CCEE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Weighted average discount rate- operating leases</w:t>
            </w:r>
          </w:p>
        </w:tc>
        <w:tc>
          <w:tcPr>
            <w:tcW w:w="23"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4.33</w:t>
            </w:r>
          </w:p>
        </w:tc>
        <w:tc>
          <w:tcPr>
            <w:tcW w:w="52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w:t>
            </w:r>
          </w:p>
        </w:tc>
        <w:tc>
          <w:tcPr>
            <w:tcW w:w="357" w:type="dxa"/>
            <w:tcBorders/>
            <w:shd w:fill="CCEEFF" w:val="clear"/>
            <w:vAlign w:val="center"/>
          </w:tcPr>
          <w:p>
            <w:pPr>
              <w:pStyle w:val="TableContents"/>
              <w:bidi w:val="0"/>
              <w:spacing w:before="0" w:after="0"/>
              <w:ind w:left="0" w:right="0" w:hanging="0"/>
              <w:jc w:val="left"/>
              <w:rPr/>
            </w:pPr>
            <w:r>
              <w:rPr/>
              <w:t>​</w:t>
            </w:r>
          </w:p>
        </w:tc>
        <w:tc>
          <w:tcPr>
            <w:tcW w:w="108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9342" w:type="dxa"/>
        <w:jc w:val="left"/>
        <w:tblInd w:w="0" w:type="dxa"/>
        <w:tblLayout w:type="fixed"/>
        <w:tblCellMar>
          <w:top w:w="0" w:type="dxa"/>
          <w:left w:w="0" w:type="dxa"/>
          <w:bottom w:w="0" w:type="dxa"/>
          <w:right w:w="0" w:type="dxa"/>
        </w:tblCellMar>
      </w:tblPr>
      <w:tblGrid>
        <w:gridCol w:w="5765"/>
        <w:gridCol w:w="60"/>
        <w:gridCol w:w="332"/>
        <w:gridCol w:w="1009"/>
        <w:gridCol w:w="491"/>
        <w:gridCol w:w="159"/>
        <w:gridCol w:w="332"/>
        <w:gridCol w:w="1009"/>
        <w:gridCol w:w="185"/>
      </w:tblGrid>
      <w:tr>
        <w:trPr/>
        <w:tc>
          <w:tcPr>
            <w:tcW w:w="576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33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At or For the Six Months Ended June 30,</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7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13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4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9" w:type="dxa"/>
            <w:tcBorders/>
            <w:shd w:fill="FFFFFF" w:val="clear"/>
            <w:vAlign w:val="center"/>
          </w:tcPr>
          <w:p>
            <w:pPr>
              <w:pStyle w:val="TableContents"/>
              <w:bidi w:val="0"/>
              <w:spacing w:before="0" w:after="0"/>
              <w:ind w:left="0" w:right="0" w:hanging="0"/>
              <w:jc w:val="left"/>
              <w:rPr/>
            </w:pPr>
            <w:r>
              <w:rPr/>
              <w:t> </w:t>
            </w:r>
          </w:p>
        </w:tc>
        <w:tc>
          <w:tcPr>
            <w:tcW w:w="134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CCEEFF" w:val="clear"/>
            <w:vAlign w:val="center"/>
          </w:tcPr>
          <w:p>
            <w:pPr>
              <w:pStyle w:val="TableContents"/>
              <w:bidi w:val="0"/>
              <w:spacing w:before="0" w:after="0"/>
              <w:ind w:left="0" w:right="0" w:hanging="0"/>
              <w:jc w:val="left"/>
              <w:rPr/>
            </w:pPr>
            <w:r>
              <w:rPr/>
              <w:t> </w:t>
            </w:r>
          </w:p>
        </w:tc>
        <w:tc>
          <w:tcPr>
            <w:tcW w:w="3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491" w:type="dxa"/>
            <w:tcBorders/>
            <w:shd w:fill="CCEEFF" w:val="clear"/>
            <w:vAlign w:val="center"/>
          </w:tcPr>
          <w:p>
            <w:pPr>
              <w:pStyle w:val="TableContents"/>
              <w:bidi w:val="0"/>
              <w:spacing w:before="0" w:after="0"/>
              <w:ind w:left="0" w:right="0" w:hanging="0"/>
              <w:jc w:val="left"/>
              <w:rPr/>
            </w:pPr>
            <w:r>
              <w:rPr/>
              <w:t> </w:t>
            </w:r>
          </w:p>
        </w:tc>
        <w:tc>
          <w:tcPr>
            <w:tcW w:w="159" w:type="dxa"/>
            <w:tcBorders/>
            <w:shd w:fill="CCEEFF" w:val="clear"/>
            <w:vAlign w:val="center"/>
          </w:tcPr>
          <w:p>
            <w:pPr>
              <w:pStyle w:val="TableContents"/>
              <w:bidi w:val="0"/>
              <w:spacing w:before="0" w:after="0"/>
              <w:ind w:left="0" w:right="0" w:hanging="0"/>
              <w:jc w:val="left"/>
              <w:rPr/>
            </w:pPr>
            <w:r>
              <w:rPr/>
              <w:t> </w:t>
            </w:r>
          </w:p>
        </w:tc>
        <w:tc>
          <w:tcPr>
            <w:tcW w:w="33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w:t>
            </w:r>
          </w:p>
        </w:tc>
        <w:tc>
          <w:tcPr>
            <w:tcW w:w="185" w:type="dxa"/>
            <w:tcBorders/>
            <w:shd w:fill="CCEEFF" w:val="clear"/>
            <w:vAlign w:val="center"/>
          </w:tcPr>
          <w:p>
            <w:pPr>
              <w:pStyle w:val="TableContents"/>
              <w:bidi w:val="0"/>
              <w:spacing w:before="0" w:after="0"/>
              <w:ind w:left="0" w:right="0" w:hanging="0"/>
              <w:jc w:val="left"/>
              <w:rPr/>
            </w:pPr>
            <w:r>
              <w:rPr/>
              <w:t> </w:t>
            </w:r>
          </w:p>
        </w:tc>
      </w:tr>
      <w:tr>
        <w:trPr/>
        <w:tc>
          <w:tcPr>
            <w:tcW w:w="576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operating leases (in years)</w:t>
            </w:r>
          </w:p>
        </w:tc>
        <w:tc>
          <w:tcPr>
            <w:tcW w:w="60" w:type="dxa"/>
            <w:tcBorders/>
            <w:shd w:fill="FFFFFF" w:val="clear"/>
            <w:vAlign w:val="center"/>
          </w:tcPr>
          <w:p>
            <w:pPr>
              <w:pStyle w:val="TableContents"/>
              <w:bidi w:val="0"/>
              <w:spacing w:before="0" w:after="0"/>
              <w:ind w:left="0" w:right="0" w:hanging="0"/>
              <w:jc w:val="left"/>
              <w:rPr/>
            </w:pPr>
            <w:r>
              <w:rPr/>
              <w:t> </w:t>
            </w:r>
          </w:p>
        </w:tc>
        <w:tc>
          <w:tcPr>
            <w:tcW w:w="332" w:type="dxa"/>
            <w:tcBorders/>
            <w:shd w:fill="FFFFFF" w:val="clear"/>
            <w:vAlign w:val="center"/>
          </w:tcPr>
          <w:p>
            <w:pPr>
              <w:pStyle w:val="TableContents"/>
              <w:bidi w:val="0"/>
              <w:spacing w:before="0" w:after="0"/>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491" w:type="dxa"/>
            <w:tcBorders/>
            <w:shd w:fill="FFFFFF" w:val="clear"/>
            <w:vAlign w:val="center"/>
          </w:tcPr>
          <w:p>
            <w:pPr>
              <w:pStyle w:val="TableContents"/>
              <w:bidi w:val="0"/>
              <w:spacing w:before="0" w:after="0"/>
              <w:ind w:left="0" w:right="0" w:hanging="0"/>
              <w:jc w:val="left"/>
              <w:rPr/>
            </w:pPr>
            <w:r>
              <w:rPr/>
              <w:t> </w:t>
            </w:r>
          </w:p>
        </w:tc>
        <w:tc>
          <w:tcPr>
            <w:tcW w:w="159" w:type="dxa"/>
            <w:tcBorders/>
            <w:shd w:fill="FFFFFF" w:val="clear"/>
            <w:vAlign w:val="center"/>
          </w:tcPr>
          <w:p>
            <w:pPr>
              <w:pStyle w:val="TableContents"/>
              <w:bidi w:val="0"/>
              <w:spacing w:before="0" w:after="0"/>
              <w:ind w:left="0" w:right="0" w:hanging="0"/>
              <w:jc w:val="left"/>
              <w:rPr/>
            </w:pPr>
            <w:r>
              <w:rPr/>
              <w:t> </w:t>
            </w:r>
          </w:p>
        </w:tc>
        <w:tc>
          <w:tcPr>
            <w:tcW w:w="332" w:type="dxa"/>
            <w:tcBorders/>
            <w:shd w:fill="FFFFFF" w:val="clear"/>
            <w:vAlign w:val="center"/>
          </w:tcPr>
          <w:p>
            <w:pPr>
              <w:pStyle w:val="TableContents"/>
              <w:bidi w:val="0"/>
              <w:spacing w:before="0" w:after="0"/>
              <w:ind w:left="0" w:right="0" w:hanging="0"/>
              <w:jc w:val="left"/>
              <w:rPr/>
            </w:pPr>
            <w:r>
              <w:rPr/>
              <w:t> </w:t>
            </w:r>
          </w:p>
        </w:tc>
        <w:tc>
          <w:tcPr>
            <w:tcW w:w="10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576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 operating leases</w:t>
            </w:r>
          </w:p>
        </w:tc>
        <w:tc>
          <w:tcPr>
            <w:tcW w:w="60" w:type="dxa"/>
            <w:tcBorders/>
            <w:shd w:fill="CCEEFF" w:val="clear"/>
            <w:vAlign w:val="center"/>
          </w:tcPr>
          <w:p>
            <w:pPr>
              <w:pStyle w:val="TableContents"/>
              <w:bidi w:val="0"/>
              <w:spacing w:before="0" w:after="0"/>
              <w:ind w:left="0" w:right="0" w:hanging="0"/>
              <w:jc w:val="left"/>
              <w:rPr/>
            </w:pPr>
            <w:r>
              <w:rPr/>
              <w:t> </w:t>
            </w:r>
          </w:p>
        </w:tc>
        <w:tc>
          <w:tcPr>
            <w:tcW w:w="33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4.33</w:t>
            </w:r>
          </w:p>
        </w:tc>
        <w:tc>
          <w:tcPr>
            <w:tcW w:w="4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9" w:type="dxa"/>
            <w:tcBorders/>
            <w:shd w:fill="CCEEFF" w:val="clear"/>
            <w:vAlign w:val="center"/>
          </w:tcPr>
          <w:p>
            <w:pPr>
              <w:pStyle w:val="TableContents"/>
              <w:bidi w:val="0"/>
              <w:spacing w:before="0" w:after="0"/>
              <w:ind w:left="0" w:right="0" w:hanging="0"/>
              <w:jc w:val="left"/>
              <w:rPr/>
            </w:pPr>
            <w:r>
              <w:rPr/>
              <w:t> </w:t>
            </w:r>
          </w:p>
        </w:tc>
        <w:tc>
          <w:tcPr>
            <w:tcW w:w="332" w:type="dxa"/>
            <w:tcBorders/>
            <w:shd w:fill="CCEEFF" w:val="clear"/>
            <w:vAlign w:val="center"/>
          </w:tcPr>
          <w:p>
            <w:pPr>
              <w:pStyle w:val="TableContents"/>
              <w:bidi w:val="0"/>
              <w:spacing w:before="0" w:after="0"/>
              <w:ind w:left="0" w:right="0" w:hanging="0"/>
              <w:jc w:val="left"/>
              <w:rPr/>
            </w:pPr>
            <w:r>
              <w:rPr/>
              <w:t> </w:t>
            </w:r>
          </w:p>
        </w:tc>
        <w:tc>
          <w:tcPr>
            <w:tcW w:w="10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leases typically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contain a discount rate implicit in the lease contract.  As an alternative, the discount rate used in determining the lease liability for each individual lease was the FHLB of Des Moines’ fixed advance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Maturities of operating lease liabilities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for future periods are as follows:</w:t>
      </w:r>
    </w:p>
    <w:p>
      <w:pPr>
        <w:pStyle w:val="TextBody"/>
        <w:bidi w:val="0"/>
        <w:spacing w:before="0" w:after="0"/>
        <w:ind w:left="0" w:right="0" w:hanging="0"/>
        <w:jc w:val="left"/>
        <w:rPr>
          <w:caps w:val="false"/>
          <w:smallCaps w:val="false"/>
        </w:rPr>
      </w:pPr>
      <w:r>
        <w:rPr>
          <w:caps w:val="false"/>
          <w:smallCaps w:val="false"/>
        </w:rPr>
        <w:t> </w:t>
      </w:r>
    </w:p>
    <w:tbl>
      <w:tblPr>
        <w:tblW w:w="2595" w:type="dxa"/>
        <w:jc w:val="left"/>
        <w:tblInd w:w="0" w:type="dxa"/>
        <w:tblLayout w:type="fixed"/>
        <w:tblCellMar>
          <w:top w:w="0" w:type="dxa"/>
          <w:left w:w="0" w:type="dxa"/>
          <w:bottom w:w="0" w:type="dxa"/>
          <w:right w:w="0" w:type="dxa"/>
        </w:tblCellMar>
      </w:tblPr>
      <w:tblGrid>
        <w:gridCol w:w="1745"/>
        <w:gridCol w:w="60"/>
        <w:gridCol w:w="125"/>
        <w:gridCol w:w="605"/>
        <w:gridCol w:w="60"/>
      </w:tblGrid>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726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1,357</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7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3,211</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7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8,058</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7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174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6,753</w:t>
            </w:r>
          </w:p>
        </w:tc>
        <w:tc>
          <w:tcPr>
            <w:tcW w:w="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7</w:t>
      </w:r>
      <w:r>
        <w:rPr>
          <w:rFonts w:ascii="Times New Roman" w:hAnsi="Times New Roman"/>
          <w:caps w:val="false"/>
          <w:smallCaps w:val="false"/>
          <w:sz w:val="20"/>
        </w:rPr>
        <w:t xml:space="preserve"> – </w:t>
      </w:r>
      <w:r>
        <w:rPr>
          <w:rFonts w:ascii="Times New Roman" w:hAnsi="Times New Roman"/>
          <w:b/>
          <w:caps w:val="false"/>
          <w:smallCaps w:val="false"/>
          <w:sz w:val="20"/>
        </w:rPr>
        <w:t>DEPOSITS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Deposits are summarized as follows at the dates indicated:</w:t>
      </w:r>
    </w:p>
    <w:p>
      <w:pPr>
        <w:pStyle w:val="TextBody"/>
        <w:bidi w:val="0"/>
        <w:spacing w:before="0" w:after="0"/>
        <w:ind w:left="0" w:right="0" w:hanging="0"/>
        <w:jc w:val="left"/>
        <w:rPr/>
      </w:pPr>
      <w:r>
        <w:rPr/>
        <w:t> </w:t>
      </w:r>
    </w:p>
    <w:tbl>
      <w:tblPr>
        <w:tblW w:w="6546" w:type="dxa"/>
        <w:jc w:val="left"/>
        <w:tblInd w:w="0" w:type="dxa"/>
        <w:tblLayout w:type="fixed"/>
        <w:tblCellMar>
          <w:top w:w="0" w:type="dxa"/>
          <w:left w:w="0" w:type="dxa"/>
          <w:bottom w:w="0" w:type="dxa"/>
          <w:right w:w="0" w:type="dxa"/>
        </w:tblCellMar>
      </w:tblPr>
      <w:tblGrid>
        <w:gridCol w:w="4355"/>
        <w:gridCol w:w="23"/>
        <w:gridCol w:w="125"/>
        <w:gridCol w:w="845"/>
        <w:gridCol w:w="23"/>
        <w:gridCol w:w="23"/>
        <w:gridCol w:w="145"/>
        <w:gridCol w:w="984"/>
        <w:gridCol w:w="23"/>
      </w:tblGrid>
      <w:tr>
        <w:trPr/>
        <w:tc>
          <w:tcPr>
            <w:tcW w:w="435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30,</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29" w:type="dxa"/>
            <w:gridSpan w:val="2"/>
            <w:tcBorders/>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December 31,</w:t>
            </w:r>
          </w:p>
        </w:tc>
        <w:tc>
          <w:tcPr>
            <w:tcW w:w="23" w:type="dxa"/>
            <w:tcBorders/>
            <w:vAlign w:val="center"/>
          </w:tcPr>
          <w:p>
            <w:pPr>
              <w:pStyle w:val="TableContents"/>
              <w:bidi w:val="0"/>
              <w:spacing w:before="0" w:after="0"/>
              <w:ind w:left="0" w:right="0" w:hanging="0"/>
              <w:jc w:val="left"/>
              <w:rPr/>
            </w:pPr>
            <w:r>
              <w:rPr/>
              <w:t>​</w:t>
            </w:r>
          </w:p>
        </w:tc>
      </w:tr>
      <w:tr>
        <w:trPr/>
        <w:tc>
          <w:tcPr>
            <w:tcW w:w="435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Noninterest-bearing checking</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629,799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647,197</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Interest-bearing checking</w:t>
            </w:r>
            <w:r>
              <w:rPr>
                <w:rFonts w:ascii="Times New Roman" w:hAnsi="Times New Roman"/>
                <w:caps w:val="false"/>
                <w:smallCaps w:val="false"/>
                <w:position w:val="7"/>
                <w:sz w:val="16"/>
                <w:sz w:val="20"/>
              </w:rPr>
              <w:t xml:space="preserve"> (1)</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296,988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335,449</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Savings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173,091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164,056</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Money market</w:t>
            </w:r>
            <w:r>
              <w:rPr>
                <w:rFonts w:ascii="Times New Roman" w:hAnsi="Times New Roman"/>
                <w:caps w:val="false"/>
                <w:smallCaps w:val="false"/>
                <w:position w:val="7"/>
                <w:sz w:val="16"/>
                <w:sz w:val="20"/>
              </w:rPr>
              <w:t xml:space="preserve"> (2)</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379,860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385,618</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Certificates of deposit less than $100,000 </w:t>
            </w:r>
            <w:r>
              <w:rPr>
                <w:rFonts w:ascii="Times New Roman" w:hAnsi="Times New Roman"/>
                <w:caps w:val="false"/>
                <w:smallCaps w:val="false"/>
                <w:position w:val="7"/>
                <w:sz w:val="16"/>
                <w:sz w:val="20"/>
              </w:rPr>
              <w:t>(3)</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348,577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512,808</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Certificates of deposit of $100,000 through $250,000</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448,207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452,666</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Certificates of deposit greater than $250,000</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160,303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164,922</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Escrow accounts related to mortgages serviced</w:t>
            </w:r>
            <w:r>
              <w:rPr>
                <w:rFonts w:ascii="Times New Roman" w:hAnsi="Times New Roman"/>
                <w:caps w:val="false"/>
                <w:smallCaps w:val="false"/>
                <w:position w:val="7"/>
                <w:sz w:val="16"/>
                <w:sz w:val="20"/>
              </w:rPr>
              <w:t xml:space="preserve"> (4)</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12,057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10,926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2,448,882</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2,673,642</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9985" w:type="dxa"/>
        <w:jc w:val="left"/>
        <w:tblInd w:w="0" w:type="dxa"/>
        <w:tblLayout w:type="fixed"/>
        <w:tblCellMar>
          <w:top w:w="0" w:type="dxa"/>
          <w:left w:w="0" w:type="dxa"/>
          <w:bottom w:w="0" w:type="dxa"/>
          <w:right w:w="0" w:type="dxa"/>
        </w:tblCellMar>
      </w:tblPr>
      <w:tblGrid>
        <w:gridCol w:w="245"/>
        <w:gridCol w:w="9740"/>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974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Includes $87.2 million and $140.2 million of brokered deposits at </w:t>
            </w:r>
            <w:r>
              <w:rPr>
                <w:rStyle w:val="Emphasis"/>
                <w:rFonts w:ascii="Times New Roman;Times;serif" w:hAnsi="Times New Roman;Times;serif"/>
                <w:caps w:val="false"/>
                <w:smallCaps w:val="false"/>
                <w:sz w:val="20"/>
              </w:rPr>
              <w:t xml:space="preserve"> June 30, 2026</w:t>
            </w:r>
            <w:r>
              <w:rPr>
                <w:rFonts w:ascii="Times New Roman;Times;serif" w:hAnsi="Times New Roman;Times;serif"/>
                <w:caps w:val="false"/>
                <w:smallCaps w:val="false"/>
                <w:sz w:val="20"/>
              </w:rPr>
              <w:t> and </w:t>
            </w:r>
            <w:r>
              <w:rPr>
                <w:rStyle w:val="Emphasis"/>
                <w:rFonts w:ascii="Times New Roman;Times;serif" w:hAnsi="Times New Roman;Times;serif"/>
                <w:caps w:val="false"/>
                <w:smallCaps w:val="false"/>
                <w:sz w:val="20"/>
              </w:rPr>
              <w:t xml:space="preserve"> December 31, 2025</w:t>
            </w:r>
            <w:r>
              <w:rPr>
                <w:rFonts w:ascii="Times New Roman;Times;serif" w:hAnsi="Times New Roman;Times;serif"/>
                <w:caps w:val="false"/>
                <w:smallCaps w:val="false"/>
                <w:sz w:val="20"/>
              </w:rPr>
              <w:t>, respectively.</w:t>
            </w:r>
          </w:p>
        </w:tc>
      </w:tr>
    </w:tbl>
    <w:tbl>
      <w:tblPr>
        <w:tblW w:w="9775" w:type="dxa"/>
        <w:jc w:val="left"/>
        <w:tblInd w:w="0" w:type="dxa"/>
        <w:tblLayout w:type="fixed"/>
        <w:tblCellMar>
          <w:top w:w="0" w:type="dxa"/>
          <w:left w:w="0" w:type="dxa"/>
          <w:bottom w:w="0" w:type="dxa"/>
          <w:right w:w="0" w:type="dxa"/>
        </w:tblCellMar>
      </w:tblPr>
      <w:tblGrid>
        <w:gridCol w:w="245"/>
        <w:gridCol w:w="9530"/>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w:t>
            </w:r>
          </w:p>
        </w:tc>
        <w:tc>
          <w:tcPr>
            <w:tcW w:w="9530"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Includes $4.0 million and $20.3 million of brokered deposits at </w:t>
            </w:r>
            <w:r>
              <w:rPr>
                <w:rStyle w:val="Emphasis"/>
                <w:rFonts w:ascii="Times New Roman;Times;serif" w:hAnsi="Times New Roman;Times;serif"/>
                <w:caps w:val="false"/>
                <w:smallCaps w:val="false"/>
                <w:sz w:val="20"/>
              </w:rPr>
              <w:t xml:space="preserve"> June 30, 2026</w:t>
            </w:r>
            <w:r>
              <w:rPr>
                <w:rFonts w:ascii="Times New Roman;Times;serif" w:hAnsi="Times New Roman;Times;serif"/>
                <w:caps w:val="false"/>
                <w:smallCaps w:val="false"/>
                <w:sz w:val="20"/>
              </w:rPr>
              <w:t> and </w:t>
            </w:r>
            <w:r>
              <w:rPr>
                <w:rStyle w:val="Emphasis"/>
                <w:rFonts w:ascii="Times New Roman;Times;serif" w:hAnsi="Times New Roman;Times;serif"/>
                <w:caps w:val="false"/>
                <w:smallCaps w:val="false"/>
                <w:sz w:val="20"/>
              </w:rPr>
              <w:t xml:space="preserve"> December 31, 2025</w:t>
            </w:r>
            <w:r>
              <w:rPr>
                <w:rFonts w:ascii="Times New Roman;Times;serif" w:hAnsi="Times New Roman;Times;serif"/>
                <w:caps w:val="false"/>
                <w:smallCaps w:val="false"/>
                <w:sz w:val="20"/>
              </w:rPr>
              <w:t>, respectively.</w:t>
            </w:r>
          </w:p>
        </w:tc>
      </w:tr>
    </w:tbl>
    <w:tbl>
      <w:tblPr>
        <w:tblW w:w="9985" w:type="dxa"/>
        <w:jc w:val="left"/>
        <w:tblInd w:w="0" w:type="dxa"/>
        <w:tblLayout w:type="fixed"/>
        <w:tblCellMar>
          <w:top w:w="0" w:type="dxa"/>
          <w:left w:w="0" w:type="dxa"/>
          <w:bottom w:w="0" w:type="dxa"/>
          <w:right w:w="0" w:type="dxa"/>
        </w:tblCellMar>
      </w:tblPr>
      <w:tblGrid>
        <w:gridCol w:w="245"/>
        <w:gridCol w:w="9740"/>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3</w:t>
            </w:r>
            <w:r>
              <w:rPr>
                <w:rFonts w:ascii="Times New Roman;Times;serif" w:hAnsi="Times New Roman;Times;serif"/>
                <w:caps w:val="false"/>
                <w:smallCaps w:val="false"/>
                <w:sz w:val="20"/>
              </w:rPr>
              <w:t>)</w:t>
            </w:r>
          </w:p>
        </w:tc>
        <w:tc>
          <w:tcPr>
            <w:tcW w:w="9740"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Includes $35.1 million and $202.1 million of brokered deposits at </w:t>
            </w:r>
            <w:r>
              <w:rPr>
                <w:rStyle w:val="Emphasis"/>
                <w:rFonts w:ascii="Times New Roman;Times;serif" w:hAnsi="Times New Roman;Times;serif"/>
                <w:caps w:val="false"/>
                <w:smallCaps w:val="false"/>
                <w:sz w:val="20"/>
              </w:rPr>
              <w:t xml:space="preserve"> June 30, 2026</w:t>
            </w:r>
            <w:r>
              <w:rPr>
                <w:rFonts w:ascii="Times New Roman;Times;serif" w:hAnsi="Times New Roman;Times;serif"/>
                <w:caps w:val="false"/>
                <w:smallCaps w:val="false"/>
                <w:sz w:val="20"/>
              </w:rPr>
              <w:t> and </w:t>
            </w:r>
            <w:r>
              <w:rPr>
                <w:rStyle w:val="Emphasis"/>
                <w:rFonts w:ascii="Times New Roman;Times;serif" w:hAnsi="Times New Roman;Times;serif"/>
                <w:caps w:val="false"/>
                <w:smallCaps w:val="false"/>
                <w:sz w:val="20"/>
              </w:rPr>
              <w:t xml:space="preserve"> December 31, 2025</w:t>
            </w:r>
            <w:r>
              <w:rPr>
                <w:rFonts w:ascii="Times New Roman;Times;serif" w:hAnsi="Times New Roman;Times;serif"/>
                <w:caps w:val="false"/>
                <w:smallCaps w:val="false"/>
                <w:sz w:val="20"/>
              </w:rPr>
              <w:t>, respectively.</w:t>
            </w:r>
          </w:p>
        </w:tc>
      </w:tr>
      <w:tr>
        <w:trPr/>
        <w:tc>
          <w:tcPr>
            <w:tcW w:w="245" w:type="dxa"/>
            <w:tcBorders/>
            <w:vAlign w:val="center"/>
          </w:tcPr>
          <w:p>
            <w:pPr>
              <w:pStyle w:val="TableContents"/>
              <w:bidi w:val="0"/>
              <w:spacing w:before="0" w:after="283"/>
              <w:jc w:val="left"/>
              <w:rPr/>
            </w:pPr>
            <w:r>
              <w:rPr>
                <w:sz w:val="20"/>
              </w:rPr>
              <w:t>(</w:t>
            </w:r>
            <w:r>
              <w:rPr>
                <w:rStyle w:val="Emphasis"/>
                <w:sz w:val="20"/>
              </w:rPr>
              <w:t>4</w:t>
            </w:r>
            <w:r>
              <w:rPr>
                <w:sz w:val="20"/>
              </w:rPr>
              <w:t>)</w:t>
            </w:r>
          </w:p>
        </w:tc>
        <w:tc>
          <w:tcPr>
            <w:tcW w:w="9740" w:type="dxa"/>
            <w:tcBorders/>
            <w:vAlign w:val="center"/>
          </w:tcPr>
          <w:p>
            <w:pPr>
              <w:pStyle w:val="TableContents"/>
              <w:bidi w:val="0"/>
              <w:spacing w:before="0" w:after="283"/>
              <w:jc w:val="left"/>
              <w:rPr>
                <w:sz w:val="20"/>
              </w:rPr>
            </w:pPr>
            <w:r>
              <w:rPr>
                <w:sz w:val="20"/>
              </w:rPr>
              <w:t>Noninterest-bearing accounts.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Scheduled maturities of time deposits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for future periods ending are as follows:</w:t>
      </w:r>
    </w:p>
    <w:p>
      <w:pPr>
        <w:pStyle w:val="TextBody"/>
        <w:bidi w:val="0"/>
        <w:spacing w:before="0" w:after="0"/>
        <w:ind w:left="0" w:right="0" w:hanging="0"/>
        <w:jc w:val="left"/>
        <w:rPr>
          <w:caps w:val="false"/>
          <w:smallCaps w:val="false"/>
        </w:rPr>
      </w:pPr>
      <w:r>
        <w:rPr>
          <w:caps w:val="false"/>
          <w:smallCaps w:val="false"/>
        </w:rPr>
        <w:t> </w:t>
      </w:r>
    </w:p>
    <w:tbl>
      <w:tblPr>
        <w:tblW w:w="3555" w:type="dxa"/>
        <w:jc w:val="left"/>
        <w:tblInd w:w="0" w:type="dxa"/>
        <w:tblLayout w:type="fixed"/>
        <w:tblCellMar>
          <w:top w:w="0" w:type="dxa"/>
          <w:left w:w="0" w:type="dxa"/>
          <w:bottom w:w="0" w:type="dxa"/>
          <w:right w:w="0" w:type="dxa"/>
        </w:tblCellMar>
      </w:tblPr>
      <w:tblGrid>
        <w:gridCol w:w="2615"/>
        <w:gridCol w:w="60"/>
        <w:gridCol w:w="125"/>
        <w:gridCol w:w="695"/>
        <w:gridCol w:w="60"/>
      </w:tblGrid>
      <w:tr>
        <w:trPr/>
        <w:tc>
          <w:tcPr>
            <w:tcW w:w="26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Maturing in 2026</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661,226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Maturing in 2027</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264,499</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Maturing in 2028</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15,578</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61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Maturing in 2029</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13,208</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61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Maturing in 2030 and thereafter</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2,576</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6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957,087</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by deposit category for the periods indicated is as follows:</w:t>
      </w:r>
    </w:p>
    <w:p>
      <w:pPr>
        <w:pStyle w:val="TextBody"/>
        <w:bidi w:val="0"/>
        <w:spacing w:before="0" w:after="0"/>
        <w:ind w:left="0" w:right="0" w:hanging="0"/>
        <w:jc w:val="both"/>
        <w:rPr>
          <w:caps w:val="false"/>
          <w:smallCaps w:val="false"/>
        </w:rPr>
      </w:pPr>
      <w:r>
        <w:rPr>
          <w:caps w:val="false"/>
          <w:smallCaps w:val="false"/>
        </w:rPr>
        <w:t> </w:t>
      </w:r>
    </w:p>
    <w:tbl>
      <w:tblPr>
        <w:tblW w:w="7132" w:type="dxa"/>
        <w:jc w:val="left"/>
        <w:tblInd w:w="0" w:type="dxa"/>
        <w:tblLayout w:type="fixed"/>
        <w:tblCellMar>
          <w:top w:w="0" w:type="dxa"/>
          <w:left w:w="0" w:type="dxa"/>
          <w:bottom w:w="0" w:type="dxa"/>
          <w:right w:w="0" w:type="dxa"/>
        </w:tblCellMar>
      </w:tblPr>
      <w:tblGrid>
        <w:gridCol w:w="2210"/>
        <w:gridCol w:w="60"/>
        <w:gridCol w:w="197"/>
        <w:gridCol w:w="932"/>
        <w:gridCol w:w="94"/>
        <w:gridCol w:w="94"/>
        <w:gridCol w:w="197"/>
        <w:gridCol w:w="932"/>
        <w:gridCol w:w="60"/>
        <w:gridCol w:w="60"/>
        <w:gridCol w:w="180"/>
        <w:gridCol w:w="852"/>
        <w:gridCol w:w="86"/>
        <w:gridCol w:w="86"/>
        <w:gridCol w:w="180"/>
        <w:gridCol w:w="852"/>
        <w:gridCol w:w="60"/>
      </w:tblGrid>
      <w:tr>
        <w:trPr/>
        <w:tc>
          <w:tcPr>
            <w:tcW w:w="221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4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Three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3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Six Months Ended June 30,</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21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 w:type="dxa"/>
            <w:tcBorders/>
            <w:shd w:fill="FFFFFF" w:val="clear"/>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2026</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 </w:t>
            </w:r>
          </w:p>
        </w:tc>
        <w:tc>
          <w:tcPr>
            <w:tcW w:w="10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caps w:val="false"/>
                <w:smallCaps w:val="false"/>
                <w:sz w:val="20"/>
              </w:rPr>
              <w:t>2025</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Interest-bearing checking</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1,994</w:t>
            </w:r>
          </w:p>
        </w:tc>
        <w:tc>
          <w:tcPr>
            <w:tcW w:w="94" w:type="dxa"/>
            <w:tcBorders/>
            <w:shd w:fill="CCEEFF" w:val="clear"/>
            <w:vAlign w:val="center"/>
          </w:tcPr>
          <w:p>
            <w:pPr>
              <w:pStyle w:val="TableContents"/>
              <w:bidi w:val="0"/>
              <w:spacing w:before="0" w:after="0"/>
              <w:ind w:left="0" w:right="0" w:hanging="0"/>
              <w:jc w:val="left"/>
              <w:rPr/>
            </w:pPr>
            <w:r>
              <w:rPr/>
              <w:t> </w:t>
            </w:r>
          </w:p>
        </w:tc>
        <w:tc>
          <w:tcPr>
            <w:tcW w:w="94" w:type="dxa"/>
            <w:tcBorders/>
            <w:shd w:fill="CCEEFF" w:val="clear"/>
            <w:vAlign w:val="center"/>
          </w:tcPr>
          <w:p>
            <w:pPr>
              <w:pStyle w:val="TableContents"/>
              <w:bidi w:val="0"/>
              <w:spacing w:before="0" w:after="0"/>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4,299</w:t>
            </w:r>
          </w:p>
        </w:tc>
        <w:tc>
          <w:tcPr>
            <w:tcW w:w="86"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Savings and money market</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2,364</w:t>
            </w:r>
          </w:p>
        </w:tc>
        <w:tc>
          <w:tcPr>
            <w:tcW w:w="94" w:type="dxa"/>
            <w:tcBorders/>
            <w:shd w:fill="FFFFFF" w:val="clear"/>
            <w:vAlign w:val="center"/>
          </w:tcPr>
          <w:p>
            <w:pPr>
              <w:pStyle w:val="TableContents"/>
              <w:bidi w:val="0"/>
              <w:spacing w:before="0" w:after="0"/>
              <w:ind w:left="0" w:right="0" w:hanging="0"/>
              <w:jc w:val="left"/>
              <w:rPr/>
            </w:pPr>
            <w:r>
              <w:rPr/>
              <w:t> </w:t>
            </w:r>
          </w:p>
        </w:tc>
        <w:tc>
          <w:tcPr>
            <w:tcW w:w="94" w:type="dxa"/>
            <w:tcBorders/>
            <w:shd w:fill="FFFFFF" w:val="clear"/>
            <w:vAlign w:val="center"/>
          </w:tcPr>
          <w:p>
            <w:pPr>
              <w:pStyle w:val="TableContents"/>
              <w:bidi w:val="0"/>
              <w:spacing w:before="0" w:after="0"/>
              <w:ind w:left="0" w:right="0" w:hanging="0"/>
              <w:jc w:val="left"/>
              <w:rPr/>
            </w:pPr>
            <w:r>
              <w:rPr/>
              <w:t> </w:t>
            </w:r>
          </w:p>
        </w:tc>
        <w:tc>
          <w:tcPr>
            <w:tcW w:w="197" w:type="dxa"/>
            <w:tcBorders/>
            <w:shd w:fill="FFFFFF" w:val="clear"/>
            <w:vAlign w:val="center"/>
          </w:tcPr>
          <w:p>
            <w:pPr>
              <w:pStyle w:val="TableContents"/>
              <w:bidi w:val="0"/>
              <w:spacing w:before="0" w:after="0"/>
              <w:ind w:left="0" w:right="0" w:hanging="0"/>
              <w:jc w:val="left"/>
              <w:rPr/>
            </w:pPr>
            <w:r>
              <w:rPr/>
              <w:t> </w:t>
            </w:r>
          </w:p>
        </w:tc>
        <w:tc>
          <w:tcPr>
            <w:tcW w:w="9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4,682</w:t>
            </w:r>
          </w:p>
        </w:tc>
        <w:tc>
          <w:tcPr>
            <w:tcW w:w="86"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Certificates of deposit</w:t>
            </w:r>
          </w:p>
        </w:tc>
        <w:tc>
          <w:tcPr>
            <w:tcW w:w="60" w:type="dxa"/>
            <w:tcBorders/>
            <w:shd w:fill="CCEE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9,550</w:t>
            </w:r>
          </w:p>
        </w:tc>
        <w:tc>
          <w:tcPr>
            <w:tcW w:w="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 w:type="dxa"/>
            <w:tcBorders/>
            <w:shd w:fill="CCEEFF" w:val="clear"/>
            <w:vAlign w:val="center"/>
          </w:tcPr>
          <w:p>
            <w:pPr>
              <w:pStyle w:val="TableContents"/>
              <w:bidi w:val="0"/>
              <w:spacing w:before="0" w:after="0"/>
              <w:ind w:left="0" w:right="0" w:hanging="0"/>
              <w:jc w:val="left"/>
              <w:rPr/>
            </w:pPr>
            <w:r>
              <w:rPr/>
              <w:t> </w:t>
            </w:r>
          </w:p>
        </w:tc>
        <w:tc>
          <w:tcPr>
            <w:tcW w:w="1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11,620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19,640</w:t>
            </w:r>
          </w:p>
        </w:tc>
        <w:tc>
          <w:tcPr>
            <w:tcW w:w="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5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22,042</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22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0"/>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13,908</w:t>
            </w:r>
          </w:p>
        </w:tc>
        <w:tc>
          <w:tcPr>
            <w:tcW w:w="9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4" w:type="dxa"/>
            <w:tcBorders/>
            <w:shd w:fill="FFFFFF" w:val="clear"/>
            <w:vAlign w:val="center"/>
          </w:tcPr>
          <w:p>
            <w:pPr>
              <w:pStyle w:val="TableContents"/>
              <w:bidi w:val="0"/>
              <w:spacing w:before="0" w:after="0"/>
              <w:ind w:left="0" w:right="0" w:hanging="0"/>
              <w:jc w:val="left"/>
              <w:rPr/>
            </w:pPr>
            <w:r>
              <w:rPr/>
              <w:t> </w:t>
            </w:r>
          </w:p>
        </w:tc>
        <w:tc>
          <w:tcPr>
            <w:tcW w:w="19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14,520</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28,621</w:t>
            </w:r>
          </w:p>
        </w:tc>
        <w:tc>
          <w:tcPr>
            <w:tcW w:w="8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27,578</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8</w:t>
      </w:r>
      <w:r>
        <w:rPr>
          <w:rFonts w:ascii="Times New Roman" w:hAnsi="Times New Roman"/>
          <w:caps w:val="false"/>
          <w:smallCaps w:val="false"/>
          <w:sz w:val="20"/>
        </w:rPr>
        <w:t xml:space="preserve"> – </w:t>
      </w:r>
      <w:r>
        <w:rPr>
          <w:rFonts w:ascii="Times New Roman" w:hAnsi="Times New Roman"/>
          <w:b/>
          <w:caps w:val="false"/>
          <w:smallCaps w:val="false"/>
          <w:sz w:val="20"/>
        </w:rPr>
        <w:t>COMMITMENTS AND CONTINGENCIES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Commitments</w:t>
      </w:r>
      <w:r>
        <w:rPr>
          <w:rFonts w:ascii="Times New Roman" w:hAnsi="Times New Roman"/>
          <w:caps w:val="false"/>
          <w:smallCaps w:val="false"/>
          <w:sz w:val="20"/>
        </w:rPr>
        <w:t> – The Company is party to financial instruments with off-balance sheet risk in the normal course of business to meet the financing needs of its customers. These financial instruments include commitments to extend credit. These instruments involve, to varying degrees, elements of credit risk in excess of the amount recognized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exposure to credit loss in the event of nonperformance by the other party to these financial instruments is represented by the contractual amount of those instruments. The Company uses the same credit policies in making commitments and conditional obligations as it does for on-balance sheet instruments.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provides a summary of the Company’s commitments at the dates indicated:</w:t>
      </w:r>
    </w:p>
    <w:p>
      <w:pPr>
        <w:pStyle w:val="TextBody"/>
        <w:bidi w:val="0"/>
        <w:spacing w:before="0" w:after="0"/>
        <w:ind w:left="0" w:right="0" w:hanging="0"/>
        <w:jc w:val="left"/>
        <w:rPr>
          <w:caps w:val="false"/>
          <w:smallCaps w:val="false"/>
        </w:rPr>
      </w:pPr>
      <w:r>
        <w:rPr>
          <w:caps w:val="false"/>
          <w:smallCaps w:val="false"/>
        </w:rPr>
        <w:t> </w:t>
      </w:r>
    </w:p>
    <w:tbl>
      <w:tblPr>
        <w:tblW w:w="5976" w:type="dxa"/>
        <w:jc w:val="left"/>
        <w:tblInd w:w="0" w:type="dxa"/>
        <w:tblLayout w:type="fixed"/>
        <w:tblCellMar>
          <w:top w:w="0" w:type="dxa"/>
          <w:left w:w="0" w:type="dxa"/>
          <w:bottom w:w="0" w:type="dxa"/>
          <w:right w:w="0" w:type="dxa"/>
        </w:tblCellMar>
      </w:tblPr>
      <w:tblGrid>
        <w:gridCol w:w="4160"/>
        <w:gridCol w:w="23"/>
        <w:gridCol w:w="110"/>
        <w:gridCol w:w="605"/>
        <w:gridCol w:w="23"/>
        <w:gridCol w:w="23"/>
        <w:gridCol w:w="154"/>
        <w:gridCol w:w="855"/>
        <w:gridCol w:w="23"/>
      </w:tblGrid>
      <w:tr>
        <w:trPr/>
        <w:tc>
          <w:tcPr>
            <w:tcW w:w="4160" w:type="dxa"/>
            <w:tcBorders/>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COMMITMENTS TO EXTEND CREDIT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June 30,</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09" w:type="dxa"/>
            <w:gridSpan w:val="2"/>
            <w:tcBorders/>
            <w:vAlign w:val="center"/>
          </w:tcPr>
          <w:p>
            <w:pPr>
              <w:pStyle w:val="TableContents"/>
              <w:bidi w:val="0"/>
              <w:spacing w:before="0" w:after="0"/>
              <w:ind w:left="0" w:right="0" w:hanging="0"/>
              <w:jc w:val="center"/>
              <w:rPr>
                <w:rFonts w:ascii="Times New Roman" w:hAnsi="Times New Roman"/>
                <w:sz w:val="18"/>
              </w:rPr>
            </w:pPr>
            <w:r>
              <w:rPr>
                <w:rFonts w:ascii="Times New Roman" w:hAnsi="Times New Roman"/>
                <w:sz w:val="18"/>
              </w:rPr>
              <w:t>December 31,</w:t>
            </w:r>
          </w:p>
        </w:tc>
        <w:tc>
          <w:tcPr>
            <w:tcW w:w="23" w:type="dxa"/>
            <w:tcBorders/>
            <w:vAlign w:val="center"/>
          </w:tcPr>
          <w:p>
            <w:pPr>
              <w:pStyle w:val="TableContents"/>
              <w:bidi w:val="0"/>
              <w:spacing w:before="0" w:after="0"/>
              <w:ind w:left="0" w:right="0" w:hanging="0"/>
              <w:jc w:val="left"/>
              <w:rPr/>
            </w:pPr>
            <w:r>
              <w:rPr/>
              <w:t>​</w:t>
            </w:r>
          </w:p>
        </w:tc>
      </w:tr>
      <w:tr>
        <w:trPr/>
        <w:tc>
          <w:tcPr>
            <w:tcW w:w="4160" w:type="dxa"/>
            <w:tcBorders/>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CRE LOANS</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2026</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1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CRE</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2,001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2,204</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16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Commercial and speculative construction and development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177,496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198,176</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1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Multi-family</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6,397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6,676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160" w:type="dxa"/>
            <w:tcBorders/>
            <w:shd w:fill="FFFFFF" w:val="clear"/>
            <w:vAlign w:val="center"/>
          </w:tcPr>
          <w:p>
            <w:pPr>
              <w:pStyle w:val="TableContents"/>
              <w:bidi w:val="0"/>
              <w:spacing w:before="0" w:after="0"/>
              <w:ind w:left="0" w:right="0" w:firstLine="360"/>
              <w:jc w:val="left"/>
              <w:rPr>
                <w:rFonts w:ascii="Times New Roman" w:hAnsi="Times New Roman"/>
                <w:sz w:val="18"/>
              </w:rPr>
            </w:pPr>
            <w:r>
              <w:rPr>
                <w:rFonts w:ascii="Times New Roman" w:hAnsi="Times New Roman"/>
                <w:sz w:val="18"/>
              </w:rPr>
              <w:t>Total CRE loans</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185,894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207,056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160" w:type="dxa"/>
            <w:tcBorders/>
            <w:shd w:fill="CCEEFF" w:val="clear"/>
            <w:vAlign w:val="center"/>
          </w:tcPr>
          <w:p>
            <w:pPr>
              <w:pStyle w:val="TableContents"/>
              <w:bidi w:val="0"/>
              <w:spacing w:before="0" w:after="0"/>
              <w:ind w:left="0" w:right="0" w:hanging="0"/>
              <w:jc w:val="left"/>
              <w:rPr>
                <w:rFonts w:ascii="Times New Roman" w:hAnsi="Times New Roman"/>
                <w:b/>
                <w:sz w:val="18"/>
              </w:rPr>
            </w:pPr>
            <w:r>
              <w:rPr>
                <w:rFonts w:ascii="Times New Roman" w:hAnsi="Times New Roman"/>
                <w:b/>
                <w:sz w:val="18"/>
              </w:rPr>
              <w:t>RESIDENTIAL REAL ESTATE LOANS</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160" w:type="dxa"/>
            <w:tcBorders/>
            <w:shd w:fill="FFFFFF" w:val="clear"/>
            <w:vAlign w:val="center"/>
          </w:tcPr>
          <w:p>
            <w:pPr>
              <w:pStyle w:val="TableContents"/>
              <w:bidi w:val="0"/>
              <w:spacing w:before="0" w:after="0"/>
              <w:ind w:left="0" w:right="0" w:firstLine="180"/>
              <w:jc w:val="left"/>
              <w:rPr>
                <w:rFonts w:ascii="Times New Roman" w:hAnsi="Times New Roman"/>
                <w:sz w:val="18"/>
              </w:rPr>
            </w:pPr>
            <w:r>
              <w:rPr>
                <w:rFonts w:ascii="Times New Roman" w:hAnsi="Times New Roman"/>
                <w:sz w:val="18"/>
              </w:rPr>
              <w:t>One-to-four-family (including loans held for sale)</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61,421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28,977</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1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Home equity</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104,921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100,071</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16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Residential custom construction</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38,036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37,213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16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Total residential real estate loans</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204,378</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166,261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16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CONSUMER LOANS</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30,114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29,646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16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COMMERCIAL BUSINESS LOANS</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16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C&amp;I</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190,188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160,277</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16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Warehouse lending</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73,089</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42,145</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16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Total commercial business loans</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263,277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202,422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160"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18"/>
              </w:rPr>
            </w:pPr>
            <w:r>
              <w:rPr>
                <w:rFonts w:ascii="Times New Roman" w:hAnsi="Times New Roman"/>
                <w:caps w:val="false"/>
                <w:smallCaps w:val="false"/>
                <w:sz w:val="18"/>
              </w:rPr>
              <w:t>Total commitments to extend credit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683,663</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85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605,385</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Commitments to extend credit are agreements to lend to a customer provided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violation of any condition established in the contract. Since many of the commitments are expected to expire without being drawn upon, the amount of the total commitments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necessarily represent future cash requirements. The Company evaluates each customer’s creditworthiness on a case-by-case basis. The amount of collateral obtained, if deemed necessary by the Company upon extension of credit, is based on management’s credit evaluation of the party. Collateral held varies, but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include accounts receivable, inventory, property and equipment, residential real estate, and income-producing commercial properties.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caps w:val="false"/>
          <w:smallCaps w:val="false"/>
          <w:sz w:val="20"/>
        </w:rPr>
        <w:t xml:space="preserve">Unfunded commitments under commercial lines of credit, revolving credit lines, and overdraft protection agreements represent potential future extensions of credit to existing customers. These commitments generally do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contain a specified maturity date and </w:t>
      </w:r>
      <w:r>
        <w:rPr>
          <w:rStyle w:val="Emphasis"/>
          <w:rFonts w:ascii="Times New Roman;Times;serif" w:hAnsi="Times New Roman;Times;serif"/>
          <w:caps w:val="false"/>
          <w:smallCaps w:val="false"/>
          <w:sz w:val="20"/>
        </w:rPr>
        <w:t>may not</w:t>
      </w:r>
      <w:r>
        <w:rPr>
          <w:rFonts w:ascii="Times New Roman;Times;serif" w:hAnsi="Times New Roman;Times;serif"/>
          <w:caps w:val="false"/>
          <w:smallCaps w:val="false"/>
          <w:sz w:val="20"/>
        </w:rPr>
        <w:t xml:space="preserve"> be drawn upon to the total extent to which the Company is committed. The Company maintains an ACL – unfunded loan commitments for all arrangements that are </w:t>
      </w:r>
      <w:r>
        <w:rPr>
          <w:rStyle w:val="Emphasis"/>
          <w:rFonts w:ascii="Times New Roman;Times;serif" w:hAnsi="Times New Roman;Times;serif"/>
          <w:caps w:val="false"/>
          <w:smallCaps w:val="false"/>
          <w:sz w:val="20"/>
        </w:rPr>
        <w:t>not</w:t>
      </w:r>
      <w:r>
        <w:rPr>
          <w:rFonts w:ascii="Times New Roman;Times;serif" w:hAnsi="Times New Roman;Times;serif"/>
          <w:caps w:val="false"/>
          <w:smallCaps w:val="false"/>
          <w:sz w:val="20"/>
        </w:rPr>
        <w:t xml:space="preserve"> unconditionally cancellable, consistent with the Company's CECL methodology.  The ACL on unfunded loan commitments is recorded within “Other liabilities” on the Consolidated Balance Sheets.  The Company's ACL on unfunded loan commitments at </w:t>
      </w:r>
      <w:r>
        <w:rPr>
          <w:rStyle w:val="Emphasis"/>
          <w:rFonts w:ascii="Times New Roman;Times;serif" w:hAnsi="Times New Roman;Times;serif"/>
          <w:caps w:val="false"/>
          <w:smallCaps w:val="false"/>
          <w:sz w:val="20"/>
        </w:rPr>
        <w:t xml:space="preserve"> June 30, 2026</w:t>
      </w:r>
      <w:r>
        <w:rPr>
          <w:rFonts w:ascii="Times New Roman;Times;serif" w:hAnsi="Times New Roman;Times;serif"/>
          <w:caps w:val="false"/>
          <w:smallCaps w:val="false"/>
          <w:sz w:val="20"/>
        </w:rPr>
        <w:t> and </w:t>
      </w:r>
      <w:r>
        <w:rPr>
          <w:rStyle w:val="Emphasis"/>
          <w:rFonts w:ascii="Times New Roman;Times;serif" w:hAnsi="Times New Roman;Times;serif"/>
          <w:caps w:val="false"/>
          <w:smallCaps w:val="false"/>
          <w:sz w:val="20"/>
        </w:rPr>
        <w:t xml:space="preserve"> December 31, 2025</w:t>
      </w:r>
      <w:r>
        <w:rPr>
          <w:rFonts w:ascii="Times New Roman;Times;serif" w:hAnsi="Times New Roman;Times;serif"/>
          <w:caps w:val="false"/>
          <w:smallCaps w:val="false"/>
          <w:sz w:val="20"/>
        </w:rPr>
        <w:t>, was $1.7 million and $1.8 million, respectively. The Company recorded a provision for credit losses – unfunded loan commitments of $82,000 and a recovery of $39,000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June 30, 2026</w:t>
      </w:r>
      <w:r>
        <w:rPr>
          <w:rFonts w:ascii="Times New Roman;Times;serif" w:hAnsi="Times New Roman;Times;serif"/>
          <w:caps w:val="false"/>
          <w:smallCaps w:val="false"/>
          <w:sz w:val="20"/>
        </w:rPr>
        <w:t xml:space="preserve">, respectively, as compared to provisions of $151,000 and $217,000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June 30, 2025. </w:t>
      </w:r>
      <w:r>
        <w:rPr>
          <w:rFonts w:ascii="Times New Roman;Times;serif" w:hAnsi="Times New Roman;Times;serif"/>
          <w:caps w:val="false"/>
          <w:smallCaps w:val="false"/>
          <w:sz w:val="20"/>
        </w:rPr>
        <w:t>The decrease in provision for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and </w:t>
      </w:r>
      <w:r>
        <w:rPr>
          <w:rStyle w:val="Emphasis"/>
          <w:rFonts w:ascii="Times New Roman;Times;serif" w:hAnsi="Times New Roman;Times;serif"/>
          <w:caps w:val="false"/>
          <w:smallCaps w:val="false"/>
          <w:sz w:val="20"/>
        </w:rPr>
        <w:t>six</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June 30, 2026</w:t>
      </w:r>
      <w:r>
        <w:rPr>
          <w:rFonts w:ascii="Times New Roman;Times;serif" w:hAnsi="Times New Roman;Times;serif"/>
          <w:caps w:val="false"/>
          <w:smallCaps w:val="false"/>
          <w:sz w:val="20"/>
        </w:rPr>
        <w:t>, was primarily attributable to a decrease in commercial and speculative construction and development loan commitments.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 portion of the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commitments included in the table above is accounted for as fair value derivatives and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carry an associated reserve.  The Company's derivative positions are presented with the discussion in “Note </w:t>
      </w:r>
      <w:r>
        <w:rPr>
          <w:rStyle w:val="Emphasis"/>
          <w:rFonts w:ascii="Times New Roman" w:hAnsi="Times New Roman"/>
          <w:caps w:val="false"/>
          <w:smallCaps w:val="false"/>
          <w:sz w:val="20"/>
        </w:rPr>
        <w:t>5</w:t>
      </w:r>
      <w:r>
        <w:rPr>
          <w:rFonts w:ascii="Times New Roman" w:hAnsi="Times New Roman"/>
          <w:caps w:val="false"/>
          <w:smallCaps w:val="false"/>
          <w:sz w:val="20"/>
        </w:rPr>
        <w:t> – Derivatives.”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also sells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loans to the FHLB of Des Moines under agreements that require a limited level of recourse in the event of borrower default. Under the recourse structure, losses on defaulted loans are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absorbed by a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loss account (“FLA”) established by the FHLB of Des Moines, and thereafter by a credit enhancement (“CE”) obligation required of the Bank.  The FLA and CE obligation function as sequential layers of credit protection for the FHLB of Des Moines on the sold loan portfolio.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 outstanding unpaid principal balance of loans sold to the FHLB of Des Moines was $8.1 million. The FLA balance was $581,000 and the CE obligation balance was $302,000 at that date. Management has established a loss reserve holdback equal to 10% of the outstanding CE obligation, or $30,000, based on management's analysis of historical loss experience and additional market factors. This holdback is included in the Company’s broader reserve for off-balance sheet credit exposures related to loans sold. At both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there were no loans sold to the FHLB of Des Moines with contractual payments greater than </w:t>
      </w:r>
      <w:r>
        <w:rPr>
          <w:rStyle w:val="Emphasis"/>
          <w:rFonts w:ascii="Times New Roman" w:hAnsi="Times New Roman"/>
          <w:caps w:val="false"/>
          <w:smallCaps w:val="false"/>
          <w:sz w:val="20"/>
        </w:rPr>
        <w:t>30</w:t>
      </w:r>
      <w:r>
        <w:rPr>
          <w:rFonts w:ascii="Times New Roman" w:hAnsi="Times New Roman"/>
          <w:caps w:val="false"/>
          <w:smallCaps w:val="false"/>
          <w:sz w:val="20"/>
        </w:rPr>
        <w:t> days past due.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i/>
          <w:caps w:val="false"/>
          <w:smallCaps w:val="false"/>
          <w:sz w:val="20"/>
        </w:rPr>
        <w:t>Contingent liabilities for loans held for sale</w:t>
      </w:r>
      <w:r>
        <w:rPr>
          <w:rFonts w:ascii="Times New Roman" w:hAnsi="Times New Roman"/>
          <w:caps w:val="false"/>
          <w:smallCaps w:val="false"/>
          <w:sz w:val="20"/>
        </w:rPr>
        <w:t xml:space="preserve"> – In the ordinary course of business, loans are sold with limited recourse against the Company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have to subsequently be repurchased due to defects that occurred during the origination of the loan. The defects are categorized as documentation errors, underwriting errors, early payoff, early payment defaults, breach of representation or warranty, servicing errors, and/or fraud. When a loan sold to an investor with limited recourse fails to perform according to its contractual terms, the investor will typically review the loan file to determine whether defects in the origination process occurred. If a defect is identified,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required to either repurchase the loan or indemnify the investor for losses sustained. If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such defects,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commitment to repurchase the loan. The Company has recorded a holdback reserve of $599,000 and $1.8 million to cover loss exposure related to these guarantees for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-family loans sold into the secondary market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respectively, which is included in “Other liabilities” on the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entered into change of control agreements with its executives and select key personnel. The change of control agreements, subject to certain requirements, generally remain in effect until canceled by either party upon at least </w:t>
      </w:r>
      <w:r>
        <w:rPr>
          <w:rStyle w:val="Emphasis"/>
          <w:rFonts w:ascii="Times New Roman" w:hAnsi="Times New Roman"/>
          <w:caps w:val="false"/>
          <w:smallCaps w:val="false"/>
          <w:sz w:val="20"/>
        </w:rPr>
        <w:t>24</w:t>
      </w:r>
      <w:r>
        <w:rPr>
          <w:rFonts w:ascii="Times New Roman" w:hAnsi="Times New Roman"/>
          <w:caps w:val="false"/>
          <w:smallCaps w:val="false"/>
          <w:sz w:val="20"/>
        </w:rPr>
        <w:t xml:space="preserve"> months prior written notice. Under the change of control agreements, the executive generally will be entitled to a change of control payment from the Company if the executive is involuntarily terminated within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preceding or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months after a change in control (as defined in the change of control agreements). In such an event, the executives would each be entitled to receive a cash payment in an amount equal to </w:t>
      </w:r>
      <w:r>
        <w:rPr>
          <w:rStyle w:val="Emphasis"/>
          <w:rFonts w:ascii="Times New Roman" w:hAnsi="Times New Roman"/>
          <w:caps w:val="false"/>
          <w:smallCaps w:val="false"/>
          <w:sz w:val="20"/>
        </w:rPr>
        <w:t>12</w:t>
      </w:r>
      <w:r>
        <w:rPr>
          <w:rFonts w:ascii="Times New Roman" w:hAnsi="Times New Roman"/>
          <w:caps w:val="false"/>
          <w:smallCaps w:val="false"/>
          <w:sz w:val="20"/>
        </w:rPr>
        <w:t> months of their then current salary, subject to certain requirements in the change of control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a result of the nature of our activities, the Company is subject to various pending and threatened legal actions, which arise in the ordinary course of business. From time to time, subordination liens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create litigation that requires the Company to defend its lien rights. In the opinion of management, liabilities arising from these claims, if any,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 material effect on the Company's financial position. The Company had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pending legal actions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9</w:t>
      </w:r>
      <w:r>
        <w:rPr>
          <w:rFonts w:ascii="Times New Roman" w:hAnsi="Times New Roman"/>
          <w:caps w:val="false"/>
          <w:smallCaps w:val="false"/>
          <w:sz w:val="20"/>
        </w:rPr>
        <w:t xml:space="preserve"> – </w:t>
      </w:r>
      <w:r>
        <w:rPr>
          <w:rFonts w:ascii="Times New Roman" w:hAnsi="Times New Roman"/>
          <w:b/>
          <w:caps w:val="false"/>
          <w:smallCaps w:val="false"/>
          <w:sz w:val="20"/>
        </w:rPr>
        <w:t>FAIR VALUE MEASUREMENTS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determines fair value based on the requirements established in ASC </w:t>
      </w:r>
      <w:r>
        <w:rPr>
          <w:rFonts w:ascii="Times New Roman" w:hAnsi="Times New Roman"/>
          <w:i/>
          <w:caps w:val="false"/>
          <w:smallCaps w:val="false"/>
          <w:sz w:val="20"/>
        </w:rPr>
        <w:t xml:space="preserve">Topic </w:t>
      </w:r>
      <w:r>
        <w:rPr>
          <w:rStyle w:val="Emphasis"/>
          <w:rFonts w:ascii="Times New Roman" w:hAnsi="Times New Roman"/>
          <w:i/>
          <w:caps w:val="false"/>
          <w:smallCaps w:val="false"/>
          <w:sz w:val="20"/>
        </w:rPr>
        <w:t>820</w:t>
      </w:r>
      <w:r>
        <w:rPr>
          <w:rFonts w:ascii="Times New Roman" w:hAnsi="Times New Roman"/>
          <w:caps w:val="false"/>
          <w:smallCaps w:val="false"/>
          <w:sz w:val="20"/>
        </w:rPr>
        <w:t xml:space="preserve">, </w:t>
      </w:r>
      <w:r>
        <w:rPr>
          <w:rFonts w:ascii="Times New Roman" w:hAnsi="Times New Roman"/>
          <w:i/>
          <w:caps w:val="false"/>
          <w:smallCaps w:val="false"/>
          <w:sz w:val="20"/>
        </w:rPr>
        <w:t>Fair Value Measurements,</w:t>
      </w:r>
      <w:r>
        <w:rPr>
          <w:rFonts w:ascii="Times New Roman" w:hAnsi="Times New Roman"/>
          <w:caps w:val="false"/>
          <w:smallCaps w:val="false"/>
          <w:sz w:val="20"/>
        </w:rPr>
        <w:t xml:space="preserve"> which provides a framework for measuring fair value in accordance with U.S. GAAP and requires an entity to maximize the use of observable inputs and minimize the use of unobservable inputs when measuring fair value. ASC </w:t>
      </w:r>
      <w:r>
        <w:rPr>
          <w:rFonts w:ascii="Times New Roman" w:hAnsi="Times New Roman"/>
          <w:i/>
          <w:caps w:val="false"/>
          <w:smallCaps w:val="false"/>
          <w:sz w:val="20"/>
        </w:rPr>
        <w:t xml:space="preserve">Topic </w:t>
      </w:r>
      <w:r>
        <w:rPr>
          <w:rStyle w:val="Emphasis"/>
          <w:rFonts w:ascii="Times New Roman" w:hAnsi="Times New Roman"/>
          <w:i/>
          <w:caps w:val="false"/>
          <w:smallCaps w:val="false"/>
          <w:sz w:val="20"/>
        </w:rPr>
        <w:t>820</w:t>
      </w:r>
      <w:r>
        <w:rPr>
          <w:rFonts w:ascii="Times New Roman" w:hAnsi="Times New Roman"/>
          <w:caps w:val="false"/>
          <w:smallCaps w:val="false"/>
          <w:sz w:val="20"/>
        </w:rPr>
        <w:t xml:space="preserve"> defines fair value as the exit price, or the price that would be received for an asset or paid to transfer a liability, in the principal or most advantageous market for the asset or liability in an orderly transaction between market participants on the measurement date under current market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following definitions describe the levels of inputs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used to measure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Level </w:t>
      </w:r>
      <w:r>
        <w:rPr>
          <w:rStyle w:val="Emphasis"/>
          <w:rFonts w:ascii="Times New Roman" w:hAnsi="Times New Roman"/>
          <w:b/>
          <w:caps w:val="false"/>
          <w:smallCaps w:val="false"/>
          <w:sz w:val="20"/>
        </w:rPr>
        <w:t>1</w:t>
      </w:r>
      <w:r>
        <w:rPr>
          <w:rFonts w:ascii="Times New Roman" w:hAnsi="Times New Roman"/>
          <w:caps w:val="false"/>
          <w:smallCaps w:val="false"/>
          <w:sz w:val="20"/>
        </w:rPr>
        <w:t> – Inputs to the valuation methodology are quoted prices (unadjusted) for identical assets or liabilities in active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Level </w:t>
      </w:r>
      <w:r>
        <w:rPr>
          <w:rStyle w:val="Emphasis"/>
          <w:rFonts w:ascii="Times New Roman" w:hAnsi="Times New Roman"/>
          <w:b/>
          <w:caps w:val="false"/>
          <w:smallCaps w:val="false"/>
          <w:sz w:val="20"/>
        </w:rPr>
        <w:t>2</w:t>
      </w:r>
      <w:r>
        <w:rPr>
          <w:rFonts w:ascii="Times New Roman" w:hAnsi="Times New Roman"/>
          <w:caps w:val="false"/>
          <w:smallCaps w:val="false"/>
          <w:sz w:val="20"/>
        </w:rPr>
        <w:t> – Inputs to the valuation methodology include quoted prices for similar assets and liabilities in active markets, and inputs that are observable for the asset or liability, either directly or indirectly, for substantially the full term of the financial instrument.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caps w:val="false"/>
          <w:smallCaps w:val="false"/>
          <w:sz w:val="20"/>
        </w:rPr>
        <w:t xml:space="preserve">Level </w:t>
      </w:r>
      <w:r>
        <w:rPr>
          <w:rStyle w:val="Emphasis"/>
          <w:rFonts w:ascii="Times New Roman" w:hAnsi="Times New Roman"/>
          <w:b/>
          <w:caps w:val="false"/>
          <w:smallCaps w:val="false"/>
          <w:sz w:val="20"/>
        </w:rPr>
        <w:t>3</w:t>
      </w:r>
      <w:r>
        <w:rPr>
          <w:rFonts w:ascii="Times New Roman" w:hAnsi="Times New Roman"/>
          <w:caps w:val="false"/>
          <w:smallCaps w:val="false"/>
          <w:sz w:val="20"/>
        </w:rPr>
        <w:t> – Inputs to the valuation methodology are unobservable and significant to the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methods were used to estimate the fair value of certain assets and liabilities on a recurring and nonrecurring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Securities </w:t>
      </w:r>
      <w:r>
        <w:rPr>
          <w:rFonts w:ascii="Times New Roman" w:hAnsi="Times New Roman"/>
          <w:caps w:val="false"/>
          <w:smallCaps w:val="false"/>
          <w:sz w:val="20"/>
        </w:rPr>
        <w:t xml:space="preserve">– The fair value of securities available-for-sale is recorded on a recurring basis. The fair value of investments and mortgage-backed securities is provided by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pricing service. These valuations are based on market data using pricing models that vary by asset class and incorporate available current trade, bid, and other market information, and for structured securities, cash flow, and loan performance data. The pricing processes utilize benchmark curves, benchmarking of similar securities, sector groupings, and matrix pricing. Option adjusted spread models are also used to assess the impact of changes in interest rates and to develop prepayment scenarios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Transfers between the fair value hierarchy are determined by the </w:t>
      </w:r>
      <w:r>
        <w:rPr>
          <w:rStyle w:val="Emphasis"/>
          <w:rFonts w:ascii="Times New Roman" w:hAnsi="Times New Roman"/>
          <w:caps w:val="false"/>
          <w:smallCaps w:val="false"/>
          <w:sz w:val="20"/>
        </w:rPr>
        <w:t>third</w:t>
      </w:r>
      <w:r>
        <w:rPr>
          <w:rFonts w:ascii="Times New Roman" w:hAnsi="Times New Roman"/>
          <w:caps w:val="false"/>
          <w:smallCaps w:val="false"/>
          <w:sz w:val="20"/>
        </w:rPr>
        <w:t>-party service provider, which, from time to time, will transfer securities between levels based on market conditions. All models and processes used consider market convention.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Mortgage Loans Held for Sale</w:t>
      </w:r>
      <w:r>
        <w:rPr>
          <w:rFonts w:ascii="Times New Roman" w:hAnsi="Times New Roman"/>
          <w:caps w:val="false"/>
          <w:smallCaps w:val="false"/>
          <w:sz w:val="20"/>
        </w:rPr>
        <w:t xml:space="preserve"> – The fair value of loans held for sale reflects the value of commitments with investors and/or the relative price as delivered into a TBA mortgage-backed security (Level </w:t>
      </w:r>
      <w:r>
        <w:rPr>
          <w:rStyle w:val="Emphasis"/>
          <w:rFonts w:ascii="Times New Roman" w:hAnsi="Times New Roman"/>
          <w:caps w:val="false"/>
          <w:smallCaps w:val="false"/>
          <w:sz w:val="20"/>
        </w:rPr>
        <w:t>2</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b/>
          <w:i/>
          <w:caps w:val="false"/>
          <w:smallCaps w:val="false"/>
          <w:sz w:val="20"/>
        </w:rPr>
        <w:t>Loans Receivable</w:t>
      </w:r>
      <w:r>
        <w:rPr>
          <w:rFonts w:ascii="Times New Roman" w:hAnsi="Times New Roman"/>
          <w:i/>
          <w:caps w:val="false"/>
          <w:smallCaps w:val="false"/>
          <w:sz w:val="20"/>
        </w:rPr>
        <w:t xml:space="preserve"> </w:t>
      </w:r>
      <w:r>
        <w:rPr>
          <w:rFonts w:ascii="Times New Roman" w:hAnsi="Times New Roman"/>
          <w:caps w:val="false"/>
          <w:smallCaps w:val="false"/>
          <w:sz w:val="20"/>
        </w:rPr>
        <w:t>– Certain residential mortgage loans were initially originated for sale with the fair value option elected; after origination, these loans were transferred to loans held for investment. As of both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there were $13.2 million in residential mortgage loans recorded at fair value as they were previously transferred from held for sale, at fair value to loans held for investment. The aggregate unpaid principal balance of these loans was $13.8 million as of both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Gains and losses from changes in fair value for these loans are reported in earnings as a component of “Other noninterest income” on the Consolidated Statements of Income.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 Company recorded a net increase in fair value of $45,000, as compared to a net increase in fair value of $3,000,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xml:space="preserve">.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recorded a net decrease in fair value of $56,000 and net increase of $266,000, respectively.  For loans originated as held for sale and transferred into loans held for investment, the fair value is determined based on quoted secondary market prices for similar loans (Level </w:t>
      </w:r>
      <w:r>
        <w:rPr>
          <w:rStyle w:val="Emphasis"/>
          <w:rFonts w:ascii="Times New Roman" w:hAnsi="Times New Roman"/>
          <w:caps w:val="false"/>
          <w:smallCaps w:val="false"/>
          <w:sz w:val="20"/>
        </w:rPr>
        <w:t>2</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Derivative Instruments</w:t>
      </w:r>
      <w:r>
        <w:rPr>
          <w:rFonts w:ascii="Times New Roman" w:hAnsi="Times New Roman"/>
          <w:caps w:val="false"/>
          <w:smallCaps w:val="false"/>
          <w:sz w:val="20"/>
        </w:rPr>
        <w:t xml:space="preserve"> – Fair values for derivative assets and liabilities are measured on a recurring basis. The primary use of derivative instruments is related to the mortgage banking activities of the Company. The fair value of the interest rate lock commitments and forward sales commitments is estimated using quoted or published market prices for similar instruments, adjusted for factors such as pull-though rate assumptions based on historical information, where appropriate. TBA mortgage-backed securities are fair valued based on similar contracts in active markets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while locks and forwards with customers and investors are fair valued using similar contracts in the market and changes in market interest rates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and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Derivative instruments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related to mortgage banking activities include interest rate swap agreements. The fair values of interest rate swap agreements are based on valuation models using observable market data as of the measurement date (Level </w:t>
      </w:r>
      <w:r>
        <w:rPr>
          <w:rStyle w:val="Emphasis"/>
          <w:rFonts w:ascii="Times New Roman" w:hAnsi="Times New Roman"/>
          <w:caps w:val="false"/>
          <w:smallCaps w:val="false"/>
          <w:sz w:val="20"/>
        </w:rPr>
        <w:t>2</w:t>
      </w:r>
      <w:r>
        <w:rPr>
          <w:rFonts w:ascii="Times New Roman" w:hAnsi="Times New Roman"/>
          <w:caps w:val="false"/>
          <w:smallCaps w:val="false"/>
          <w:sz w:val="20"/>
        </w:rPr>
        <w:t xml:space="preserve">). The Company’s derivatives are traded in an over-the-counter market where quoted market prices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always available. Therefore, the fair values of derivatives are determined using quantitative models that utilize multiple market inputs. The inputs will vary based on the type of derivative, but could include interest rates, prices, and indices to generate continuous yield or pricing curves, prepayment rates, and volatility factors to value the position. The majority of market inputs are actively quoted and can be validated through external sources, including market transactions and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pricing services. The fair values of all interest rate swaps are determined from </w:t>
      </w:r>
      <w:r>
        <w:rPr>
          <w:rStyle w:val="Emphasis"/>
          <w:rFonts w:ascii="Times New Roman" w:hAnsi="Times New Roman"/>
          <w:caps w:val="false"/>
          <w:smallCaps w:val="false"/>
          <w:sz w:val="20"/>
        </w:rPr>
        <w:t>third</w:t>
      </w:r>
      <w:r>
        <w:rPr>
          <w:rFonts w:ascii="Times New Roman" w:hAnsi="Times New Roman"/>
          <w:caps w:val="false"/>
          <w:smallCaps w:val="false"/>
          <w:sz w:val="20"/>
        </w:rPr>
        <w:t>-party pricing services without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Collateral-Dependent Loans </w:t>
      </w:r>
      <w:r>
        <w:rPr>
          <w:rFonts w:ascii="Times New Roman" w:hAnsi="Times New Roman"/>
          <w:caps w:val="false"/>
          <w:smallCaps w:val="false"/>
          <w:sz w:val="20"/>
        </w:rPr>
        <w:t xml:space="preserve">– Expected credit losses on collateral dependent loans are measured based on the fair value of collateral as of the reporting date, less estimated selling costs, as applicable.  If the fair value of the collateral is less than the amortized cost basis of the loan, the Company will recognize an allowance equal to the difference between the fair value of the collateral, less costs to sell (if applicable), and the amortized cost basis of the loan. If the fair value of the collateral exceeds the amortized cost basis of the loan, any expected recovery added to the amortized cost basis is limited to the amount previously charged off.  Subsequent changes in expected credit losses on collateral-dependent loans are included within the provision for credit losses, either as an additional provision or as a reduction of the provision that would otherwise be reported (Level </w:t>
      </w:r>
      <w:r>
        <w:rPr>
          <w:rStyle w:val="Emphasis"/>
          <w:rFonts w:ascii="Times New Roman" w:hAnsi="Times New Roman"/>
          <w:caps w:val="false"/>
          <w:smallCaps w:val="false"/>
          <w:sz w:val="20"/>
        </w:rPr>
        <w:t>3</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Mortgage Servicing Rights</w:t>
      </w:r>
      <w:r>
        <w:rPr>
          <w:rFonts w:ascii="Times New Roman" w:hAnsi="Times New Roman"/>
          <w:caps w:val="false"/>
          <w:smallCaps w:val="false"/>
          <w:sz w:val="20"/>
        </w:rPr>
        <w:t xml:space="preserve"> – The fair value of MSRs is estimated using net present value of expected cash flows from a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model that incorporates assumptions used in the industry to value such rights, adjusted for factors such as weighted average prepayment speeds based on historical information where appropriate (Level </w:t>
      </w:r>
      <w:r>
        <w:rPr>
          <w:rStyle w:val="Emphasis"/>
          <w:rFonts w:ascii="Times New Roman" w:hAnsi="Times New Roman"/>
          <w:caps w:val="false"/>
          <w:smallCaps w:val="false"/>
          <w:sz w:val="20"/>
        </w:rPr>
        <w:t>3</w:t>
      </w:r>
      <w:r>
        <w:rPr>
          <w:rFonts w:ascii="Times New Roman" w:hAnsi="Times New Roman"/>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present securities available-for-sale, mortgage loans held for sale, loans receivable, at fair value, and derivative assets and liabilities measured at fair value on a recurring basis at the dates indicated:</w:t>
      </w:r>
    </w:p>
    <w:p>
      <w:pPr>
        <w:pStyle w:val="TextBody"/>
        <w:bidi w:val="0"/>
        <w:spacing w:before="0" w:after="0"/>
        <w:ind w:left="0" w:right="0" w:hanging="0"/>
        <w:jc w:val="left"/>
        <w:rPr>
          <w:caps w:val="false"/>
          <w:smallCaps w:val="false"/>
        </w:rPr>
      </w:pPr>
      <w:r>
        <w:rPr>
          <w:caps w:val="false"/>
          <w:smallCaps w:val="false"/>
        </w:rPr>
        <w:t> </w:t>
      </w:r>
    </w:p>
    <w:tbl>
      <w:tblPr>
        <w:tblW w:w="7336" w:type="dxa"/>
        <w:jc w:val="left"/>
        <w:tblInd w:w="0" w:type="dxa"/>
        <w:tblLayout w:type="fixed"/>
        <w:tblCellMar>
          <w:top w:w="0" w:type="dxa"/>
          <w:left w:w="0" w:type="dxa"/>
          <w:bottom w:w="0" w:type="dxa"/>
          <w:right w:w="0" w:type="dxa"/>
        </w:tblCellMar>
      </w:tblPr>
      <w:tblGrid>
        <w:gridCol w:w="4520"/>
        <w:gridCol w:w="23"/>
        <w:gridCol w:w="160"/>
        <w:gridCol w:w="384"/>
        <w:gridCol w:w="23"/>
        <w:gridCol w:w="23"/>
        <w:gridCol w:w="110"/>
        <w:gridCol w:w="605"/>
        <w:gridCol w:w="80"/>
        <w:gridCol w:w="23"/>
        <w:gridCol w:w="148"/>
        <w:gridCol w:w="396"/>
        <w:gridCol w:w="23"/>
        <w:gridCol w:w="23"/>
        <w:gridCol w:w="110"/>
        <w:gridCol w:w="605"/>
        <w:gridCol w:w="80"/>
      </w:tblGrid>
      <w:tr>
        <w:trPr/>
        <w:tc>
          <w:tcPr>
            <w:tcW w:w="4520" w:type="dxa"/>
            <w:tcBorders/>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Financial Assets</w:t>
            </w:r>
          </w:p>
        </w:tc>
        <w:tc>
          <w:tcPr>
            <w:tcW w:w="23" w:type="dxa"/>
            <w:tcBorders/>
            <w:vAlign w:val="center"/>
          </w:tcPr>
          <w:p>
            <w:pPr>
              <w:pStyle w:val="TableContents"/>
              <w:bidi w:val="0"/>
              <w:spacing w:before="0" w:after="0"/>
              <w:ind w:left="0" w:right="0" w:hanging="0"/>
              <w:jc w:val="left"/>
              <w:rPr/>
            </w:pPr>
            <w:r>
              <w:rPr/>
              <w:t>​</w:t>
            </w:r>
          </w:p>
        </w:tc>
        <w:tc>
          <w:tcPr>
            <w:tcW w:w="271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At June 30, 2026</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52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Securities available-for-sale:</w:t>
            </w:r>
          </w:p>
        </w:tc>
        <w:tc>
          <w:tcPr>
            <w:tcW w:w="23" w:type="dxa"/>
            <w:tcBorders/>
            <w:vAlign w:val="center"/>
          </w:tcPr>
          <w:p>
            <w:pPr>
              <w:pStyle w:val="TableContents"/>
              <w:bidi w:val="0"/>
              <w:spacing w:before="0" w:after="0"/>
              <w:ind w:left="0" w:right="0" w:hanging="0"/>
              <w:jc w:val="left"/>
              <w:rPr/>
            </w:pPr>
            <w:r>
              <w:rPr/>
              <w:t>​</w:t>
            </w:r>
          </w:p>
        </w:tc>
        <w:tc>
          <w:tcPr>
            <w:tcW w:w="5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Level 1</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Level 2</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5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Level 3</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Total</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5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U.S. agency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38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18,032</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39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18,032</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Corporate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38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15,498</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39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15,498</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5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Municipal bonds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70,120</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70,120</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Mortgage-backed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38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156,758</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39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156,758</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52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Asset-backed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9,052</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9,052</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5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Mortgage loans held for sale, at fair value</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38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30,548</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39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30,548</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5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Loans receivable, at fair value</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13,159</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13,159</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5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Derivatives: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384"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396"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52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Mandatory and best effort forward commitments with investors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Interest rate lock commitments with customers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38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396"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616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616</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520" w:type="dxa"/>
            <w:tcBorders/>
            <w:shd w:fill="CCEEFF" w:val="clear"/>
            <w:vAlign w:val="center"/>
          </w:tcPr>
          <w:p>
            <w:pPr>
              <w:pStyle w:val="TableContents"/>
              <w:bidi w:val="0"/>
              <w:spacing w:before="0" w:after="0"/>
              <w:ind w:left="0" w:right="0" w:firstLine="180"/>
              <w:jc w:val="left"/>
              <w:rPr>
                <w:rFonts w:ascii="Times New Roman" w:hAnsi="Times New Roman"/>
                <w:sz w:val="18"/>
              </w:rPr>
            </w:pPr>
            <w:r>
              <w:rPr>
                <w:rFonts w:ascii="Times New Roman" w:hAnsi="Times New Roman"/>
                <w:sz w:val="18"/>
              </w:rPr>
              <w:t>Interest rate swaps - cash flow and fair value hedges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4,362</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4,362</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Interest rate swaps - dealer offsets to customer swap positions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3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3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52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Total assets measured at fair value</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3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317,578</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3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623</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318,201</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52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Financial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384"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396"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5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Derivatives: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52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Interest rate swaps - customer swap positions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38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39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4520" w:type="dxa"/>
            <w:tcBorders/>
            <w:shd w:fill="CCEEFF" w:val="clear"/>
            <w:vAlign w:val="center"/>
          </w:tcPr>
          <w:p>
            <w:pPr>
              <w:pStyle w:val="TableContents"/>
              <w:bidi w:val="0"/>
              <w:spacing w:before="0" w:after="0"/>
              <w:ind w:left="0" w:right="0" w:firstLine="180"/>
              <w:jc w:val="left"/>
              <w:rPr>
                <w:rFonts w:ascii="Times New Roman" w:hAnsi="Times New Roman"/>
                <w:sz w:val="18"/>
              </w:rPr>
            </w:pPr>
            <w:r>
              <w:rPr>
                <w:rFonts w:ascii="Times New Roman" w:hAnsi="Times New Roman"/>
                <w:sz w:val="18"/>
              </w:rPr>
              <w:t>Forward TBA mortgage-backed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8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452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Total liabilities measured at fair value</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38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(88</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396"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(88</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jc w:val="left"/>
        <w:rPr/>
      </w:pPr>
      <w:r>
        <w:rPr/>
        <w:t xml:space="preserve">  </w:t>
      </w:r>
    </w:p>
    <w:tbl>
      <w:tblPr>
        <w:tblW w:w="7516" w:type="dxa"/>
        <w:jc w:val="left"/>
        <w:tblInd w:w="0" w:type="dxa"/>
        <w:tblLayout w:type="fixed"/>
        <w:tblCellMar>
          <w:top w:w="0" w:type="dxa"/>
          <w:left w:w="0" w:type="dxa"/>
          <w:bottom w:w="0" w:type="dxa"/>
          <w:right w:w="0" w:type="dxa"/>
        </w:tblCellMar>
      </w:tblPr>
      <w:tblGrid>
        <w:gridCol w:w="4700"/>
        <w:gridCol w:w="23"/>
        <w:gridCol w:w="160"/>
        <w:gridCol w:w="384"/>
        <w:gridCol w:w="23"/>
        <w:gridCol w:w="23"/>
        <w:gridCol w:w="110"/>
        <w:gridCol w:w="605"/>
        <w:gridCol w:w="80"/>
        <w:gridCol w:w="23"/>
        <w:gridCol w:w="148"/>
        <w:gridCol w:w="396"/>
        <w:gridCol w:w="23"/>
        <w:gridCol w:w="23"/>
        <w:gridCol w:w="110"/>
        <w:gridCol w:w="605"/>
        <w:gridCol w:w="80"/>
      </w:tblGrid>
      <w:tr>
        <w:trPr/>
        <w:tc>
          <w:tcPr>
            <w:tcW w:w="4700" w:type="dxa"/>
            <w:tcBorders/>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Financial Assets</w:t>
            </w:r>
          </w:p>
        </w:tc>
        <w:tc>
          <w:tcPr>
            <w:tcW w:w="23" w:type="dxa"/>
            <w:tcBorders/>
            <w:vAlign w:val="center"/>
          </w:tcPr>
          <w:p>
            <w:pPr>
              <w:pStyle w:val="TableContents"/>
              <w:bidi w:val="0"/>
              <w:spacing w:before="0" w:after="0"/>
              <w:ind w:left="0" w:right="0" w:hanging="0"/>
              <w:jc w:val="left"/>
              <w:rPr/>
            </w:pPr>
            <w:r>
              <w:rPr/>
              <w:t>​</w:t>
            </w:r>
          </w:p>
        </w:tc>
        <w:tc>
          <w:tcPr>
            <w:tcW w:w="271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At December 31, 2025</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700" w:type="dxa"/>
            <w:tcBorders/>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Securities available-for-sale:</w:t>
            </w:r>
          </w:p>
        </w:tc>
        <w:tc>
          <w:tcPr>
            <w:tcW w:w="23" w:type="dxa"/>
            <w:tcBorders/>
            <w:vAlign w:val="center"/>
          </w:tcPr>
          <w:p>
            <w:pPr>
              <w:pStyle w:val="TableContents"/>
              <w:bidi w:val="0"/>
              <w:spacing w:before="0" w:after="0"/>
              <w:ind w:left="0" w:right="0" w:hanging="0"/>
              <w:jc w:val="left"/>
              <w:rPr/>
            </w:pPr>
            <w:r>
              <w:rPr/>
              <w:t>​</w:t>
            </w:r>
          </w:p>
        </w:tc>
        <w:tc>
          <w:tcPr>
            <w:tcW w:w="5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Level 1</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Level 2</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5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Level 3</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8"/>
              </w:rPr>
            </w:pPr>
            <w:r>
              <w:rPr>
                <w:rFonts w:ascii="Times New Roman" w:hAnsi="Times New Roman"/>
                <w:caps w:val="false"/>
                <w:smallCaps w:val="false"/>
                <w:sz w:val="18"/>
              </w:rPr>
              <w:t>Total</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7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U.S. agency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38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18,127</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39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18,127</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7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Corporate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38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15,386</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39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15,386</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7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Municipal bonds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71,405</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71,405</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7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Mortgage-backed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38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173,567</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39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173,567</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7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Asset-backed securities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10,182</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10,182</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7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Mortgage loans held for sale, at fair value</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38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43,705</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39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43,705</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Loans receivable, at fair value</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13,183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13,183</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7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Derivatives: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384"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396"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700" w:type="dxa"/>
            <w:tcBorders/>
            <w:shd w:fill="CCEEFF" w:val="clear"/>
            <w:vAlign w:val="center"/>
          </w:tcPr>
          <w:p>
            <w:pPr>
              <w:pStyle w:val="TableContents"/>
              <w:bidi w:val="0"/>
              <w:spacing w:before="0" w:after="0"/>
              <w:ind w:left="0" w:right="0" w:firstLine="180"/>
              <w:jc w:val="left"/>
              <w:rPr>
                <w:rFonts w:ascii="Times New Roman" w:hAnsi="Times New Roman"/>
                <w:sz w:val="18"/>
              </w:rPr>
            </w:pPr>
            <w:r>
              <w:rPr>
                <w:rFonts w:ascii="Times New Roman" w:hAnsi="Times New Roman"/>
                <w:sz w:val="18"/>
              </w:rPr>
              <w:t>Mandatory and best effort forward commitments with investors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7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Interest rate lock commitments with customers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38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396"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241</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7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Interest rate swaps- cash flow and fair value hedges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1,894</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1,894</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7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Interest rate swaps - dealer offsets to customer swap positions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3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3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7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Total assets measured at fair value</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3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347,485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3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249</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347,734</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7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Financial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384"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396"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7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Derivatives: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384"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396"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pPr>
            <w:r>
              <w:rPr/>
              <w:t>​</w:t>
            </w:r>
          </w:p>
        </w:tc>
        <w:tc>
          <w:tcPr>
            <w:tcW w:w="605"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700" w:type="dxa"/>
            <w:tcBorders/>
            <w:shd w:fill="FFFFFF" w:val="clear"/>
            <w:vAlign w:val="center"/>
          </w:tcPr>
          <w:p>
            <w:pPr>
              <w:pStyle w:val="TableContents"/>
              <w:bidi w:val="0"/>
              <w:spacing w:before="0" w:after="0"/>
              <w:ind w:left="0" w:right="0" w:firstLine="180"/>
              <w:jc w:val="left"/>
              <w:rPr>
                <w:rFonts w:ascii="Times New Roman" w:hAnsi="Times New Roman"/>
                <w:sz w:val="18"/>
              </w:rPr>
            </w:pPr>
            <w:r>
              <w:rPr>
                <w:rFonts w:ascii="Times New Roman" w:hAnsi="Times New Roman"/>
                <w:sz w:val="18"/>
              </w:rPr>
              <w:t>Interest rate swaps - cash flow and fair value hedges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38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396"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shd w:fill="FFFFFF" w:val="clear"/>
            <w:vAlign w:val="center"/>
          </w:tcPr>
          <w:p>
            <w:pPr>
              <w:pStyle w:val="TableContents"/>
              <w:bidi w:val="0"/>
              <w:spacing w:before="0" w:after="0"/>
              <w:ind w:left="0" w:right="0" w:hanging="0"/>
              <w:jc w:val="left"/>
              <w:rPr/>
            </w:pPr>
            <w:r>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470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18"/>
              </w:rPr>
            </w:pPr>
            <w:r>
              <w:rPr>
                <w:rFonts w:ascii="Times New Roman" w:hAnsi="Times New Roman"/>
                <w:caps w:val="false"/>
                <w:smallCaps w:val="false"/>
                <w:sz w:val="18"/>
              </w:rPr>
              <w:t>Interest rate swaps - customer swap positions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38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(656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396"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(656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4700" w:type="dxa"/>
            <w:tcBorders/>
            <w:shd w:fill="FFFFFF" w:val="clear"/>
            <w:vAlign w:val="center"/>
          </w:tcPr>
          <w:p>
            <w:pPr>
              <w:pStyle w:val="TableContents"/>
              <w:bidi w:val="0"/>
              <w:spacing w:before="0" w:after="0"/>
              <w:ind w:left="0" w:right="0" w:firstLine="180"/>
              <w:jc w:val="left"/>
              <w:rPr>
                <w:rFonts w:ascii="Times New Roman" w:hAnsi="Times New Roman"/>
                <w:sz w:val="18"/>
              </w:rPr>
            </w:pPr>
            <w:r>
              <w:rPr>
                <w:rFonts w:ascii="Times New Roman" w:hAnsi="Times New Roman"/>
                <w:sz w:val="18"/>
              </w:rPr>
              <w:t>Forward TBA mortgage-backed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3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39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47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Total liabilities measured at fair value</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3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(838</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3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(838</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tables present financial assets measured at fair value on a nonrecurring basis and the level within the fair value hierarchy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assets recorded at fair value on a nonrecurring basis included loans for which a partial charge-off was recorded based on the estimated fair value of the underlying collateral.</w:t>
      </w:r>
    </w:p>
    <w:p>
      <w:pPr>
        <w:pStyle w:val="TextBody"/>
        <w:bidi w:val="0"/>
        <w:spacing w:before="0" w:after="0"/>
        <w:ind w:left="0" w:right="0" w:hanging="0"/>
        <w:jc w:val="both"/>
        <w:rPr>
          <w:caps w:val="false"/>
          <w:smallCaps w:val="false"/>
        </w:rPr>
      </w:pPr>
      <w:r>
        <w:rPr>
          <w:caps w:val="false"/>
          <w:smallCaps w:val="false"/>
        </w:rPr>
        <w:t> </w:t>
      </w:r>
    </w:p>
    <w:tbl>
      <w:tblPr>
        <w:tblW w:w="5092" w:type="dxa"/>
        <w:jc w:val="left"/>
        <w:tblInd w:w="0" w:type="dxa"/>
        <w:tblLayout w:type="fixed"/>
        <w:tblCellMar>
          <w:top w:w="0" w:type="dxa"/>
          <w:left w:w="0" w:type="dxa"/>
          <w:bottom w:w="0" w:type="dxa"/>
          <w:right w:w="0" w:type="dxa"/>
        </w:tblCellMar>
      </w:tblPr>
      <w:tblGrid>
        <w:gridCol w:w="2210"/>
        <w:gridCol w:w="23"/>
        <w:gridCol w:w="205"/>
        <w:gridCol w:w="429"/>
        <w:gridCol w:w="23"/>
        <w:gridCol w:w="23"/>
        <w:gridCol w:w="205"/>
        <w:gridCol w:w="429"/>
        <w:gridCol w:w="23"/>
        <w:gridCol w:w="23"/>
        <w:gridCol w:w="125"/>
        <w:gridCol w:w="590"/>
        <w:gridCol w:w="23"/>
        <w:gridCol w:w="23"/>
        <w:gridCol w:w="125"/>
        <w:gridCol w:w="590"/>
        <w:gridCol w:w="23"/>
      </w:tblGrid>
      <w:tr>
        <w:trPr/>
        <w:tc>
          <w:tcPr>
            <w:tcW w:w="221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3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2026</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1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Level 1</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Level 2</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Level 3</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Collateral dependent loans</w:t>
            </w:r>
          </w:p>
        </w:tc>
        <w:tc>
          <w:tcPr>
            <w:tcW w:w="23"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29"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29"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7,164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7,164</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MSRs</w:t>
            </w:r>
          </w:p>
        </w:tc>
        <w:tc>
          <w:tcPr>
            <w:tcW w:w="23" w:type="dxa"/>
            <w:tcBorders/>
            <w:shd w:fill="FFFFFF" w:val="clear"/>
            <w:vAlign w:val="center"/>
          </w:tcPr>
          <w:p>
            <w:pPr>
              <w:pStyle w:val="TableContents"/>
              <w:bidi w:val="0"/>
              <w:spacing w:before="0" w:after="0"/>
              <w:ind w:left="0" w:right="0" w:hanging="0"/>
              <w:jc w:val="left"/>
              <w:rPr/>
            </w:pPr>
            <w:r>
              <w:rPr/>
              <w:t>​</w:t>
            </w:r>
          </w:p>
        </w:tc>
        <w:tc>
          <w:tcPr>
            <w:tcW w:w="205" w:type="dxa"/>
            <w:tcBorders/>
            <w:shd w:fill="FFFFFF" w:val="clear"/>
            <w:vAlign w:val="center"/>
          </w:tcPr>
          <w:p>
            <w:pPr>
              <w:pStyle w:val="TableContents"/>
              <w:bidi w:val="0"/>
              <w:spacing w:before="0" w:after="0"/>
              <w:ind w:left="0" w:right="0" w:hanging="0"/>
              <w:jc w:val="left"/>
              <w:rPr/>
            </w:pPr>
            <w:r>
              <w:rPr/>
              <w:t>​</w:t>
            </w:r>
          </w:p>
        </w:tc>
        <w:tc>
          <w:tcPr>
            <w:tcW w:w="429"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5" w:type="dxa"/>
            <w:tcBorders/>
            <w:shd w:fill="FFFFFF" w:val="clear"/>
            <w:vAlign w:val="center"/>
          </w:tcPr>
          <w:p>
            <w:pPr>
              <w:pStyle w:val="TableContents"/>
              <w:bidi w:val="0"/>
              <w:spacing w:before="0" w:after="0"/>
              <w:ind w:left="0" w:right="0" w:hanging="0"/>
              <w:jc w:val="left"/>
              <w:rPr/>
            </w:pPr>
            <w:r>
              <w:rPr/>
              <w:t>​</w:t>
            </w:r>
          </w:p>
        </w:tc>
        <w:tc>
          <w:tcPr>
            <w:tcW w:w="429"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23,202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23,202</w:t>
            </w:r>
          </w:p>
        </w:tc>
        <w:tc>
          <w:tcPr>
            <w:tcW w:w="23"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5092" w:type="dxa"/>
        <w:jc w:val="left"/>
        <w:tblInd w:w="0" w:type="dxa"/>
        <w:tblLayout w:type="fixed"/>
        <w:tblCellMar>
          <w:top w:w="0" w:type="dxa"/>
          <w:left w:w="0" w:type="dxa"/>
          <w:bottom w:w="0" w:type="dxa"/>
          <w:right w:w="0" w:type="dxa"/>
        </w:tblCellMar>
      </w:tblPr>
      <w:tblGrid>
        <w:gridCol w:w="2210"/>
        <w:gridCol w:w="23"/>
        <w:gridCol w:w="205"/>
        <w:gridCol w:w="429"/>
        <w:gridCol w:w="23"/>
        <w:gridCol w:w="23"/>
        <w:gridCol w:w="205"/>
        <w:gridCol w:w="429"/>
        <w:gridCol w:w="23"/>
        <w:gridCol w:w="23"/>
        <w:gridCol w:w="125"/>
        <w:gridCol w:w="590"/>
        <w:gridCol w:w="23"/>
        <w:gridCol w:w="23"/>
        <w:gridCol w:w="125"/>
        <w:gridCol w:w="590"/>
        <w:gridCol w:w="23"/>
      </w:tblGrid>
      <w:tr>
        <w:trPr/>
        <w:tc>
          <w:tcPr>
            <w:tcW w:w="221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3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1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Level 1</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Level 2</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Level 3</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21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Collateral dependent loans</w:t>
            </w:r>
          </w:p>
        </w:tc>
        <w:tc>
          <w:tcPr>
            <w:tcW w:w="23"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29"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29"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9,236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9,236</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21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MSRs</w:t>
            </w:r>
          </w:p>
        </w:tc>
        <w:tc>
          <w:tcPr>
            <w:tcW w:w="23" w:type="dxa"/>
            <w:tcBorders/>
            <w:shd w:fill="FFFFFF" w:val="clear"/>
            <w:vAlign w:val="center"/>
          </w:tcPr>
          <w:p>
            <w:pPr>
              <w:pStyle w:val="TableContents"/>
              <w:bidi w:val="0"/>
              <w:spacing w:before="0" w:after="0"/>
              <w:ind w:left="0" w:right="0" w:hanging="0"/>
              <w:jc w:val="left"/>
              <w:rPr/>
            </w:pPr>
            <w:r>
              <w:rPr/>
              <w:t>​</w:t>
            </w:r>
          </w:p>
        </w:tc>
        <w:tc>
          <w:tcPr>
            <w:tcW w:w="205" w:type="dxa"/>
            <w:tcBorders/>
            <w:shd w:fill="FFFFFF" w:val="clear"/>
            <w:vAlign w:val="center"/>
          </w:tcPr>
          <w:p>
            <w:pPr>
              <w:pStyle w:val="TableContents"/>
              <w:bidi w:val="0"/>
              <w:spacing w:before="0" w:after="0"/>
              <w:ind w:left="0" w:right="0" w:hanging="0"/>
              <w:jc w:val="left"/>
              <w:rPr/>
            </w:pPr>
            <w:r>
              <w:rPr/>
              <w:t>​</w:t>
            </w:r>
          </w:p>
        </w:tc>
        <w:tc>
          <w:tcPr>
            <w:tcW w:w="429"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05" w:type="dxa"/>
            <w:tcBorders/>
            <w:shd w:fill="FFFFFF" w:val="clear"/>
            <w:vAlign w:val="center"/>
          </w:tcPr>
          <w:p>
            <w:pPr>
              <w:pStyle w:val="TableContents"/>
              <w:bidi w:val="0"/>
              <w:spacing w:before="0" w:after="0"/>
              <w:ind w:left="0" w:right="0" w:hanging="0"/>
              <w:jc w:val="left"/>
              <w:rPr/>
            </w:pPr>
            <w:r>
              <w:rPr/>
              <w:t>​</w:t>
            </w:r>
          </w:p>
        </w:tc>
        <w:tc>
          <w:tcPr>
            <w:tcW w:w="429"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21,800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5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21,800</w:t>
            </w:r>
          </w:p>
        </w:tc>
        <w:tc>
          <w:tcPr>
            <w:tcW w:w="23"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b/>
          <w:i/>
          <w:caps w:val="false"/>
          <w:smallCaps w:val="false"/>
          <w:sz w:val="20"/>
        </w:rPr>
        <w:t xml:space="preserve">Quantitative Information about Level </w:t>
      </w:r>
      <w:r>
        <w:rPr>
          <w:rStyle w:val="Emphasis"/>
          <w:rFonts w:ascii="Times New Roman" w:hAnsi="Times New Roman"/>
          <w:b/>
          <w:i/>
          <w:caps w:val="false"/>
          <w:smallCaps w:val="false"/>
          <w:sz w:val="20"/>
        </w:rPr>
        <w:t>3</w:t>
      </w:r>
      <w:r>
        <w:rPr>
          <w:rFonts w:ascii="Times New Roman" w:hAnsi="Times New Roman"/>
          <w:b/>
          <w:i/>
          <w:caps w:val="false"/>
          <w:smallCaps w:val="false"/>
          <w:sz w:val="20"/>
        </w:rPr>
        <w:t xml:space="preserve"> Fair Value Measurements</w:t>
      </w:r>
      <w:r>
        <w:rPr>
          <w:rFonts w:ascii="Times New Roman" w:hAnsi="Times New Roman"/>
          <w:caps w:val="false"/>
          <w:smallCaps w:val="false"/>
          <w:sz w:val="20"/>
        </w:rPr>
        <w:t xml:space="preserve"> – Shown in the table below is the fair value of financial instruments measured under a Level </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unobservable input on a recurring and nonrecurring basis at the dates indicated:</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900"/>
        <w:gridCol w:w="1907"/>
        <w:gridCol w:w="2346"/>
        <w:gridCol w:w="60"/>
        <w:gridCol w:w="60"/>
        <w:gridCol w:w="700"/>
        <w:gridCol w:w="60"/>
        <w:gridCol w:w="60"/>
        <w:gridCol w:w="82"/>
        <w:gridCol w:w="525"/>
        <w:gridCol w:w="255"/>
        <w:gridCol w:w="82"/>
        <w:gridCol w:w="132"/>
        <w:gridCol w:w="845"/>
        <w:gridCol w:w="191"/>
      </w:tblGrid>
      <w:tr>
        <w:trPr/>
        <w:tc>
          <w:tcPr>
            <w:tcW w:w="29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Level 3</w:t>
            </w:r>
          </w:p>
        </w:tc>
        <w:tc>
          <w:tcPr>
            <w:tcW w:w="1907" w:type="dxa"/>
            <w:tcBorders/>
            <w:shd w:fill="FFFFFF" w:val="clear"/>
            <w:vAlign w:val="center"/>
          </w:tcPr>
          <w:p>
            <w:pPr>
              <w:pStyle w:val="TableContents"/>
              <w:bidi w:val="0"/>
              <w:spacing w:before="0" w:after="0"/>
              <w:ind w:left="0" w:right="0" w:hanging="0"/>
              <w:jc w:val="left"/>
              <w:rPr/>
            </w:pPr>
            <w:r>
              <w:rPr>
                <w:rStyle w:val="Emphasis"/>
              </w:rPr>
              <w:t> </w:t>
            </w:r>
          </w:p>
        </w:tc>
        <w:tc>
          <w:tcPr>
            <w:tcW w:w="2346"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Significant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rStyle w:val="Emphasis"/>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92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Weighted Average Input</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9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Fair Value</w:t>
            </w:r>
          </w:p>
        </w:tc>
        <w:tc>
          <w:tcPr>
            <w:tcW w:w="1907"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Valuation</w:t>
            </w:r>
          </w:p>
        </w:tc>
        <w:tc>
          <w:tcPr>
            <w:tcW w:w="2346" w:type="dxa"/>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Unobservable</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00"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June 30,</w:t>
            </w:r>
          </w:p>
        </w:tc>
        <w:tc>
          <w:tcPr>
            <w:tcW w:w="255"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c>
          <w:tcPr>
            <w:tcW w:w="977"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December 31,</w:t>
            </w:r>
          </w:p>
        </w:tc>
        <w:tc>
          <w:tcPr>
            <w:tcW w:w="191" w:type="dxa"/>
            <w:tcBorders/>
            <w:shd w:fill="FFFFFF" w:val="clear"/>
            <w:vAlign w:val="center"/>
          </w:tcPr>
          <w:p>
            <w:pPr>
              <w:pStyle w:val="TableContents"/>
              <w:bidi w:val="0"/>
              <w:spacing w:before="0" w:after="0"/>
              <w:ind w:left="0" w:right="0" w:hanging="0"/>
              <w:jc w:val="left"/>
              <w:rPr/>
            </w:pPr>
            <w:r>
              <w:rPr/>
              <w:t> </w:t>
            </w:r>
          </w:p>
        </w:tc>
      </w:tr>
      <w:tr>
        <w:trPr/>
        <w:tc>
          <w:tcPr>
            <w:tcW w:w="29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Instruments</w:t>
            </w:r>
          </w:p>
        </w:tc>
        <w:tc>
          <w:tcPr>
            <w:tcW w:w="1907"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Techniques</w:t>
            </w:r>
          </w:p>
        </w:tc>
        <w:tc>
          <w:tcPr>
            <w:tcW w:w="2346"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Inputs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Range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2026</w:t>
            </w:r>
          </w:p>
        </w:tc>
        <w:tc>
          <w:tcPr>
            <w:tcW w:w="2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29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RECURRING</w:t>
            </w:r>
          </w:p>
        </w:tc>
        <w:tc>
          <w:tcPr>
            <w:tcW w:w="1907" w:type="dxa"/>
            <w:tcBorders/>
            <w:shd w:fill="CCEEFF" w:val="clear"/>
            <w:vAlign w:val="center"/>
          </w:tcPr>
          <w:p>
            <w:pPr>
              <w:pStyle w:val="TableContents"/>
              <w:bidi w:val="0"/>
              <w:spacing w:before="0" w:after="0"/>
              <w:ind w:left="0" w:right="0" w:hanging="0"/>
              <w:jc w:val="left"/>
              <w:rPr/>
            </w:pPr>
            <w:r>
              <w:rPr/>
              <w:t> </w:t>
            </w:r>
          </w:p>
        </w:tc>
        <w:tc>
          <w:tcPr>
            <w:tcW w:w="2346"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 </w:t>
            </w:r>
          </w:p>
        </w:tc>
        <w:tc>
          <w:tcPr>
            <w:tcW w:w="525" w:type="dxa"/>
            <w:tcBorders/>
            <w:shd w:fill="CCEEFF" w:val="clear"/>
            <w:vAlign w:val="center"/>
          </w:tcPr>
          <w:p>
            <w:pPr>
              <w:pStyle w:val="TableContents"/>
              <w:bidi w:val="0"/>
              <w:spacing w:before="0" w:after="0"/>
              <w:ind w:left="0" w:right="0" w:hanging="0"/>
              <w:jc w:val="left"/>
              <w:rPr/>
            </w:pPr>
            <w:r>
              <w:rPr/>
              <w:t> </w:t>
            </w:r>
          </w:p>
        </w:tc>
        <w:tc>
          <w:tcPr>
            <w:tcW w:w="255" w:type="dxa"/>
            <w:tcBorders/>
            <w:shd w:fill="CCEEFF" w:val="clear"/>
            <w:vAlign w:val="center"/>
          </w:tcPr>
          <w:p>
            <w:pPr>
              <w:pStyle w:val="TableContents"/>
              <w:bidi w:val="0"/>
              <w:spacing w:before="0" w:after="0"/>
              <w:ind w:left="0" w:right="0" w:hanging="0"/>
              <w:jc w:val="left"/>
              <w:rPr/>
            </w:pPr>
            <w:r>
              <w:rPr/>
              <w:t>​</w:t>
            </w:r>
          </w:p>
        </w:tc>
        <w:tc>
          <w:tcPr>
            <w:tcW w:w="82"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lock commitments with customers</w:t>
            </w:r>
          </w:p>
        </w:tc>
        <w:tc>
          <w:tcPr>
            <w:tcW w:w="1907"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Quoted market prices</w:t>
            </w:r>
          </w:p>
        </w:tc>
        <w:tc>
          <w:tcPr>
            <w:tcW w:w="2346"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Pull-through expectations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0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 - 99%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c>
          <w:tcPr>
            <w:tcW w:w="5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94.0</w:t>
            </w:r>
          </w:p>
        </w:tc>
        <w:tc>
          <w:tcPr>
            <w:tcW w:w="2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93.7</w:t>
            </w:r>
          </w:p>
        </w:tc>
        <w:tc>
          <w:tcPr>
            <w:tcW w:w="1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Individual forward sale commitments with investors</w:t>
            </w:r>
          </w:p>
        </w:tc>
        <w:tc>
          <w:tcPr>
            <w:tcW w:w="1907"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Quoted market prices</w:t>
            </w:r>
          </w:p>
        </w:tc>
        <w:tc>
          <w:tcPr>
            <w:tcW w:w="2346"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Pull-through expectations</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 - 99%</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 </w:t>
            </w:r>
          </w:p>
        </w:tc>
        <w:tc>
          <w:tcPr>
            <w:tcW w:w="5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94.0</w:t>
            </w:r>
          </w:p>
        </w:tc>
        <w:tc>
          <w:tcPr>
            <w:tcW w:w="2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93.7</w:t>
            </w:r>
          </w:p>
        </w:tc>
        <w:tc>
          <w:tcPr>
            <w:tcW w:w="1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NONRECURRING</w:t>
            </w:r>
          </w:p>
        </w:tc>
        <w:tc>
          <w:tcPr>
            <w:tcW w:w="1907" w:type="dxa"/>
            <w:tcBorders/>
            <w:shd w:fill="FFFFFF" w:val="clear"/>
            <w:vAlign w:val="center"/>
          </w:tcPr>
          <w:p>
            <w:pPr>
              <w:pStyle w:val="TableContents"/>
              <w:bidi w:val="0"/>
              <w:spacing w:before="0" w:after="0"/>
              <w:ind w:left="0" w:right="0" w:hanging="0"/>
              <w:jc w:val="left"/>
              <w:rPr/>
            </w:pPr>
            <w:r>
              <w:rPr/>
              <w:t> </w:t>
            </w:r>
          </w:p>
        </w:tc>
        <w:tc>
          <w:tcPr>
            <w:tcW w:w="234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2" w:type="dxa"/>
            <w:tcBorders/>
            <w:shd w:fill="FFFFFF" w:val="clear"/>
            <w:vAlign w:val="center"/>
          </w:tcPr>
          <w:p>
            <w:pPr>
              <w:pStyle w:val="TableContents"/>
              <w:bidi w:val="0"/>
              <w:spacing w:before="0" w:after="0"/>
              <w:ind w:left="0" w:right="0" w:hanging="0"/>
              <w:jc w:val="left"/>
              <w:rPr/>
            </w:pPr>
            <w:r>
              <w:rPr/>
              <w:t> </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9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29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Collateral dependent loans</w:t>
            </w:r>
          </w:p>
        </w:tc>
        <w:tc>
          <w:tcPr>
            <w:tcW w:w="1907"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sz w:val="20"/>
              </w:rPr>
              <w:t>Fair value of underlying collateral</w:t>
            </w:r>
          </w:p>
        </w:tc>
        <w:tc>
          <w:tcPr>
            <w:tcW w:w="2346" w:type="dxa"/>
            <w:tcBorders/>
            <w:shd w:fill="CCEEFF" w:val="clear"/>
            <w:vAlign w:val="center"/>
          </w:tcPr>
          <w:p>
            <w:pPr>
              <w:pStyle w:val="TableContents"/>
              <w:bidi w:val="0"/>
              <w:spacing w:before="0" w:after="0"/>
              <w:ind w:left="0" w:right="0" w:hanging="0"/>
              <w:jc w:val="left"/>
              <w:rPr/>
            </w:pPr>
            <w:r>
              <w:rPr>
                <w:rStyle w:val="Emphasis"/>
                <w:rFonts w:ascii="Times New Roman" w:hAnsi="Times New Roman"/>
                <w:sz w:val="20"/>
              </w:rPr>
              <w:t>Discount applied to the obtained appraisal</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0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 - 25%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 </w:t>
            </w:r>
          </w:p>
        </w:tc>
        <w:tc>
          <w:tcPr>
            <w:tcW w:w="52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w:t>
            </w:r>
          </w:p>
        </w:tc>
        <w:tc>
          <w:tcPr>
            <w:tcW w:w="25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2" w:type="dxa"/>
            <w:tcBorders/>
            <w:shd w:fill="CCEEFF" w:val="clear"/>
            <w:vAlign w:val="center"/>
          </w:tcPr>
          <w:p>
            <w:pPr>
              <w:pStyle w:val="TableContents"/>
              <w:bidi w:val="0"/>
              <w:spacing w:before="0" w:after="0"/>
              <w:ind w:left="0" w:right="0" w:hanging="0"/>
              <w:jc w:val="left"/>
              <w:rPr/>
            </w:pPr>
            <w:r>
              <w:rPr/>
              <w:t> </w:t>
            </w:r>
          </w:p>
        </w:tc>
        <w:tc>
          <w:tcPr>
            <w:tcW w:w="132"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0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MSRs</w:t>
            </w:r>
          </w:p>
        </w:tc>
        <w:tc>
          <w:tcPr>
            <w:tcW w:w="1907"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Industry sources</w:t>
            </w:r>
          </w:p>
        </w:tc>
        <w:tc>
          <w:tcPr>
            <w:tcW w:w="2346" w:type="dxa"/>
            <w:tcBorders/>
            <w:shd w:fill="FFFFFF" w:val="clear"/>
            <w:vAlign w:val="center"/>
          </w:tcPr>
          <w:p>
            <w:pPr>
              <w:pStyle w:val="TableContents"/>
              <w:bidi w:val="0"/>
              <w:spacing w:before="0" w:after="0"/>
              <w:ind w:left="0" w:right="0" w:hanging="0"/>
              <w:jc w:val="left"/>
              <w:rPr/>
            </w:pPr>
            <w:r>
              <w:rPr>
                <w:rStyle w:val="Emphasis"/>
                <w:rFonts w:ascii="Times New Roman" w:hAnsi="Times New Roman"/>
                <w:caps w:val="false"/>
                <w:smallCaps w:val="false"/>
                <w:sz w:val="20"/>
              </w:rPr>
              <w:t>Prepayment speeds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0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 - 50%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c>
          <w:tcPr>
            <w:tcW w:w="5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w:t>
            </w:r>
          </w:p>
        </w:tc>
        <w:tc>
          <w:tcPr>
            <w:tcW w:w="25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2" w:type="dxa"/>
            <w:tcBorders/>
            <w:shd w:fill="FFFFFF" w:val="clear"/>
            <w:vAlign w:val="center"/>
          </w:tcPr>
          <w:p>
            <w:pPr>
              <w:pStyle w:val="TableContents"/>
              <w:bidi w:val="0"/>
              <w:spacing w:before="0" w:after="0"/>
              <w:ind w:left="0" w:right="0" w:hanging="0"/>
              <w:jc w:val="left"/>
              <w:rPr/>
            </w:pPr>
            <w:r>
              <w:rPr/>
              <w:t> </w:t>
            </w:r>
          </w:p>
        </w:tc>
        <w:tc>
          <w:tcPr>
            <w:tcW w:w="132"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w:t>
            </w:r>
          </w:p>
        </w:tc>
        <w:tc>
          <w:tcPr>
            <w:tcW w:w="1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pull-through expectation is based on historical loan closing rates for similar interest rate lock commitments. An increase or decrease in the pull-through expectation would have a corresponding positive or negative fair value adjustment.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The following table provides a reconciliation of assets and liabilities measured at fair value using significant unobservable inputs (Level </w:t>
      </w:r>
      <w:r>
        <w:rPr>
          <w:rStyle w:val="Emphasis"/>
          <w:rFonts w:ascii="Times New Roman;Times;serif" w:hAnsi="Times New Roman;Times;serif"/>
          <w:sz w:val="20"/>
        </w:rPr>
        <w:t>3</w:t>
      </w:r>
      <w:r>
        <w:rPr>
          <w:rFonts w:ascii="Times New Roman;Times;serif" w:hAnsi="Times New Roman;Times;serif"/>
          <w:sz w:val="20"/>
        </w:rPr>
        <w:t>) on a recurring basis during the dates indicated: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782"/>
        <w:gridCol w:w="23"/>
        <w:gridCol w:w="237"/>
        <w:gridCol w:w="638"/>
        <w:gridCol w:w="80"/>
        <w:gridCol w:w="23"/>
        <w:gridCol w:w="167"/>
        <w:gridCol w:w="648"/>
        <w:gridCol w:w="80"/>
        <w:gridCol w:w="23"/>
        <w:gridCol w:w="177"/>
        <w:gridCol w:w="773"/>
        <w:gridCol w:w="80"/>
        <w:gridCol w:w="23"/>
        <w:gridCol w:w="167"/>
        <w:gridCol w:w="528"/>
        <w:gridCol w:w="80"/>
        <w:gridCol w:w="23"/>
        <w:gridCol w:w="304"/>
        <w:gridCol w:w="959"/>
        <w:gridCol w:w="80"/>
        <w:gridCol w:w="23"/>
        <w:gridCol w:w="410"/>
        <w:gridCol w:w="853"/>
        <w:gridCol w:w="24"/>
      </w:tblGrid>
      <w:tr>
        <w:trPr/>
        <w:tc>
          <w:tcPr>
            <w:tcW w:w="3782"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1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Purchases</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77"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67"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63"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Net change in</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63"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Net change in</w:t>
            </w:r>
          </w:p>
        </w:tc>
        <w:tc>
          <w:tcPr>
            <w:tcW w:w="24" w:type="dxa"/>
            <w:tcBorders/>
            <w:vAlign w:val="center"/>
          </w:tcPr>
          <w:p>
            <w:pPr>
              <w:pStyle w:val="TableContents"/>
              <w:bidi w:val="0"/>
              <w:spacing w:before="0" w:after="0"/>
              <w:ind w:left="0" w:right="0" w:hanging="0"/>
              <w:jc w:val="left"/>
              <w:rPr/>
            </w:pPr>
            <w:r>
              <w:rPr/>
              <w:t>​</w:t>
            </w:r>
          </w:p>
        </w:tc>
      </w:tr>
      <w:tr>
        <w:trPr/>
        <w:tc>
          <w:tcPr>
            <w:tcW w:w="3782"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Three Months Ended</w:t>
            </w:r>
          </w:p>
        </w:tc>
        <w:tc>
          <w:tcPr>
            <w:tcW w:w="23" w:type="dxa"/>
            <w:tcBorders/>
            <w:vAlign w:val="center"/>
          </w:tcPr>
          <w:p>
            <w:pPr>
              <w:pStyle w:val="TableContents"/>
              <w:bidi w:val="0"/>
              <w:spacing w:before="0" w:after="0"/>
              <w:ind w:left="0" w:right="0" w:hanging="0"/>
              <w:jc w:val="left"/>
              <w:rPr/>
            </w:pPr>
            <w:r>
              <w:rPr/>
              <w:t>​</w:t>
            </w:r>
          </w:p>
        </w:tc>
        <w:tc>
          <w:tcPr>
            <w:tcW w:w="87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Beginning</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1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and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5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Sales and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9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Ending</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63"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 for</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63"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 for</w:t>
            </w:r>
          </w:p>
        </w:tc>
        <w:tc>
          <w:tcPr>
            <w:tcW w:w="24" w:type="dxa"/>
            <w:tcBorders/>
            <w:vAlign w:val="center"/>
          </w:tcPr>
          <w:p>
            <w:pPr>
              <w:pStyle w:val="TableContents"/>
              <w:bidi w:val="0"/>
              <w:spacing w:before="0" w:after="0"/>
              <w:ind w:left="0" w:right="0" w:hanging="0"/>
              <w:jc w:val="left"/>
              <w:rPr/>
            </w:pPr>
            <w:r>
              <w:rPr/>
              <w:t>​</w:t>
            </w:r>
          </w:p>
        </w:tc>
      </w:tr>
      <w:tr>
        <w:trPr/>
        <w:tc>
          <w:tcPr>
            <w:tcW w:w="3782"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June 30, 2026</w:t>
            </w:r>
          </w:p>
        </w:tc>
        <w:tc>
          <w:tcPr>
            <w:tcW w:w="23" w:type="dxa"/>
            <w:tcBorders/>
            <w:vAlign w:val="center"/>
          </w:tcPr>
          <w:p>
            <w:pPr>
              <w:pStyle w:val="TableContents"/>
              <w:bidi w:val="0"/>
              <w:spacing w:before="0" w:after="0"/>
              <w:ind w:left="0" w:right="0" w:hanging="0"/>
              <w:jc w:val="left"/>
              <w:rPr/>
            </w:pPr>
            <w:r>
              <w:rPr/>
              <w:t>​</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Balance</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Issuances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Settlements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Balance</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gains/(losses) </w:t>
            </w:r>
            <w:r>
              <w:rPr>
                <w:rFonts w:ascii="Times New Roman" w:hAnsi="Times New Roman"/>
                <w:caps w:val="false"/>
                <w:smallCaps w:val="false"/>
                <w:position w:val="7"/>
                <w:sz w:val="16"/>
                <w:sz w:val="20"/>
              </w:rPr>
              <w:t>(1)</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gains/(losses) </w:t>
            </w:r>
            <w:r>
              <w:rPr>
                <w:rFonts w:ascii="Times New Roman" w:hAnsi="Times New Roman"/>
                <w:caps w:val="false"/>
                <w:smallCaps w:val="false"/>
                <w:position w:val="7"/>
                <w:sz w:val="16"/>
                <w:sz w:val="20"/>
              </w:rPr>
              <w:t>(2)</w:t>
            </w:r>
          </w:p>
        </w:tc>
        <w:tc>
          <w:tcPr>
            <w:tcW w:w="24"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78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lock commitments with customers</w:t>
            </w:r>
          </w:p>
        </w:tc>
        <w:tc>
          <w:tcPr>
            <w:tcW w:w="23"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1,626</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(1,323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2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616</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53" w:type="dxa"/>
            <w:tcBorders/>
            <w:shd w:fill="CCEEFF" w:val="clear"/>
            <w:vAlign w:val="center"/>
          </w:tcPr>
          <w:p>
            <w:pPr>
              <w:pStyle w:val="TableContents"/>
              <w:bidi w:val="0"/>
              <w:spacing w:before="0" w:after="0"/>
              <w:ind w:left="0" w:right="0" w:hanging="0"/>
              <w:jc w:val="right"/>
              <w:rPr/>
            </w:pPr>
            <w:r>
              <w:rPr/>
              <w:t>—</w:t>
            </w:r>
          </w:p>
        </w:tc>
        <w:tc>
          <w:tcPr>
            <w:tcW w:w="24" w:type="dxa"/>
            <w:tcBorders/>
            <w:shd w:fill="CCEEFF" w:val="clear"/>
            <w:vAlign w:val="center"/>
          </w:tcPr>
          <w:p>
            <w:pPr>
              <w:pStyle w:val="TableContents"/>
              <w:bidi w:val="0"/>
              <w:spacing w:before="0" w:after="0"/>
              <w:ind w:left="0" w:right="0" w:hanging="0"/>
              <w:jc w:val="left"/>
              <w:rPr/>
            </w:pPr>
            <w:r>
              <w:rPr/>
              <w:t>​</w:t>
            </w:r>
          </w:p>
        </w:tc>
      </w:tr>
      <w:tr>
        <w:trPr/>
        <w:tc>
          <w:tcPr>
            <w:tcW w:w="378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Individual forward sale commitments with investors</w:t>
            </w:r>
          </w:p>
        </w:tc>
        <w:tc>
          <w:tcPr>
            <w:tcW w:w="23" w:type="dxa"/>
            <w:tcBorders/>
            <w:shd w:fill="FFFFFF" w:val="clear"/>
            <w:vAlign w:val="center"/>
          </w:tcPr>
          <w:p>
            <w:pPr>
              <w:pStyle w:val="TableContents"/>
              <w:bidi w:val="0"/>
              <w:spacing w:before="0" w:after="0"/>
              <w:ind w:left="0" w:right="0" w:hanging="0"/>
              <w:jc w:val="left"/>
              <w:rPr/>
            </w:pPr>
            <w:r>
              <w:rPr/>
              <w:t>​</w:t>
            </w:r>
          </w:p>
        </w:tc>
        <w:tc>
          <w:tcPr>
            <w:tcW w:w="237" w:type="dxa"/>
            <w:tcBorders/>
            <w:shd w:fill="FFFFFF" w:val="clear"/>
            <w:vAlign w:val="center"/>
          </w:tcPr>
          <w:p>
            <w:pPr>
              <w:pStyle w:val="TableContents"/>
              <w:bidi w:val="0"/>
              <w:spacing w:before="0" w:after="0"/>
              <w:ind w:left="0" w:right="0" w:hanging="0"/>
              <w:jc w:val="left"/>
              <w:rPr/>
            </w:pPr>
            <w:r>
              <w:rPr/>
              <w:t>​</w:t>
            </w:r>
          </w:p>
        </w:tc>
        <w:tc>
          <w:tcPr>
            <w:tcW w:w="6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353</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shd w:fill="FFFFFF" w:val="clear"/>
            <w:vAlign w:val="center"/>
          </w:tcPr>
          <w:p>
            <w:pPr>
              <w:pStyle w:val="TableContents"/>
              <w:bidi w:val="0"/>
              <w:spacing w:before="0" w:after="0"/>
              <w:ind w:left="0" w:right="0" w:hanging="0"/>
              <w:jc w:val="left"/>
              <w:rPr/>
            </w:pPr>
            <w:r>
              <w:rPr/>
              <w:t>​</w:t>
            </w:r>
          </w:p>
        </w:tc>
        <w:tc>
          <w:tcPr>
            <w:tcW w:w="6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7" w:type="dxa"/>
            <w:tcBorders/>
            <w:shd w:fill="FFFFFF" w:val="clear"/>
            <w:vAlign w:val="center"/>
          </w:tcPr>
          <w:p>
            <w:pPr>
              <w:pStyle w:val="TableContents"/>
              <w:bidi w:val="0"/>
              <w:spacing w:before="0" w:after="0"/>
              <w:ind w:left="0" w:right="0" w:hanging="0"/>
              <w:jc w:val="left"/>
              <w:rPr/>
            </w:pPr>
            <w:r>
              <w:rPr/>
              <w:t>​</w:t>
            </w:r>
          </w:p>
        </w:tc>
        <w:tc>
          <w:tcPr>
            <w:tcW w:w="77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shd w:fill="FFFFFF" w:val="clear"/>
            <w:vAlign w:val="center"/>
          </w:tcPr>
          <w:p>
            <w:pPr>
              <w:pStyle w:val="TableContents"/>
              <w:bidi w:val="0"/>
              <w:spacing w:before="0" w:after="0"/>
              <w:ind w:left="0" w:right="0" w:hanging="0"/>
              <w:jc w:val="left"/>
              <w:rPr/>
            </w:pPr>
            <w:r>
              <w:rPr/>
              <w:t>​</w:t>
            </w:r>
          </w:p>
        </w:tc>
        <w:tc>
          <w:tcPr>
            <w:tcW w:w="52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04" w:type="dxa"/>
            <w:tcBorders/>
            <w:shd w:fill="FFFFFF" w:val="clear"/>
            <w:vAlign w:val="center"/>
          </w:tcPr>
          <w:p>
            <w:pPr>
              <w:pStyle w:val="TableContents"/>
              <w:bidi w:val="0"/>
              <w:spacing w:before="0" w:after="0"/>
              <w:ind w:left="0" w:right="0" w:hanging="0"/>
              <w:jc w:val="left"/>
              <w:rPr/>
            </w:pPr>
            <w:r>
              <w:rPr/>
              <w:t>​</w:t>
            </w:r>
          </w:p>
        </w:tc>
        <w:tc>
          <w:tcPr>
            <w:tcW w:w="9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410" w:type="dxa"/>
            <w:tcBorders/>
            <w:shd w:fill="FFFFFF" w:val="clear"/>
            <w:vAlign w:val="center"/>
          </w:tcPr>
          <w:p>
            <w:pPr>
              <w:pStyle w:val="TableContents"/>
              <w:bidi w:val="0"/>
              <w:spacing w:before="0" w:after="0"/>
              <w:ind w:left="0" w:right="0" w:hanging="0"/>
              <w:jc w:val="left"/>
              <w:rPr/>
            </w:pPr>
            <w:r>
              <w:rPr/>
              <w:t>​</w:t>
            </w:r>
          </w:p>
        </w:tc>
        <w:tc>
          <w:tcPr>
            <w:tcW w:w="853" w:type="dxa"/>
            <w:tcBorders/>
            <w:shd w:fill="FFFFFF" w:val="clear"/>
            <w:vAlign w:val="center"/>
          </w:tcPr>
          <w:p>
            <w:pPr>
              <w:pStyle w:val="TableContents"/>
              <w:bidi w:val="0"/>
              <w:spacing w:before="0" w:after="0"/>
              <w:ind w:left="0" w:right="0" w:hanging="0"/>
              <w:jc w:val="right"/>
              <w:rPr/>
            </w:pPr>
            <w:r>
              <w:rPr/>
              <w:t>—</w:t>
            </w:r>
          </w:p>
        </w:tc>
        <w:tc>
          <w:tcPr>
            <w:tcW w:w="24" w:type="dxa"/>
            <w:tcBorders/>
            <w:shd w:fill="FFFFFF" w:val="clear"/>
            <w:vAlign w:val="center"/>
          </w:tcPr>
          <w:p>
            <w:pPr>
              <w:pStyle w:val="TableContents"/>
              <w:bidi w:val="0"/>
              <w:spacing w:before="0" w:after="0"/>
              <w:ind w:left="0" w:right="0" w:hanging="0"/>
              <w:jc w:val="left"/>
              <w:rPr/>
            </w:pPr>
            <w:r>
              <w:rPr/>
              <w:t>​</w:t>
            </w:r>
          </w:p>
        </w:tc>
      </w:tr>
      <w:tr>
        <w:trPr/>
        <w:tc>
          <w:tcPr>
            <w:tcW w:w="3782"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June 30, 2025</w:t>
            </w:r>
          </w:p>
        </w:tc>
        <w:tc>
          <w:tcPr>
            <w:tcW w:w="23"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7"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r>
      <w:tr>
        <w:trPr/>
        <w:tc>
          <w:tcPr>
            <w:tcW w:w="378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lock commitments with customers</w:t>
            </w:r>
          </w:p>
        </w:tc>
        <w:tc>
          <w:tcPr>
            <w:tcW w:w="23" w:type="dxa"/>
            <w:tcBorders/>
            <w:shd w:fill="FFFFFF" w:val="clear"/>
            <w:vAlign w:val="center"/>
          </w:tcPr>
          <w:p>
            <w:pPr>
              <w:pStyle w:val="TableContents"/>
              <w:bidi w:val="0"/>
              <w:spacing w:before="0" w:after="0"/>
              <w:ind w:left="0" w:right="0" w:hanging="0"/>
              <w:jc w:val="left"/>
              <w:rPr/>
            </w:pPr>
            <w:r>
              <w:rPr/>
              <w:t>​</w:t>
            </w:r>
          </w:p>
        </w:tc>
        <w:tc>
          <w:tcPr>
            <w:tcW w:w="23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439</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1,099</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2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409</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0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53" w:type="dxa"/>
            <w:tcBorders/>
            <w:shd w:fill="FFFFFF" w:val="clear"/>
            <w:vAlign w:val="center"/>
          </w:tcPr>
          <w:p>
            <w:pPr>
              <w:pStyle w:val="TableContents"/>
              <w:bidi w:val="0"/>
              <w:spacing w:before="0" w:after="0"/>
              <w:ind w:left="0" w:right="0" w:hanging="0"/>
              <w:jc w:val="right"/>
              <w:rPr/>
            </w:pPr>
            <w:r>
              <w:rPr/>
              <w:t>—</w:t>
            </w:r>
          </w:p>
        </w:tc>
        <w:tc>
          <w:tcPr>
            <w:tcW w:w="24" w:type="dxa"/>
            <w:tcBorders/>
            <w:shd w:fill="FFFFFF" w:val="clear"/>
            <w:vAlign w:val="center"/>
          </w:tcPr>
          <w:p>
            <w:pPr>
              <w:pStyle w:val="TableContents"/>
              <w:bidi w:val="0"/>
              <w:spacing w:before="0" w:after="0"/>
              <w:ind w:left="0" w:right="0" w:hanging="0"/>
              <w:jc w:val="left"/>
              <w:rPr/>
            </w:pPr>
            <w:r>
              <w:rPr/>
              <w:t>​</w:t>
            </w:r>
          </w:p>
        </w:tc>
      </w:tr>
      <w:tr>
        <w:trPr/>
        <w:tc>
          <w:tcPr>
            <w:tcW w:w="378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Individual forward sale commitments with investors</w:t>
            </w:r>
          </w:p>
        </w:tc>
        <w:tc>
          <w:tcPr>
            <w:tcW w:w="23"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7"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304"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left"/>
              <w:rPr/>
            </w:pPr>
            <w:r>
              <w:rPr/>
              <w:t>​</w:t>
            </w:r>
          </w:p>
        </w:tc>
        <w:tc>
          <w:tcPr>
            <w:tcW w:w="853" w:type="dxa"/>
            <w:tcBorders/>
            <w:shd w:fill="CCEEFF" w:val="clear"/>
            <w:vAlign w:val="center"/>
          </w:tcPr>
          <w:p>
            <w:pPr>
              <w:pStyle w:val="TableContents"/>
              <w:bidi w:val="0"/>
              <w:spacing w:before="0" w:after="0"/>
              <w:ind w:left="0" w:right="0" w:hanging="0"/>
              <w:jc w:val="right"/>
              <w:rPr/>
            </w:pPr>
            <w:r>
              <w:rPr/>
              <w:t>—</w:t>
            </w:r>
          </w:p>
        </w:tc>
        <w:tc>
          <w:tcPr>
            <w:tcW w:w="24"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20"/>
        <w:gridCol w:w="23"/>
        <w:gridCol w:w="237"/>
        <w:gridCol w:w="638"/>
        <w:gridCol w:w="23"/>
        <w:gridCol w:w="23"/>
        <w:gridCol w:w="167"/>
        <w:gridCol w:w="648"/>
        <w:gridCol w:w="80"/>
        <w:gridCol w:w="23"/>
        <w:gridCol w:w="177"/>
        <w:gridCol w:w="773"/>
        <w:gridCol w:w="80"/>
        <w:gridCol w:w="23"/>
        <w:gridCol w:w="167"/>
        <w:gridCol w:w="528"/>
        <w:gridCol w:w="80"/>
        <w:gridCol w:w="23"/>
        <w:gridCol w:w="306"/>
        <w:gridCol w:w="966"/>
        <w:gridCol w:w="80"/>
        <w:gridCol w:w="23"/>
        <w:gridCol w:w="413"/>
        <w:gridCol w:w="859"/>
        <w:gridCol w:w="25"/>
      </w:tblGrid>
      <w:tr>
        <w:trPr/>
        <w:tc>
          <w:tcPr>
            <w:tcW w:w="382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7" w:type="dxa"/>
            <w:tcBorders/>
            <w:vAlign w:val="center"/>
          </w:tcPr>
          <w:p>
            <w:pPr>
              <w:pStyle w:val="TableContents"/>
              <w:bidi w:val="0"/>
              <w:spacing w:before="0" w:after="0"/>
              <w:ind w:left="0" w:right="0" w:hanging="0"/>
              <w:jc w:val="left"/>
              <w:rPr/>
            </w:pPr>
            <w:r>
              <w:rPr/>
              <w:t>​</w:t>
            </w:r>
          </w:p>
        </w:tc>
        <w:tc>
          <w:tcPr>
            <w:tcW w:w="638"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1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Purchases</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77" w:type="dxa"/>
            <w:tcBorders/>
            <w:vAlign w:val="center"/>
          </w:tcPr>
          <w:p>
            <w:pPr>
              <w:pStyle w:val="TableContents"/>
              <w:bidi w:val="0"/>
              <w:spacing w:before="0" w:after="0"/>
              <w:ind w:left="0" w:right="0" w:hanging="0"/>
              <w:jc w:val="left"/>
              <w:rPr/>
            </w:pPr>
            <w:r>
              <w:rPr/>
              <w:t>​</w:t>
            </w:r>
          </w:p>
        </w:tc>
        <w:tc>
          <w:tcPr>
            <w:tcW w:w="773"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67" w:type="dxa"/>
            <w:tcBorders/>
            <w:vAlign w:val="center"/>
          </w:tcPr>
          <w:p>
            <w:pPr>
              <w:pStyle w:val="TableContents"/>
              <w:bidi w:val="0"/>
              <w:spacing w:before="0" w:after="0"/>
              <w:ind w:left="0" w:right="0" w:hanging="0"/>
              <w:jc w:val="left"/>
              <w:rPr/>
            </w:pPr>
            <w:r>
              <w:rPr/>
              <w:t>​</w:t>
            </w:r>
          </w:p>
        </w:tc>
        <w:tc>
          <w:tcPr>
            <w:tcW w:w="528"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72"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Net change in</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72"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Net change in</w:t>
            </w:r>
          </w:p>
        </w:tc>
        <w:tc>
          <w:tcPr>
            <w:tcW w:w="25" w:type="dxa"/>
            <w:tcBorders/>
            <w:vAlign w:val="center"/>
          </w:tcPr>
          <w:p>
            <w:pPr>
              <w:pStyle w:val="TableContents"/>
              <w:bidi w:val="0"/>
              <w:spacing w:before="0" w:after="0"/>
              <w:ind w:left="0" w:right="0" w:hanging="0"/>
              <w:jc w:val="left"/>
              <w:rPr/>
            </w:pPr>
            <w:r>
              <w:rPr/>
              <w:t>​</w:t>
            </w:r>
          </w:p>
        </w:tc>
      </w:tr>
      <w:tr>
        <w:trPr/>
        <w:tc>
          <w:tcPr>
            <w:tcW w:w="38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Six Months Ended</w:t>
            </w:r>
          </w:p>
        </w:tc>
        <w:tc>
          <w:tcPr>
            <w:tcW w:w="23" w:type="dxa"/>
            <w:tcBorders/>
            <w:vAlign w:val="center"/>
          </w:tcPr>
          <w:p>
            <w:pPr>
              <w:pStyle w:val="TableContents"/>
              <w:bidi w:val="0"/>
              <w:spacing w:before="0" w:after="0"/>
              <w:ind w:left="0" w:right="0" w:hanging="0"/>
              <w:jc w:val="left"/>
              <w:rPr/>
            </w:pPr>
            <w:r>
              <w:rPr/>
              <w:t>​</w:t>
            </w:r>
          </w:p>
        </w:tc>
        <w:tc>
          <w:tcPr>
            <w:tcW w:w="87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Beginning</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1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and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5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Sales and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95"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Ending</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72"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 for</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72"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 value for</w:t>
            </w:r>
          </w:p>
        </w:tc>
        <w:tc>
          <w:tcPr>
            <w:tcW w:w="25" w:type="dxa"/>
            <w:tcBorders/>
            <w:vAlign w:val="center"/>
          </w:tcPr>
          <w:p>
            <w:pPr>
              <w:pStyle w:val="TableContents"/>
              <w:bidi w:val="0"/>
              <w:spacing w:before="0" w:after="0"/>
              <w:ind w:left="0" w:right="0" w:hanging="0"/>
              <w:jc w:val="left"/>
              <w:rPr/>
            </w:pPr>
            <w:r>
              <w:rPr/>
              <w:t>​</w:t>
            </w:r>
          </w:p>
        </w:tc>
      </w:tr>
      <w:tr>
        <w:trPr/>
        <w:tc>
          <w:tcPr>
            <w:tcW w:w="382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June 30, 2026</w:t>
            </w:r>
          </w:p>
        </w:tc>
        <w:tc>
          <w:tcPr>
            <w:tcW w:w="23" w:type="dxa"/>
            <w:tcBorders/>
            <w:vAlign w:val="center"/>
          </w:tcPr>
          <w:p>
            <w:pPr>
              <w:pStyle w:val="TableContents"/>
              <w:bidi w:val="0"/>
              <w:spacing w:before="0" w:after="0"/>
              <w:ind w:left="0" w:right="0" w:hanging="0"/>
              <w:jc w:val="left"/>
              <w:rPr/>
            </w:pPr>
            <w:r>
              <w:rPr/>
              <w:t>​</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Balance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Issuances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5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Settlements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Balance</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gains/(losses) </w:t>
            </w:r>
            <w:r>
              <w:rPr>
                <w:rFonts w:ascii="Times New Roman" w:hAnsi="Times New Roman"/>
                <w:caps w:val="false"/>
                <w:smallCaps w:val="false"/>
                <w:position w:val="7"/>
                <w:sz w:val="16"/>
                <w:sz w:val="20"/>
              </w:rPr>
              <w:t>(1)</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xml:space="preserve">gains/(losses) </w:t>
            </w:r>
            <w:r>
              <w:rPr>
                <w:rFonts w:ascii="Times New Roman" w:hAnsi="Times New Roman"/>
                <w:caps w:val="false"/>
                <w:smallCaps w:val="false"/>
                <w:position w:val="7"/>
                <w:sz w:val="16"/>
                <w:sz w:val="20"/>
              </w:rPr>
              <w:t>(2)</w:t>
            </w:r>
          </w:p>
        </w:tc>
        <w:tc>
          <w:tcPr>
            <w:tcW w:w="2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8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lock commitments with customers</w:t>
            </w:r>
          </w:p>
        </w:tc>
        <w:tc>
          <w:tcPr>
            <w:tcW w:w="23"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3,056</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(2,681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2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616</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6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375</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1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25" w:type="dxa"/>
            <w:tcBorders/>
            <w:shd w:fill="CCEEFF" w:val="clear"/>
            <w:vAlign w:val="center"/>
          </w:tcPr>
          <w:p>
            <w:pPr>
              <w:pStyle w:val="TableContents"/>
              <w:bidi w:val="0"/>
              <w:spacing w:before="0" w:after="0"/>
              <w:ind w:left="0" w:right="0" w:hanging="0"/>
              <w:jc w:val="left"/>
              <w:rPr/>
            </w:pPr>
            <w:r>
              <w:rPr/>
              <w:t>​</w:t>
            </w:r>
          </w:p>
        </w:tc>
      </w:tr>
      <w:tr>
        <w:trPr/>
        <w:tc>
          <w:tcPr>
            <w:tcW w:w="38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Individual forward sale commitments with investors</w:t>
            </w:r>
          </w:p>
        </w:tc>
        <w:tc>
          <w:tcPr>
            <w:tcW w:w="23" w:type="dxa"/>
            <w:tcBorders/>
            <w:shd w:fill="FFFFFF" w:val="clear"/>
            <w:vAlign w:val="center"/>
          </w:tcPr>
          <w:p>
            <w:pPr>
              <w:pStyle w:val="TableContents"/>
              <w:bidi w:val="0"/>
              <w:spacing w:before="0" w:after="0"/>
              <w:ind w:left="0" w:right="0" w:hanging="0"/>
              <w:jc w:val="left"/>
              <w:rPr/>
            </w:pPr>
            <w:r>
              <w:rPr/>
              <w:t>​</w:t>
            </w:r>
          </w:p>
        </w:tc>
        <w:tc>
          <w:tcPr>
            <w:tcW w:w="237" w:type="dxa"/>
            <w:tcBorders/>
            <w:shd w:fill="FFFFFF" w:val="clear"/>
            <w:vAlign w:val="center"/>
          </w:tcPr>
          <w:p>
            <w:pPr>
              <w:pStyle w:val="TableContents"/>
              <w:bidi w:val="0"/>
              <w:spacing w:before="0" w:after="0"/>
              <w:ind w:left="0" w:right="0" w:hanging="0"/>
              <w:jc w:val="left"/>
              <w:rPr/>
            </w:pPr>
            <w:r>
              <w:rPr/>
              <w:t>​</w:t>
            </w:r>
          </w:p>
        </w:tc>
        <w:tc>
          <w:tcPr>
            <w:tcW w:w="6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shd w:fill="FFFFFF" w:val="clear"/>
            <w:vAlign w:val="center"/>
          </w:tcPr>
          <w:p>
            <w:pPr>
              <w:pStyle w:val="TableContents"/>
              <w:bidi w:val="0"/>
              <w:spacing w:before="0" w:after="0"/>
              <w:ind w:left="0" w:right="0" w:hanging="0"/>
              <w:jc w:val="left"/>
              <w:rPr/>
            </w:pPr>
            <w:r>
              <w:rPr/>
              <w:t>​</w:t>
            </w:r>
          </w:p>
        </w:tc>
        <w:tc>
          <w:tcPr>
            <w:tcW w:w="6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494</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7" w:type="dxa"/>
            <w:tcBorders/>
            <w:shd w:fill="FFFFFF" w:val="clear"/>
            <w:vAlign w:val="center"/>
          </w:tcPr>
          <w:p>
            <w:pPr>
              <w:pStyle w:val="TableContents"/>
              <w:bidi w:val="0"/>
              <w:spacing w:before="0" w:after="0"/>
              <w:ind w:left="0" w:right="0" w:hanging="0"/>
              <w:jc w:val="left"/>
              <w:rPr/>
            </w:pPr>
            <w:r>
              <w:rPr/>
              <w:t>​</w:t>
            </w:r>
          </w:p>
        </w:tc>
        <w:tc>
          <w:tcPr>
            <w:tcW w:w="77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(495</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shd w:fill="FFFFFF" w:val="clear"/>
            <w:vAlign w:val="center"/>
          </w:tcPr>
          <w:p>
            <w:pPr>
              <w:pStyle w:val="TableContents"/>
              <w:bidi w:val="0"/>
              <w:spacing w:before="0" w:after="0"/>
              <w:ind w:left="0" w:right="0" w:hanging="0"/>
              <w:jc w:val="left"/>
              <w:rPr/>
            </w:pPr>
            <w:r>
              <w:rPr/>
              <w:t>​</w:t>
            </w:r>
          </w:p>
        </w:tc>
        <w:tc>
          <w:tcPr>
            <w:tcW w:w="52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06" w:type="dxa"/>
            <w:tcBorders/>
            <w:shd w:fill="FFFFFF" w:val="clear"/>
            <w:vAlign w:val="center"/>
          </w:tcPr>
          <w:p>
            <w:pPr>
              <w:pStyle w:val="TableContents"/>
              <w:bidi w:val="0"/>
              <w:spacing w:before="0" w:after="0"/>
              <w:ind w:left="0" w:right="0" w:hanging="0"/>
              <w:jc w:val="left"/>
              <w:rPr/>
            </w:pPr>
            <w:r>
              <w:rPr/>
              <w:t>​</w:t>
            </w:r>
          </w:p>
        </w:tc>
        <w:tc>
          <w:tcPr>
            <w:tcW w:w="96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413" w:type="dxa"/>
            <w:tcBorders/>
            <w:shd w:fill="FFFFFF" w:val="clear"/>
            <w:vAlign w:val="center"/>
          </w:tcPr>
          <w:p>
            <w:pPr>
              <w:pStyle w:val="TableContents"/>
              <w:bidi w:val="0"/>
              <w:spacing w:before="0" w:after="0"/>
              <w:ind w:left="0" w:right="0" w:hanging="0"/>
              <w:jc w:val="left"/>
              <w:rPr/>
            </w:pPr>
            <w:r>
              <w:rPr/>
              <w:t>​</w:t>
            </w:r>
          </w:p>
        </w:tc>
        <w:tc>
          <w:tcPr>
            <w:tcW w:w="859" w:type="dxa"/>
            <w:tcBorders/>
            <w:shd w:fill="FFFFFF" w:val="clear"/>
            <w:vAlign w:val="center"/>
          </w:tcPr>
          <w:p>
            <w:pPr>
              <w:pStyle w:val="TableContents"/>
              <w:bidi w:val="0"/>
              <w:spacing w:before="0" w:after="0"/>
              <w:ind w:left="0" w:right="0" w:hanging="0"/>
              <w:jc w:val="right"/>
              <w:rPr/>
            </w:pPr>
            <w:r>
              <w:rPr/>
              <w:t>—</w:t>
            </w:r>
          </w:p>
        </w:tc>
        <w:tc>
          <w:tcPr>
            <w:tcW w:w="25" w:type="dxa"/>
            <w:tcBorders/>
            <w:shd w:fill="FFFFFF" w:val="clear"/>
            <w:vAlign w:val="center"/>
          </w:tcPr>
          <w:p>
            <w:pPr>
              <w:pStyle w:val="TableContents"/>
              <w:bidi w:val="0"/>
              <w:spacing w:before="0" w:after="0"/>
              <w:ind w:left="0" w:right="0" w:hanging="0"/>
              <w:jc w:val="left"/>
              <w:rPr/>
            </w:pPr>
            <w:r>
              <w:rPr/>
              <w:t>​</w:t>
            </w:r>
          </w:p>
        </w:tc>
      </w:tr>
      <w:tr>
        <w:trPr/>
        <w:tc>
          <w:tcPr>
            <w:tcW w:w="382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June 30, 2025</w:t>
            </w:r>
          </w:p>
        </w:tc>
        <w:tc>
          <w:tcPr>
            <w:tcW w:w="23"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7"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13"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left"/>
              <w:rPr/>
            </w:pPr>
            <w:r>
              <w:rPr/>
              <w:t>​</w:t>
            </w:r>
          </w:p>
        </w:tc>
        <w:tc>
          <w:tcPr>
            <w:tcW w:w="25" w:type="dxa"/>
            <w:tcBorders/>
            <w:shd w:fill="CCEEFF" w:val="clear"/>
            <w:vAlign w:val="center"/>
          </w:tcPr>
          <w:p>
            <w:pPr>
              <w:pStyle w:val="TableContents"/>
              <w:bidi w:val="0"/>
              <w:spacing w:before="0" w:after="0"/>
              <w:ind w:left="0" w:right="0" w:hanging="0"/>
              <w:jc w:val="left"/>
              <w:rPr/>
            </w:pPr>
            <w:r>
              <w:rPr/>
              <w:t>​</w:t>
            </w:r>
          </w:p>
        </w:tc>
      </w:tr>
      <w:tr>
        <w:trPr/>
        <w:tc>
          <w:tcPr>
            <w:tcW w:w="382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rate lock commitments with customers</w:t>
            </w:r>
          </w:p>
        </w:tc>
        <w:tc>
          <w:tcPr>
            <w:tcW w:w="23" w:type="dxa"/>
            <w:tcBorders/>
            <w:shd w:fill="FFFFFF" w:val="clear"/>
            <w:vAlign w:val="center"/>
          </w:tcPr>
          <w:p>
            <w:pPr>
              <w:pStyle w:val="TableContents"/>
              <w:bidi w:val="0"/>
              <w:spacing w:before="0" w:after="0"/>
              <w:ind w:left="0" w:right="0" w:hanging="0"/>
              <w:jc w:val="left"/>
              <w:rPr/>
            </w:pPr>
            <w:r>
              <w:rPr/>
              <w:t>​</w:t>
            </w:r>
          </w:p>
        </w:tc>
        <w:tc>
          <w:tcPr>
            <w:tcW w:w="23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2,240</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7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(1,934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2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409</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0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6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306</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41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59" w:type="dxa"/>
            <w:tcBorders/>
            <w:shd w:fill="FFFFFF" w:val="clear"/>
            <w:vAlign w:val="center"/>
          </w:tcPr>
          <w:p>
            <w:pPr>
              <w:pStyle w:val="TableContents"/>
              <w:bidi w:val="0"/>
              <w:spacing w:before="0" w:after="0"/>
              <w:ind w:left="0" w:right="0" w:hanging="0"/>
              <w:jc w:val="right"/>
              <w:rPr/>
            </w:pPr>
            <w:r>
              <w:rPr/>
              <w:t>—</w:t>
            </w:r>
          </w:p>
        </w:tc>
        <w:tc>
          <w:tcPr>
            <w:tcW w:w="25" w:type="dxa"/>
            <w:tcBorders/>
            <w:shd w:fill="FFFFFF" w:val="clear"/>
            <w:vAlign w:val="center"/>
          </w:tcPr>
          <w:p>
            <w:pPr>
              <w:pStyle w:val="TableContents"/>
              <w:bidi w:val="0"/>
              <w:spacing w:before="0" w:after="0"/>
              <w:ind w:left="0" w:right="0" w:hanging="0"/>
              <w:jc w:val="left"/>
              <w:rPr/>
            </w:pPr>
            <w:r>
              <w:rPr/>
              <w:t>​</w:t>
            </w:r>
          </w:p>
        </w:tc>
      </w:tr>
      <w:tr>
        <w:trPr/>
        <w:tc>
          <w:tcPr>
            <w:tcW w:w="382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Individual forward sale commitments with investors</w:t>
            </w:r>
          </w:p>
        </w:tc>
        <w:tc>
          <w:tcPr>
            <w:tcW w:w="23" w:type="dxa"/>
            <w:tcBorders/>
            <w:shd w:fill="CCEEFF" w:val="clear"/>
            <w:vAlign w:val="center"/>
          </w:tcPr>
          <w:p>
            <w:pPr>
              <w:pStyle w:val="TableContents"/>
              <w:bidi w:val="0"/>
              <w:spacing w:before="0" w:after="0"/>
              <w:ind w:left="0" w:right="0" w:hanging="0"/>
              <w:jc w:val="left"/>
              <w:rPr/>
            </w:pPr>
            <w:r>
              <w:rPr/>
              <w:t>​</w:t>
            </w:r>
          </w:p>
        </w:tc>
        <w:tc>
          <w:tcPr>
            <w:tcW w:w="237" w:type="dxa"/>
            <w:tcBorders/>
            <w:shd w:fill="CCEEFF" w:val="clear"/>
            <w:vAlign w:val="center"/>
          </w:tcPr>
          <w:p>
            <w:pPr>
              <w:pStyle w:val="TableContents"/>
              <w:bidi w:val="0"/>
              <w:spacing w:before="0" w:after="0"/>
              <w:ind w:left="0" w:right="0" w:hanging="0"/>
              <w:jc w:val="left"/>
              <w:rPr/>
            </w:pPr>
            <w:r>
              <w:rPr/>
              <w:t>​</w:t>
            </w:r>
          </w:p>
        </w:tc>
        <w:tc>
          <w:tcPr>
            <w:tcW w:w="63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7" w:type="dxa"/>
            <w:tcBorders/>
            <w:shd w:fill="CCEEFF" w:val="clear"/>
            <w:vAlign w:val="center"/>
          </w:tcPr>
          <w:p>
            <w:pPr>
              <w:pStyle w:val="TableContents"/>
              <w:bidi w:val="0"/>
              <w:spacing w:before="0" w:after="0"/>
              <w:ind w:left="0" w:right="0" w:hanging="0"/>
              <w:jc w:val="left"/>
              <w:rPr/>
            </w:pPr>
            <w:r>
              <w:rPr/>
              <w:t>​</w:t>
            </w:r>
          </w:p>
        </w:tc>
        <w:tc>
          <w:tcPr>
            <w:tcW w:w="77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52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306" w:type="dxa"/>
            <w:tcBorders/>
            <w:shd w:fill="CCEEFF" w:val="clear"/>
            <w:vAlign w:val="center"/>
          </w:tcPr>
          <w:p>
            <w:pPr>
              <w:pStyle w:val="TableContents"/>
              <w:bidi w:val="0"/>
              <w:spacing w:before="0" w:after="0"/>
              <w:ind w:left="0" w:right="0" w:hanging="0"/>
              <w:jc w:val="left"/>
              <w:rPr/>
            </w:pPr>
            <w:r>
              <w:rPr/>
              <w:t>​</w:t>
            </w:r>
          </w:p>
        </w:tc>
        <w:tc>
          <w:tcPr>
            <w:tcW w:w="96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413" w:type="dxa"/>
            <w:tcBorders/>
            <w:shd w:fill="CCEEFF" w:val="clear"/>
            <w:vAlign w:val="center"/>
          </w:tcPr>
          <w:p>
            <w:pPr>
              <w:pStyle w:val="TableContents"/>
              <w:bidi w:val="0"/>
              <w:spacing w:before="0" w:after="0"/>
              <w:ind w:left="0" w:right="0" w:hanging="0"/>
              <w:jc w:val="left"/>
              <w:rPr/>
            </w:pPr>
            <w:r>
              <w:rPr/>
              <w:t>​</w:t>
            </w:r>
          </w:p>
        </w:tc>
        <w:tc>
          <w:tcPr>
            <w:tcW w:w="859" w:type="dxa"/>
            <w:tcBorders/>
            <w:shd w:fill="CCEEFF" w:val="clear"/>
            <w:vAlign w:val="center"/>
          </w:tcPr>
          <w:p>
            <w:pPr>
              <w:pStyle w:val="TableContents"/>
              <w:bidi w:val="0"/>
              <w:spacing w:before="0" w:after="0"/>
              <w:ind w:left="0" w:right="0" w:hanging="0"/>
              <w:jc w:val="right"/>
              <w:rPr/>
            </w:pPr>
            <w:r>
              <w:rPr/>
              <w:t>—</w:t>
            </w:r>
          </w:p>
        </w:tc>
        <w:tc>
          <w:tcPr>
            <w:tcW w:w="2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Relating to items held at end of period included in income.</w:t>
      </w:r>
    </w:p>
    <w:p>
      <w:pPr>
        <w:pStyle w:val="TextBody"/>
        <w:bidi w:val="0"/>
        <w:spacing w:before="0" w:after="0"/>
        <w:ind w:left="0" w:right="0" w:hanging="0"/>
        <w:jc w:val="both"/>
        <w:rPr/>
      </w:pPr>
      <w:r>
        <w:rPr>
          <w:rFonts w:ascii="Times New Roman" w:hAnsi="Times New Roman"/>
          <w:caps w:val="false"/>
          <w:smallCaps w:val="false"/>
          <w:sz w:val="20"/>
        </w:rPr>
        <w:t>(</w:t>
      </w:r>
      <w:r>
        <w:rPr>
          <w:rStyle w:val="Emphasis"/>
          <w:rFonts w:ascii="Times New Roman" w:hAnsi="Times New Roman"/>
          <w:caps w:val="false"/>
          <w:smallCaps w:val="false"/>
          <w:sz w:val="20"/>
        </w:rPr>
        <w:t>2</w:t>
      </w:r>
      <w:r>
        <w:rPr>
          <w:rFonts w:ascii="Times New Roman" w:hAnsi="Times New Roman"/>
          <w:caps w:val="false"/>
          <w:smallCaps w:val="false"/>
          <w:sz w:val="20"/>
        </w:rPr>
        <w:t>) Relating to items held at end of period included in other comprehensive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Gains on interest rate lock commitments and on forward sale commitments with investors carried at fair value are recorded in “Gain on sale of loans held for sale” on the Consolidated Statements of Income.</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following table provides estimated fair values of the Company’s financial instruments at the dates indicated, whether recognized at fair value or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on the Consolidated Balance Sheets:</w:t>
      </w:r>
    </w:p>
    <w:p>
      <w:pPr>
        <w:pStyle w:val="TextBody"/>
        <w:bidi w:val="0"/>
        <w:spacing w:before="0" w:after="0"/>
        <w:ind w:left="0" w:right="0" w:hanging="0"/>
        <w:jc w:val="left"/>
        <w:rPr>
          <w:caps w:val="false"/>
          <w:smallCaps w:val="false"/>
        </w:rPr>
      </w:pPr>
      <w:r>
        <w:rPr>
          <w:caps w:val="false"/>
          <w:smallCaps w:val="false"/>
        </w:rPr>
        <w:t> </w:t>
      </w:r>
    </w:p>
    <w:tbl>
      <w:tblPr>
        <w:tblW w:w="9229" w:type="dxa"/>
        <w:jc w:val="left"/>
        <w:tblInd w:w="0" w:type="dxa"/>
        <w:tblLayout w:type="fixed"/>
        <w:tblCellMar>
          <w:top w:w="0" w:type="dxa"/>
          <w:left w:w="0" w:type="dxa"/>
          <w:bottom w:w="0" w:type="dxa"/>
          <w:right w:w="0" w:type="dxa"/>
        </w:tblCellMar>
      </w:tblPr>
      <w:tblGrid>
        <w:gridCol w:w="5165"/>
        <w:gridCol w:w="23"/>
        <w:gridCol w:w="125"/>
        <w:gridCol w:w="845"/>
        <w:gridCol w:w="23"/>
        <w:gridCol w:w="23"/>
        <w:gridCol w:w="125"/>
        <w:gridCol w:w="845"/>
        <w:gridCol w:w="23"/>
        <w:gridCol w:w="23"/>
        <w:gridCol w:w="125"/>
        <w:gridCol w:w="845"/>
        <w:gridCol w:w="23"/>
        <w:gridCol w:w="23"/>
        <w:gridCol w:w="125"/>
        <w:gridCol w:w="845"/>
        <w:gridCol w:w="23"/>
      </w:tblGrid>
      <w:tr>
        <w:trPr/>
        <w:tc>
          <w:tcPr>
            <w:tcW w:w="516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9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2026</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9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 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1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Assets</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Carrying</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Carrying</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Fair</w:t>
            </w:r>
          </w:p>
        </w:tc>
        <w:tc>
          <w:tcPr>
            <w:tcW w:w="23" w:type="dxa"/>
            <w:tcBorders/>
            <w:vAlign w:val="center"/>
          </w:tcPr>
          <w:p>
            <w:pPr>
              <w:pStyle w:val="TableContents"/>
              <w:bidi w:val="0"/>
              <w:spacing w:before="0" w:after="0"/>
              <w:ind w:left="0" w:right="0" w:hanging="0"/>
              <w:jc w:val="left"/>
              <w:rPr/>
            </w:pPr>
            <w:r>
              <w:rPr/>
              <w:t>​</w:t>
            </w:r>
          </w:p>
        </w:tc>
      </w:tr>
      <w:tr>
        <w:trPr/>
        <w:tc>
          <w:tcPr>
            <w:tcW w:w="51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1 inputs:</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Amount</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Amount</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Value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Cash and cash equivalents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29,710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29,710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28,219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28,219</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1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2 inputs: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Securities available-for-sale, at fair value</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269,460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269,460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288,667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288,667</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Securities held-to-maturity, gross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35,122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35,183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33,501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34,396</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held for sale, at fair value</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30,548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30,548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43,705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43,705</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receivable, at fair value</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13,159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13,159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13,183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13,183</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cash flow and fair value hedges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4,362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4,362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1,894</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dealer offsets to customer swap positions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3 inputs: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Loans receivable, gross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2,646,998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2,592,028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2,641,926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2,578,744</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MSRs, held at lower of cost or fair value</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8,912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23,202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8,608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21,800</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Mandatory and best effort forward commitments with investors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Fair value interest rate locks with customers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241</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16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1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2 inputs: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165"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Time deposits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957,087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953,560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1,130,396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1,129,892</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Borrowings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324,500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321,465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129,305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128,360</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Subordinated notes, excluding unamortized debt issuance costs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49,241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48,856</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cash flow and fair value hedges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656</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516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Forward TBA mortgage-backed securities</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516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rate swaps - customer swap positions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w:t>
            </w:r>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10</w:t>
      </w:r>
      <w:r>
        <w:rPr>
          <w:rFonts w:ascii="Times New Roman" w:hAnsi="Times New Roman"/>
          <w:caps w:val="false"/>
          <w:smallCaps w:val="false"/>
          <w:sz w:val="20"/>
        </w:rPr>
        <w:t xml:space="preserve"> – </w:t>
      </w:r>
      <w:r>
        <w:rPr>
          <w:rFonts w:ascii="Times New Roman" w:hAnsi="Times New Roman"/>
          <w:b/>
          <w:caps w:val="false"/>
          <w:smallCaps w:val="false"/>
          <w:sz w:val="20"/>
        </w:rPr>
        <w:t>EARNINGS PER SHARE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computes earnings per share using the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-class method, which is an earnings allocation method for computing earnings per share that treats a participating security as having rights to earnings that would otherwise have been available to common shareholders. Basic earnings per share are computed by dividing income available to common shareholders by the weighted average number of common shares outstanding for the period. Unvested share-based awards containing non-forfeitable rights to dividends or dividend equivalents (whether paid or unpaid) are participating securities and are included in the computation of earnings per share pursuant to the </w:t>
      </w:r>
      <w:r>
        <w:rPr>
          <w:rStyle w:val="Emphasis"/>
          <w:rFonts w:ascii="Times New Roman" w:hAnsi="Times New Roman"/>
          <w:caps w:val="false"/>
          <w:smallCaps w:val="false"/>
          <w:sz w:val="20"/>
        </w:rPr>
        <w:t>two</w:t>
      </w:r>
      <w:r>
        <w:rPr>
          <w:rFonts w:ascii="Times New Roman" w:hAnsi="Times New Roman"/>
          <w:caps w:val="false"/>
          <w:smallCaps w:val="false"/>
          <w:sz w:val="20"/>
        </w:rPr>
        <w:t>-class method. Diluted earnings per share reflect the potential dilution that could occur if securities or other contracts to issue common stock were exercised or converted into common stock or resulted in the issuance of common stock that would then share in the earnings of the Company.</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reconciliation of the components used to compute basic and diluted earnings per share at or for the dates indicated: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916"/>
        <w:gridCol w:w="60"/>
        <w:gridCol w:w="152"/>
        <w:gridCol w:w="1030"/>
        <w:gridCol w:w="97"/>
        <w:gridCol w:w="73"/>
        <w:gridCol w:w="152"/>
        <w:gridCol w:w="1030"/>
        <w:gridCol w:w="80"/>
        <w:gridCol w:w="60"/>
        <w:gridCol w:w="148"/>
        <w:gridCol w:w="1004"/>
        <w:gridCol w:w="94"/>
        <w:gridCol w:w="71"/>
        <w:gridCol w:w="148"/>
        <w:gridCol w:w="1004"/>
        <w:gridCol w:w="86"/>
      </w:tblGrid>
      <w:tr>
        <w:trPr/>
        <w:tc>
          <w:tcPr>
            <w:tcW w:w="4916"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4"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or For the Three Months Ended June 30,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6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or For the Six Months Ended June 30,</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916"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FFFFFF" w:val="clear"/>
            <w:vAlign w:val="center"/>
          </w:tcPr>
          <w:p>
            <w:pPr>
              <w:pStyle w:val="TableContents"/>
              <w:bidi w:val="0"/>
              <w:spacing w:before="0" w:after="0"/>
              <w:ind w:left="0" w:right="0" w:hanging="0"/>
              <w:jc w:val="left"/>
              <w:rPr/>
            </w:pPr>
            <w:r>
              <w:rPr/>
              <w:t> </w:t>
            </w:r>
          </w:p>
        </w:tc>
        <w:tc>
          <w:tcPr>
            <w:tcW w:w="11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2026</w:t>
            </w:r>
          </w:p>
        </w:tc>
        <w:tc>
          <w:tcPr>
            <w:tcW w:w="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 w:type="dxa"/>
            <w:tcBorders/>
            <w:shd w:fill="FFFFFF" w:val="clear"/>
            <w:vAlign w:val="center"/>
          </w:tcPr>
          <w:p>
            <w:pPr>
              <w:pStyle w:val="TableContents"/>
              <w:bidi w:val="0"/>
              <w:spacing w:before="0" w:after="0"/>
              <w:ind w:left="0" w:right="0" w:hanging="0"/>
              <w:jc w:val="left"/>
              <w:rPr/>
            </w:pPr>
            <w:r>
              <w:rPr/>
              <w:t> </w:t>
            </w:r>
          </w:p>
        </w:tc>
        <w:tc>
          <w:tcPr>
            <w:tcW w:w="11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2026</w:t>
            </w:r>
          </w:p>
        </w:tc>
        <w:tc>
          <w:tcPr>
            <w:tcW w:w="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11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2025</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91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7,936</w:t>
            </w:r>
          </w:p>
        </w:tc>
        <w:tc>
          <w:tcPr>
            <w:tcW w:w="97" w:type="dxa"/>
            <w:tcBorders/>
            <w:shd w:fill="CCEEFF" w:val="cle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7,728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15,766</w:t>
            </w:r>
          </w:p>
        </w:tc>
        <w:tc>
          <w:tcPr>
            <w:tcW w:w="94"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15,749</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491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Dividends and undistributed earnings allocated to participating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w:t>
            </w:r>
          </w:p>
        </w:tc>
        <w:tc>
          <w:tcPr>
            <w:tcW w:w="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3" w:type="dxa"/>
            <w:tcBorders/>
            <w:shd w:fill="FFFF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(278</w:t>
            </w:r>
          </w:p>
        </w:tc>
        <w:tc>
          <w:tcPr>
            <w:tcW w:w="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1"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91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Net income available to common shareholders</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7,796</w:t>
            </w:r>
          </w:p>
        </w:tc>
        <w:tc>
          <w:tcPr>
            <w:tcW w:w="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7,595</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15,488</w:t>
            </w:r>
          </w:p>
        </w:tc>
        <w:tc>
          <w:tcPr>
            <w:tcW w:w="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15,430</w:t>
            </w:r>
          </w:p>
        </w:tc>
        <w:tc>
          <w:tcPr>
            <w:tcW w:w="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916"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Denominator (shown as actual):</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shd w:fill="FFFFFF" w:val="clear"/>
            <w:vAlign w:val="center"/>
          </w:tcPr>
          <w:p>
            <w:pPr>
              <w:pStyle w:val="TableContents"/>
              <w:bidi w:val="0"/>
              <w:spacing w:before="0" w:after="0"/>
              <w:ind w:left="0" w:right="0" w:hanging="0"/>
              <w:jc w:val="left"/>
              <w:rPr/>
            </w:pPr>
            <w:r>
              <w:rPr/>
              <w:t> </w:t>
            </w:r>
          </w:p>
        </w:tc>
        <w:tc>
          <w:tcPr>
            <w:tcW w:w="1030" w:type="dxa"/>
            <w:tcBorders/>
            <w:shd w:fill="FFFFFF" w:val="clear"/>
            <w:vAlign w:val="center"/>
          </w:tcPr>
          <w:p>
            <w:pPr>
              <w:pStyle w:val="TableContents"/>
              <w:bidi w:val="0"/>
              <w:spacing w:before="0" w:after="0"/>
              <w:ind w:left="0" w:right="0" w:hanging="0"/>
              <w:jc w:val="left"/>
              <w:rPr/>
            </w:pPr>
            <w:r>
              <w:rPr/>
              <w:t> </w:t>
            </w:r>
          </w:p>
        </w:tc>
        <w:tc>
          <w:tcPr>
            <w:tcW w:w="97" w:type="dxa"/>
            <w:tcBorders/>
            <w:shd w:fill="FFFFFF" w:val="clear"/>
            <w:vAlign w:val="center"/>
          </w:tcPr>
          <w:p>
            <w:pPr>
              <w:pStyle w:val="TableContents"/>
              <w:bidi w:val="0"/>
              <w:spacing w:before="0" w:after="0"/>
              <w:ind w:left="0" w:right="0" w:hanging="0"/>
              <w:jc w:val="left"/>
              <w:rPr/>
            </w:pPr>
            <w:r>
              <w:rPr/>
              <w:t>​</w:t>
            </w:r>
          </w:p>
        </w:tc>
        <w:tc>
          <w:tcPr>
            <w:tcW w:w="73" w:type="dxa"/>
            <w:tcBorders/>
            <w:shd w:fill="FFFFFF" w:val="clear"/>
            <w:vAlign w:val="center"/>
          </w:tcPr>
          <w:p>
            <w:pPr>
              <w:pStyle w:val="TableContents"/>
              <w:bidi w:val="0"/>
              <w:spacing w:before="0" w:after="0"/>
              <w:ind w:left="0" w:right="0" w:hanging="0"/>
              <w:jc w:val="left"/>
              <w:rPr/>
            </w:pPr>
            <w:r>
              <w:rPr/>
              <w:t> </w:t>
            </w:r>
          </w:p>
        </w:tc>
        <w:tc>
          <w:tcPr>
            <w:tcW w:w="152" w:type="dxa"/>
            <w:tcBorders/>
            <w:shd w:fill="FFFFFF" w:val="clear"/>
            <w:vAlign w:val="center"/>
          </w:tcPr>
          <w:p>
            <w:pPr>
              <w:pStyle w:val="TableContents"/>
              <w:bidi w:val="0"/>
              <w:spacing w:before="0" w:after="0"/>
              <w:ind w:left="0" w:right="0" w:hanging="0"/>
              <w:jc w:val="left"/>
              <w:rPr/>
            </w:pPr>
            <w:r>
              <w:rPr/>
              <w:t> </w:t>
            </w:r>
          </w:p>
        </w:tc>
        <w:tc>
          <w:tcPr>
            <w:tcW w:w="103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1004" w:type="dxa"/>
            <w:tcBorders/>
            <w:shd w:fill="FFFFFF" w:val="clear"/>
            <w:vAlign w:val="center"/>
          </w:tcPr>
          <w:p>
            <w:pPr>
              <w:pStyle w:val="TableContents"/>
              <w:bidi w:val="0"/>
              <w:spacing w:before="0" w:after="0"/>
              <w:ind w:left="0" w:right="0" w:hanging="0"/>
              <w:jc w:val="left"/>
              <w:rPr/>
            </w:pPr>
            <w:r>
              <w:rPr/>
              <w:t> </w:t>
            </w:r>
          </w:p>
        </w:tc>
        <w:tc>
          <w:tcPr>
            <w:tcW w:w="94" w:type="dxa"/>
            <w:tcBorders/>
            <w:shd w:fill="FFFFFF" w:val="clear"/>
            <w:vAlign w:val="center"/>
          </w:tcPr>
          <w:p>
            <w:pPr>
              <w:pStyle w:val="TableContents"/>
              <w:bidi w:val="0"/>
              <w:spacing w:before="0" w:after="0"/>
              <w:ind w:left="0" w:right="0" w:hanging="0"/>
              <w:jc w:val="left"/>
              <w:rPr/>
            </w:pPr>
            <w:r>
              <w:rPr/>
              <w:t>​</w:t>
            </w:r>
          </w:p>
        </w:tc>
        <w:tc>
          <w:tcPr>
            <w:tcW w:w="71" w:type="dxa"/>
            <w:tcBorders/>
            <w:shd w:fill="FFFFFF" w:val="clear"/>
            <w:vAlign w:val="center"/>
          </w:tcPr>
          <w:p>
            <w:pPr>
              <w:pStyle w:val="TableContents"/>
              <w:bidi w:val="0"/>
              <w:spacing w:before="0" w:after="0"/>
              <w:ind w:left="0" w:right="0" w:hanging="0"/>
              <w:jc w:val="left"/>
              <w:rPr/>
            </w:pPr>
            <w:r>
              <w:rPr/>
              <w:t> </w:t>
            </w:r>
          </w:p>
        </w:tc>
        <w:tc>
          <w:tcPr>
            <w:tcW w:w="148" w:type="dxa"/>
            <w:tcBorders/>
            <w:shd w:fill="FFFFFF" w:val="clear"/>
            <w:vAlign w:val="center"/>
          </w:tcPr>
          <w:p>
            <w:pPr>
              <w:pStyle w:val="TableContents"/>
              <w:bidi w:val="0"/>
              <w:spacing w:before="0" w:after="0"/>
              <w:ind w:left="0" w:right="0" w:hanging="0"/>
              <w:jc w:val="left"/>
              <w:rPr/>
            </w:pPr>
            <w:r>
              <w:rPr/>
              <w:t> </w:t>
            </w:r>
          </w:p>
        </w:tc>
        <w:tc>
          <w:tcPr>
            <w:tcW w:w="1004"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491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 weighted average common shares outstanding</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7,340,326</w:t>
            </w:r>
          </w:p>
        </w:tc>
        <w:tc>
          <w:tcPr>
            <w:tcW w:w="97" w:type="dxa"/>
            <w:tcBorders/>
            <w:shd w:fill="CCEEFF" w:val="cle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0"/>
              <w:ind w:left="0" w:right="0" w:hanging="0"/>
              <w:jc w:val="left"/>
              <w:rPr/>
            </w:pPr>
            <w:r>
              <w:rPr/>
              <w:t> </w:t>
            </w:r>
          </w:p>
        </w:tc>
        <w:tc>
          <w:tcPr>
            <w:tcW w:w="10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7,580,576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7,332,458</w:t>
            </w:r>
          </w:p>
        </w:tc>
        <w:tc>
          <w:tcPr>
            <w:tcW w:w="94"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148" w:type="dxa"/>
            <w:tcBorders/>
            <w:shd w:fill="CCEEFF" w:val="clear"/>
            <w:vAlign w:val="center"/>
          </w:tcPr>
          <w:p>
            <w:pPr>
              <w:pStyle w:val="TableContents"/>
              <w:bidi w:val="0"/>
              <w:spacing w:before="0" w:after="0"/>
              <w:ind w:left="0" w:right="0" w:hanging="0"/>
              <w:jc w:val="left"/>
              <w:rPr/>
            </w:pPr>
            <w:r>
              <w:rPr/>
              <w:t> </w:t>
            </w:r>
          </w:p>
        </w:tc>
        <w:tc>
          <w:tcPr>
            <w:tcW w:w="100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7,637,958</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491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Dilutive shares</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142,873</w:t>
            </w:r>
          </w:p>
        </w:tc>
        <w:tc>
          <w:tcPr>
            <w:tcW w:w="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 w:type="dxa"/>
            <w:tcBorders/>
            <w:shd w:fill="FFFF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117,597</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135,960</w:t>
            </w:r>
          </w:p>
        </w:tc>
        <w:tc>
          <w:tcPr>
            <w:tcW w:w="9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113,928</w:t>
            </w:r>
          </w:p>
        </w:tc>
        <w:tc>
          <w:tcPr>
            <w:tcW w:w="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91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 weighted average common shares outstanding</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7,483,199</w:t>
            </w:r>
          </w:p>
        </w:tc>
        <w:tc>
          <w:tcPr>
            <w:tcW w:w="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3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7,698,173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7,468,418</w:t>
            </w:r>
          </w:p>
        </w:tc>
        <w:tc>
          <w:tcPr>
            <w:tcW w:w="9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14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7,751,886</w:t>
            </w:r>
          </w:p>
        </w:tc>
        <w:tc>
          <w:tcPr>
            <w:tcW w:w="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91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Basic earnings per share</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w:t>
            </w:r>
          </w:p>
        </w:tc>
        <w:tc>
          <w:tcPr>
            <w:tcW w:w="9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 w:type="dxa"/>
            <w:tcBorders/>
            <w:shd w:fill="FFFF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w:t>
            </w:r>
          </w:p>
        </w:tc>
        <w:tc>
          <w:tcPr>
            <w:tcW w:w="9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w:t>
            </w:r>
          </w:p>
        </w:tc>
        <w:tc>
          <w:tcPr>
            <w:tcW w:w="8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91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Diluted earnings per share</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w:t>
            </w:r>
          </w:p>
        </w:tc>
        <w:tc>
          <w:tcPr>
            <w:tcW w:w="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3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0.99</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w:t>
            </w:r>
          </w:p>
        </w:tc>
        <w:tc>
          <w:tcPr>
            <w:tcW w:w="9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0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w:t>
            </w:r>
          </w:p>
        </w:tc>
        <w:tc>
          <w:tcPr>
            <w:tcW w:w="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916"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Potentially dilutive weighted average share options that were not included in the computation of diluted earnings per share because to do so would be anti-dilutive.</w:t>
            </w:r>
          </w:p>
        </w:tc>
        <w:tc>
          <w:tcPr>
            <w:tcW w:w="60" w:type="dxa"/>
            <w:tcBorders/>
            <w:shd w:fill="FFFF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44,968</w:t>
            </w:r>
          </w:p>
        </w:tc>
        <w:tc>
          <w:tcPr>
            <w:tcW w:w="9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3" w:type="dxa"/>
            <w:tcBorders/>
            <w:shd w:fill="FFFFFF" w:val="clear"/>
            <w:vAlign w:val="center"/>
          </w:tcPr>
          <w:p>
            <w:pPr>
              <w:pStyle w:val="TableContents"/>
              <w:bidi w:val="0"/>
              <w:spacing w:before="0" w:after="0"/>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48,225</w:t>
            </w:r>
          </w:p>
        </w:tc>
        <w:tc>
          <w:tcPr>
            <w:tcW w:w="9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14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11</w:t>
      </w:r>
      <w:r>
        <w:rPr>
          <w:rFonts w:ascii="Times New Roman" w:hAnsi="Times New Roman"/>
          <w:caps w:val="false"/>
          <w:smallCaps w:val="false"/>
          <w:sz w:val="20"/>
        </w:rPr>
        <w:t xml:space="preserve"> – </w:t>
      </w:r>
      <w:r>
        <w:rPr>
          <w:rFonts w:ascii="Times New Roman" w:hAnsi="Times New Roman"/>
          <w:b/>
          <w:caps w:val="false"/>
          <w:smallCaps w:val="false"/>
          <w:sz w:val="20"/>
        </w:rPr>
        <w:t>STOCK-BASED COMPENSATION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Stock Options and Restricted Stock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21, 2026, </w:t>
      </w:r>
      <w:r>
        <w:rPr>
          <w:rFonts w:ascii="Times New Roman" w:hAnsi="Times New Roman"/>
          <w:caps w:val="false"/>
          <w:smallCaps w:val="false"/>
          <w:sz w:val="20"/>
        </w:rPr>
        <w:t xml:space="preserve">the shareholders of FS Bancorp approved the FS Bancorp, Inc.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Plan”) which authorized the issuance of up to 315,000 shares of the Company's common stock.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Plan provides for the grant of incentive stock options, nonqualified stock options, restricted stock awards (“RSAs”), and restricted stock units to directors, officers, employees, and other eligible service providers of the Company. At </w:t>
      </w:r>
      <w:r>
        <w:rPr>
          <w:rStyle w:val="Emphasis"/>
          <w:rFonts w:ascii="Times New Roman" w:hAnsi="Times New Roman"/>
          <w:caps w:val="false"/>
          <w:smallCaps w:val="false"/>
          <w:sz w:val="20"/>
        </w:rPr>
        <w:t>June 30, 2026, no</w:t>
      </w:r>
      <w:r>
        <w:rPr>
          <w:rFonts w:ascii="Times New Roman" w:hAnsi="Times New Roman"/>
          <w:caps w:val="false"/>
          <w:smallCaps w:val="false"/>
          <w:sz w:val="20"/>
        </w:rPr>
        <w:t xml:space="preserve"> awards had been granted under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Plan and 315,000 shares remained available for future grants.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May 17, 2018, </w:t>
      </w:r>
      <w:r>
        <w:rPr>
          <w:rFonts w:ascii="Times New Roman" w:hAnsi="Times New Roman"/>
          <w:caps w:val="false"/>
          <w:smallCaps w:val="false"/>
          <w:sz w:val="20"/>
        </w:rPr>
        <w:t xml:space="preserve">the shareholders of FS Bancorp approved the FS Bancorp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Equity Incentive Plan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which authorized 1.3 million shares of the Company’s common stock to be awarded.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provides for the grant of incentive stock options, nonqualified stock options, and up to 326,000 shares as RSAs to directors, emeritus directors, officers, employees and advisory directors of the Company.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there were 52,060 stock option awards and 500 RSAs available for future grants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Total share-based compensation expense was $643,000 and $1.3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$526,000 and $1.0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2025</w:t>
      </w:r>
      <w:r>
        <w:rPr>
          <w:rFonts w:ascii="Times New Roman" w:hAnsi="Times New Roman"/>
          <w:caps w:val="false"/>
          <w:smallCaps w:val="false"/>
          <w:sz w:val="20"/>
        </w:rPr>
        <w:t>,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Stock-based compensation awards are settled by issuing new shares from the Company's pool of authorized but unissued common stock, rather than previously repurchased treasury shares.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Stock Options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Plan and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provide for the grant of stock option awards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designated as either incentive stock options or nonqualified stock options. Stock option awards generally vest over a one-year period for non-employee directors and over a four- or five-year period for employees and officers, with annual vesting in equal installments on the anniversary date of each grant date, provided the award recipient remains in continuous service with the Company.  Options become exercisable after vesting and remain exercisable for the remaining term of the original grant, subject to a maximum term of 10 years. Any unexercised stock options expire 10 years after the grant date, or earlier upon the termination of the recipient's service with the Company or the Bank.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each stock option award is estimated on the grant date using a Black-Scholes option pricing model, which incorporates the following assumptions.  The dividend yield is based on the current quarterly dividend in effect at the time of the grant. The historical volatility of the Company's stock price over a specified period of time is used for the expected volatility.  The Company bases the risk-free interest rate on the comparable U.S. Treasury rate in effect on the grant date for the expected term of the option. The Company elected to use the simplified expected term calculation method permitted by Staff Accounting Bulletin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107</w:t>
      </w:r>
      <w:r>
        <w:rPr>
          <w:rFonts w:ascii="Times New Roman" w:hAnsi="Times New Roman"/>
          <w:caps w:val="false"/>
          <w:smallCaps w:val="false"/>
          <w:sz w:val="20"/>
        </w:rPr>
        <w:t xml:space="preserve"> for “Share-Based Payments” to calculate the expected term. This method uses the vesting term of an option along with the contractual term, setting the expected life at 5.5 years for one-year vesting, 6.25 years for four-year vesting, and 6.5 years for five-year vesting.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summary of the Company’s stock option awards during the dates indicated (shown as actual):</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082"/>
        <w:gridCol w:w="60"/>
        <w:gridCol w:w="60"/>
        <w:gridCol w:w="695"/>
        <w:gridCol w:w="60"/>
        <w:gridCol w:w="60"/>
        <w:gridCol w:w="410"/>
        <w:gridCol w:w="1595"/>
        <w:gridCol w:w="60"/>
        <w:gridCol w:w="60"/>
        <w:gridCol w:w="374"/>
        <w:gridCol w:w="2377"/>
        <w:gridCol w:w="60"/>
        <w:gridCol w:w="60"/>
        <w:gridCol w:w="145"/>
        <w:gridCol w:w="984"/>
        <w:gridCol w:w="63"/>
      </w:tblGrid>
      <w:tr>
        <w:trPr/>
        <w:tc>
          <w:tcPr>
            <w:tcW w:w="3082"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Shares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0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Weighted-Average Exercise Price</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Weighted-Average Remaining Contractual Term In Years</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2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Aggregate Value</w:t>
            </w:r>
          </w:p>
        </w:tc>
        <w:tc>
          <w:tcPr>
            <w:tcW w:w="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082"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Outstanding at January 1, 2026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658,623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33.47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74" w:type="dxa"/>
            <w:tcBorders/>
            <w:shd w:fill="CCEEFF" w:val="clear"/>
            <w:vAlign w:val="center"/>
          </w:tcPr>
          <w:p>
            <w:pPr>
              <w:pStyle w:val="TableContents"/>
              <w:bidi w:val="0"/>
              <w:spacing w:before="0" w:after="0"/>
              <w:ind w:left="0" w:right="0" w:hanging="0"/>
              <w:jc w:val="left"/>
              <w:rPr/>
            </w:pPr>
            <w:r>
              <w:rPr/>
              <w:t> </w:t>
            </w:r>
          </w:p>
        </w:tc>
        <w:tc>
          <w:tcPr>
            <w:tcW w:w="23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5,134,992</w:t>
            </w:r>
          </w:p>
        </w:tc>
        <w:tc>
          <w:tcPr>
            <w:tcW w:w="63" w:type="dxa"/>
            <w:tcBorders/>
            <w:shd w:fill="CCEEFF" w:val="clear"/>
            <w:vAlign w:val="center"/>
          </w:tcPr>
          <w:p>
            <w:pPr>
              <w:pStyle w:val="TableContents"/>
              <w:bidi w:val="0"/>
              <w:spacing w:before="0" w:after="0"/>
              <w:ind w:left="0" w:right="0" w:hanging="0"/>
              <w:jc w:val="left"/>
              <w:rPr/>
            </w:pPr>
            <w:r>
              <w:rPr/>
              <w:t> </w:t>
            </w:r>
          </w:p>
        </w:tc>
      </w:tr>
      <w:tr>
        <w:trPr/>
        <w:tc>
          <w:tcPr>
            <w:tcW w:w="3082"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0"/>
              <w:ind w:left="0" w:right="0" w:hanging="0"/>
              <w:jc w:val="left"/>
              <w:rPr/>
            </w:pPr>
            <w:r>
              <w:rPr/>
              <w:t> </w:t>
            </w:r>
          </w:p>
        </w:tc>
        <w:tc>
          <w:tcPr>
            <w:tcW w:w="1595" w:type="dxa"/>
            <w:tcBorders/>
            <w:shd w:fill="FFFFFF" w:val="clear"/>
            <w:vAlign w:val="center"/>
          </w:tcPr>
          <w:p>
            <w:pPr>
              <w:pStyle w:val="TableContents"/>
              <w:bidi w:val="0"/>
              <w:spacing w:before="0" w:after="0"/>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74" w:type="dxa"/>
            <w:tcBorders/>
            <w:shd w:fill="FFFFFF" w:val="clear"/>
            <w:vAlign w:val="center"/>
          </w:tcPr>
          <w:p>
            <w:pPr>
              <w:pStyle w:val="TableContents"/>
              <w:bidi w:val="0"/>
              <w:spacing w:before="0" w:after="0"/>
              <w:ind w:left="0" w:right="0" w:hanging="0"/>
              <w:jc w:val="left"/>
              <w:rPr/>
            </w:pPr>
            <w:r>
              <w:rPr/>
              <w:t> </w:t>
            </w:r>
          </w:p>
        </w:tc>
        <w:tc>
          <w:tcPr>
            <w:tcW w:w="2377" w:type="dxa"/>
            <w:tcBorders/>
            <w:shd w:fill="FFFFFF" w:val="clear"/>
            <w:vAlign w:val="center"/>
          </w:tcPr>
          <w:p>
            <w:pPr>
              <w:pStyle w:val="TableContents"/>
              <w:bidi w:val="0"/>
              <w:spacing w:before="0" w:after="0"/>
              <w:ind w:left="0" w:right="0" w:hanging="0"/>
              <w:jc w:val="right"/>
              <w:rPr/>
            </w:pPr>
            <w:r>
              <w:rPr>
                <w:rStyle w:val="Emphasis"/>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pPr>
            <w:r>
              <w:rPr/>
              <w:t> </w:t>
            </w:r>
          </w:p>
        </w:tc>
        <w:tc>
          <w:tcPr>
            <w:tcW w:w="984" w:type="dxa"/>
            <w:tcBorders/>
            <w:shd w:fill="FFFFFF" w:val="clear"/>
            <w:vAlign w:val="center"/>
          </w:tcPr>
          <w:p>
            <w:pPr>
              <w:pStyle w:val="TableContents"/>
              <w:bidi w:val="0"/>
              <w:spacing w:before="0" w:after="0"/>
              <w:ind w:left="0" w:right="0" w:hanging="0"/>
              <w:jc w:val="right"/>
              <w:rPr/>
            </w:pPr>
            <w:r>
              <w:rPr/>
              <w:t>—</w:t>
            </w:r>
          </w:p>
        </w:tc>
        <w:tc>
          <w:tcPr>
            <w:tcW w:w="63" w:type="dxa"/>
            <w:tcBorders/>
            <w:shd w:fill="FFFFFF" w:val="clear"/>
            <w:vAlign w:val="center"/>
          </w:tcPr>
          <w:p>
            <w:pPr>
              <w:pStyle w:val="TableContents"/>
              <w:bidi w:val="0"/>
              <w:spacing w:before="0" w:after="0"/>
              <w:ind w:left="0" w:right="0" w:hanging="0"/>
              <w:jc w:val="left"/>
              <w:rPr/>
            </w:pPr>
            <w:r>
              <w:rPr/>
              <w:t> </w:t>
            </w:r>
          </w:p>
        </w:tc>
      </w:tr>
      <w:tr>
        <w:trPr/>
        <w:tc>
          <w:tcPr>
            <w:tcW w:w="3082"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exercised</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14,560</w:t>
            </w:r>
          </w:p>
        </w:tc>
        <w:tc>
          <w:tcPr>
            <w:tcW w:w="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10" w:type="dxa"/>
            <w:tcBorders/>
            <w:shd w:fill="CCEEFF" w:val="clear"/>
            <w:vAlign w:val="center"/>
          </w:tcPr>
          <w:p>
            <w:pPr>
              <w:pStyle w:val="TableContents"/>
              <w:bidi w:val="0"/>
              <w:spacing w:before="0" w:after="0"/>
              <w:ind w:left="0" w:right="0" w:hanging="0"/>
              <w:jc w:val="left"/>
              <w:rPr/>
            </w:pPr>
            <w:r>
              <w:rPr/>
              <w:t> </w:t>
            </w:r>
          </w:p>
        </w:tc>
        <w:tc>
          <w:tcPr>
            <w:tcW w:w="15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30.76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74" w:type="dxa"/>
            <w:tcBorders/>
            <w:shd w:fill="CCEEFF" w:val="clear"/>
            <w:vAlign w:val="center"/>
          </w:tcPr>
          <w:p>
            <w:pPr>
              <w:pStyle w:val="TableContents"/>
              <w:bidi w:val="0"/>
              <w:spacing w:before="0" w:after="0"/>
              <w:ind w:left="0" w:right="0" w:hanging="0"/>
              <w:jc w:val="left"/>
              <w:rPr/>
            </w:pPr>
            <w:r>
              <w:rPr/>
              <w:t> </w:t>
            </w:r>
          </w:p>
        </w:tc>
        <w:tc>
          <w:tcPr>
            <w:tcW w:w="2377" w:type="dxa"/>
            <w:tcBorders/>
            <w:shd w:fill="CCEEFF" w:val="clear"/>
            <w:vAlign w:val="center"/>
          </w:tcPr>
          <w:p>
            <w:pPr>
              <w:pStyle w:val="TableContents"/>
              <w:bidi w:val="0"/>
              <w:spacing w:before="0" w:after="0"/>
              <w:ind w:left="0" w:right="0" w:hanging="0"/>
              <w:jc w:val="right"/>
              <w:rPr/>
            </w:pPr>
            <w:r>
              <w:rPr>
                <w:rStyle w:val="Emphasis"/>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169,447</w:t>
            </w:r>
          </w:p>
        </w:tc>
        <w:tc>
          <w:tcPr>
            <w:tcW w:w="63" w:type="dxa"/>
            <w:tcBorders/>
            <w:shd w:fill="CCEEFF" w:val="clear"/>
            <w:vAlign w:val="center"/>
          </w:tcPr>
          <w:p>
            <w:pPr>
              <w:pStyle w:val="TableContents"/>
              <w:bidi w:val="0"/>
              <w:spacing w:before="0" w:after="0"/>
              <w:ind w:left="0" w:right="0" w:hanging="0"/>
              <w:jc w:val="left"/>
              <w:rPr/>
            </w:pPr>
            <w:r>
              <w:rPr/>
              <w:t> </w:t>
            </w:r>
          </w:p>
        </w:tc>
      </w:tr>
      <w:tr>
        <w:trPr/>
        <w:tc>
          <w:tcPr>
            <w:tcW w:w="3082"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Outstanding at 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644,063</w:t>
            </w:r>
          </w:p>
        </w:tc>
        <w:tc>
          <w:tcPr>
            <w:tcW w:w="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74" w:type="dxa"/>
            <w:tcBorders/>
            <w:shd w:fill="FFFFFF" w:val="clear"/>
            <w:vAlign w:val="center"/>
          </w:tcPr>
          <w:p>
            <w:pPr>
              <w:pStyle w:val="TableContents"/>
              <w:bidi w:val="0"/>
              <w:spacing w:before="0" w:after="0"/>
              <w:ind w:left="0" w:right="0" w:hanging="0"/>
              <w:jc w:val="left"/>
              <w:rPr/>
            </w:pPr>
            <w:r>
              <w:rPr/>
              <w:t> </w:t>
            </w:r>
          </w:p>
        </w:tc>
        <w:tc>
          <w:tcPr>
            <w:tcW w:w="2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6,358,883</w:t>
            </w:r>
          </w:p>
        </w:tc>
        <w:tc>
          <w:tcPr>
            <w:tcW w:w="63" w:type="dxa"/>
            <w:tcBorders/>
            <w:shd w:fill="FFFFFF" w:val="clear"/>
            <w:vAlign w:val="center"/>
          </w:tcPr>
          <w:p>
            <w:pPr>
              <w:pStyle w:val="TableContents"/>
              <w:bidi w:val="0"/>
              <w:spacing w:before="0" w:after="0"/>
              <w:ind w:left="0" w:right="0" w:hanging="0"/>
              <w:jc w:val="left"/>
              <w:rPr/>
            </w:pPr>
            <w:r>
              <w:rPr/>
              <w:t> </w:t>
            </w:r>
          </w:p>
        </w:tc>
      </w:tr>
      <w:tr>
        <w:trPr/>
        <w:tc>
          <w:tcPr>
            <w:tcW w:w="3082"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410" w:type="dxa"/>
            <w:tcBorders/>
            <w:shd w:fill="CCEEFF" w:val="clear"/>
            <w:vAlign w:val="center"/>
          </w:tcPr>
          <w:p>
            <w:pPr>
              <w:pStyle w:val="TableContents"/>
              <w:bidi w:val="0"/>
              <w:spacing w:before="0" w:after="0"/>
              <w:ind w:left="0" w:right="0" w:hanging="0"/>
              <w:jc w:val="left"/>
              <w:rPr/>
            </w:pPr>
            <w:r>
              <w:rPr/>
              <w:t> </w:t>
            </w:r>
          </w:p>
        </w:tc>
        <w:tc>
          <w:tcPr>
            <w:tcW w:w="159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74" w:type="dxa"/>
            <w:tcBorders/>
            <w:shd w:fill="CCEEFF" w:val="clear"/>
            <w:vAlign w:val="center"/>
          </w:tcPr>
          <w:p>
            <w:pPr>
              <w:pStyle w:val="TableContents"/>
              <w:bidi w:val="0"/>
              <w:spacing w:before="0" w:after="0"/>
              <w:ind w:left="0" w:right="0" w:hanging="0"/>
              <w:jc w:val="left"/>
              <w:rPr/>
            </w:pPr>
            <w:r>
              <w:rPr/>
              <w:t> </w:t>
            </w:r>
          </w:p>
        </w:tc>
        <w:tc>
          <w:tcPr>
            <w:tcW w:w="237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w:t>
            </w:r>
          </w:p>
        </w:tc>
      </w:tr>
      <w:tr>
        <w:trPr/>
        <w:tc>
          <w:tcPr>
            <w:tcW w:w="3082"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Expected to vest, assuming a 0.31% annual forfeiture rate at, June 30, 2026 (1)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287,175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37.59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74" w:type="dxa"/>
            <w:tcBorders/>
            <w:shd w:fill="FFFFFF" w:val="clear"/>
            <w:vAlign w:val="center"/>
          </w:tcPr>
          <w:p>
            <w:pPr>
              <w:pStyle w:val="TableContents"/>
              <w:bidi w:val="0"/>
              <w:spacing w:before="0" w:after="0"/>
              <w:ind w:left="0" w:right="0" w:hanging="0"/>
              <w:jc w:val="left"/>
              <w:rPr/>
            </w:pPr>
            <w:r>
              <w:rPr/>
              <w:t> </w:t>
            </w:r>
          </w:p>
        </w:tc>
        <w:tc>
          <w:tcPr>
            <w:tcW w:w="2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1,668,406</w:t>
            </w:r>
          </w:p>
        </w:tc>
        <w:tc>
          <w:tcPr>
            <w:tcW w:w="63" w:type="dxa"/>
            <w:tcBorders/>
            <w:shd w:fill="FFFFFF" w:val="clear"/>
            <w:vAlign w:val="center"/>
          </w:tcPr>
          <w:p>
            <w:pPr>
              <w:pStyle w:val="TableContents"/>
              <w:bidi w:val="0"/>
              <w:spacing w:before="0" w:after="0"/>
              <w:ind w:left="0" w:right="0" w:hanging="0"/>
              <w:jc w:val="left"/>
              <w:rPr/>
            </w:pPr>
            <w:r>
              <w:rPr/>
              <w:t> </w:t>
            </w:r>
          </w:p>
        </w:tc>
      </w:tr>
      <w:tr>
        <w:trPr/>
        <w:tc>
          <w:tcPr>
            <w:tcW w:w="3082"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9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410" w:type="dxa"/>
            <w:tcBorders/>
            <w:shd w:fill="CCEEFF" w:val="clear"/>
            <w:vAlign w:val="center"/>
          </w:tcPr>
          <w:p>
            <w:pPr>
              <w:pStyle w:val="TableContents"/>
              <w:bidi w:val="0"/>
              <w:spacing w:before="0" w:after="0"/>
              <w:ind w:left="0" w:right="0" w:hanging="0"/>
              <w:jc w:val="left"/>
              <w:rPr/>
            </w:pPr>
            <w:r>
              <w:rPr/>
              <w:t> </w:t>
            </w:r>
          </w:p>
        </w:tc>
        <w:tc>
          <w:tcPr>
            <w:tcW w:w="159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374" w:type="dxa"/>
            <w:tcBorders/>
            <w:shd w:fill="CCEEFF" w:val="clear"/>
            <w:vAlign w:val="center"/>
          </w:tcPr>
          <w:p>
            <w:pPr>
              <w:pStyle w:val="TableContents"/>
              <w:bidi w:val="0"/>
              <w:spacing w:before="0" w:after="0"/>
              <w:ind w:left="0" w:right="0" w:hanging="0"/>
              <w:jc w:val="left"/>
              <w:rPr/>
            </w:pPr>
            <w:r>
              <w:rPr/>
              <w:t> </w:t>
            </w:r>
          </w:p>
        </w:tc>
        <w:tc>
          <w:tcPr>
            <w:tcW w:w="2377"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5" w:type="dxa"/>
            <w:tcBorders/>
            <w:shd w:fill="CCEEFF" w:val="clear"/>
            <w:vAlign w:val="center"/>
          </w:tcPr>
          <w:p>
            <w:pPr>
              <w:pStyle w:val="TableContents"/>
              <w:bidi w:val="0"/>
              <w:spacing w:before="0" w:after="0"/>
              <w:ind w:left="0" w:right="0" w:hanging="0"/>
              <w:jc w:val="left"/>
              <w:rPr/>
            </w:pPr>
            <w:r>
              <w:rPr/>
              <w:t> </w:t>
            </w:r>
          </w:p>
        </w:tc>
        <w:tc>
          <w:tcPr>
            <w:tcW w:w="984"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w:t>
            </w:r>
          </w:p>
        </w:tc>
      </w:tr>
      <w:tr>
        <w:trPr/>
        <w:tc>
          <w:tcPr>
            <w:tcW w:w="3082"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Exercisable at June 30, 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356,888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5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74" w:type="dxa"/>
            <w:tcBorders/>
            <w:shd w:fill="FFFFFF" w:val="clear"/>
            <w:vAlign w:val="center"/>
          </w:tcPr>
          <w:p>
            <w:pPr>
              <w:pStyle w:val="TableContents"/>
              <w:bidi w:val="0"/>
              <w:spacing w:before="0" w:after="0"/>
              <w:ind w:left="0" w:right="0" w:hanging="0"/>
              <w:jc w:val="left"/>
              <w:rPr/>
            </w:pPr>
            <w:r>
              <w:rPr/>
              <w:t> </w:t>
            </w:r>
          </w:p>
        </w:tc>
        <w:tc>
          <w:tcPr>
            <w:tcW w:w="23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4,690,477</w:t>
            </w:r>
          </w:p>
        </w:tc>
        <w:tc>
          <w:tcPr>
            <w:tcW w:w="63"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60"/>
        <w:gridCol w:w="223"/>
        <w:gridCol w:w="9922"/>
      </w:tblGrid>
      <w:tr>
        <w:trPr/>
        <w:tc>
          <w:tcPr>
            <w:tcW w:w="60" w:type="dxa"/>
            <w:tcBorders/>
            <w:vAlign w:val="center"/>
          </w:tcPr>
          <w:p>
            <w:pPr>
              <w:pStyle w:val="TableContents"/>
              <w:bidi w:val="0"/>
              <w:spacing w:before="0" w:after="0"/>
              <w:ind w:left="0" w:right="0" w:hanging="0"/>
              <w:jc w:val="left"/>
              <w:rPr/>
            </w:pPr>
            <w:r>
              <w:rPr/>
              <w:t> </w:t>
            </w:r>
          </w:p>
        </w:tc>
        <w:tc>
          <w:tcPr>
            <w:tcW w:w="223" w:type="dxa"/>
            <w:tcBorders/>
            <w:vAlign w:val="center"/>
          </w:tcPr>
          <w:p>
            <w:pPr>
              <w:pStyle w:val="TableContents"/>
              <w:bidi w:val="0"/>
              <w:spacing w:before="0" w:after="0"/>
              <w:ind w:left="0" w:right="0" w:hanging="0"/>
              <w:jc w:val="left"/>
              <w:rPr/>
            </w:pP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w:t>
            </w:r>
          </w:p>
        </w:tc>
        <w:tc>
          <w:tcPr>
            <w:tcW w:w="992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Forfeiture rate has been calculated and estimated, based on historical employment data, to assume a forfeiture of 3.1% of the options over 10 years.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there was $2.2 million of total unrecognized compensation cost related to nonvested stock options granted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The cost is expected to be recognized over the remaining weighted-average vesting period of 2.8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u w:val="single"/>
        </w:rPr>
        <w:t>Restricted Stock Awards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fair value of RSAs is equal to the market price of FS Bancorp’s common stock on the grant date. Compensation expense is recognized over the vesting period of the awards based on the fair value of the restricted stock. Shares granted under the </w:t>
      </w:r>
      <w:r>
        <w:rPr>
          <w:rStyle w:val="Emphasis"/>
          <w:rFonts w:ascii="Times New Roman" w:hAnsi="Times New Roman"/>
          <w:caps w:val="false"/>
          <w:smallCaps w:val="false"/>
          <w:sz w:val="20"/>
        </w:rPr>
        <w:t>2026</w:t>
      </w:r>
      <w:r>
        <w:rPr>
          <w:rFonts w:ascii="Times New Roman" w:hAnsi="Times New Roman"/>
          <w:caps w:val="false"/>
          <w:smallCaps w:val="false"/>
          <w:sz w:val="20"/>
        </w:rPr>
        <w:t xml:space="preserve"> Plan and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generally vest over a four- or five-year period for employees and officers, beginning on the grant date, and over a one-year period for non-employee directors, with vesting occurring at the end of the </w:t>
      </w:r>
      <w:r>
        <w:rPr>
          <w:rStyle w:val="Emphasis"/>
          <w:rFonts w:ascii="Times New Roman" w:hAnsi="Times New Roman"/>
          <w:caps w:val="false"/>
          <w:smallCaps w:val="false"/>
          <w:sz w:val="20"/>
        </w:rPr>
        <w:t>one</w:t>
      </w:r>
      <w:r>
        <w:rPr>
          <w:rFonts w:ascii="Times New Roman" w:hAnsi="Times New Roman"/>
          <w:caps w:val="false"/>
          <w:smallCaps w:val="false"/>
          <w:sz w:val="20"/>
        </w:rPr>
        <w:t>-year period.  Any nonvested RSAs are forfeited upon the award recipient’s termination of service with the Company or the Bank.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a summary of the Company’s nonvested awards during the dates indicated (shown as actual):</w:t>
      </w:r>
    </w:p>
    <w:p>
      <w:pPr>
        <w:pStyle w:val="TextBody"/>
        <w:bidi w:val="0"/>
        <w:spacing w:before="0" w:after="0"/>
        <w:ind w:left="0" w:right="0" w:hanging="0"/>
        <w:jc w:val="left"/>
        <w:rPr/>
      </w:pPr>
      <w:r>
        <w:rPr/>
        <w:t> </w:t>
      </w:r>
    </w:p>
    <w:tbl>
      <w:tblPr>
        <w:tblW w:w="7389" w:type="dxa"/>
        <w:jc w:val="left"/>
        <w:tblInd w:w="0" w:type="dxa"/>
        <w:tblLayout w:type="fixed"/>
        <w:tblCellMar>
          <w:top w:w="0" w:type="dxa"/>
          <w:left w:w="0" w:type="dxa"/>
          <w:bottom w:w="28" w:type="dxa"/>
          <w:right w:w="0" w:type="dxa"/>
        </w:tblCellMar>
      </w:tblPr>
      <w:tblGrid>
        <w:gridCol w:w="2420"/>
        <w:gridCol w:w="23"/>
        <w:gridCol w:w="23"/>
        <w:gridCol w:w="695"/>
        <w:gridCol w:w="23"/>
        <w:gridCol w:w="23"/>
        <w:gridCol w:w="850"/>
        <w:gridCol w:w="3309"/>
        <w:gridCol w:w="23"/>
      </w:tblGrid>
      <w:tr>
        <w:trPr/>
        <w:tc>
          <w:tcPr>
            <w:tcW w:w="2420" w:type="dxa"/>
            <w:tcBorders>
              <w:bottom w:val="single" w:sz="2" w:space="0" w:color="000000"/>
            </w:tcBorders>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Nonvested Shares</w:t>
            </w:r>
          </w:p>
        </w:tc>
        <w:tc>
          <w:tcPr>
            <w:tcW w:w="23" w:type="dxa"/>
            <w:tcBorders/>
            <w:tcMar>
              <w:bottom w:w="0" w:type="dxa"/>
            </w:tcMar>
            <w:vAlign w:val="center"/>
          </w:tcPr>
          <w:p>
            <w:pPr>
              <w:pStyle w:val="TableContents"/>
              <w:bidi w:val="0"/>
              <w:spacing w:before="0" w:after="0"/>
              <w:ind w:left="0" w:right="0" w:hanging="0"/>
              <w:jc w:val="left"/>
              <w:rPr/>
            </w:pPr>
            <w:r>
              <w:rPr/>
              <w:t>​</w:t>
            </w:r>
          </w:p>
        </w:tc>
        <w:tc>
          <w:tcPr>
            <w:tcW w:w="718"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Shares</w:t>
            </w:r>
          </w:p>
        </w:tc>
        <w:tc>
          <w:tcPr>
            <w:tcW w:w="23" w:type="dxa"/>
            <w:tcBorders>
              <w:bottom w:val="single" w:sz="2" w:space="0" w:color="000000"/>
            </w:tcBorders>
            <w:vAlign w:val="center"/>
          </w:tcPr>
          <w:p>
            <w:pPr>
              <w:pStyle w:val="TableContents"/>
              <w:bidi w:val="0"/>
              <w:spacing w:before="0" w:after="0"/>
              <w:ind w:left="0" w:right="0" w:hanging="0"/>
              <w:jc w:val="left"/>
              <w:rPr/>
            </w:pPr>
            <w:r>
              <w:rPr/>
              <w:t>​</w:t>
            </w:r>
          </w:p>
        </w:tc>
        <w:tc>
          <w:tcPr>
            <w:tcW w:w="23" w:type="dxa"/>
            <w:tcBorders/>
            <w:tcMar>
              <w:bottom w:w="0" w:type="dxa"/>
            </w:tcMar>
            <w:vAlign w:val="center"/>
          </w:tcPr>
          <w:p>
            <w:pPr>
              <w:pStyle w:val="TableContents"/>
              <w:bidi w:val="0"/>
              <w:spacing w:before="0" w:after="0"/>
              <w:ind w:left="0" w:right="0" w:hanging="0"/>
              <w:jc w:val="left"/>
              <w:rPr/>
            </w:pPr>
            <w:r>
              <w:rPr/>
              <w:t>​</w:t>
            </w:r>
          </w:p>
        </w:tc>
        <w:tc>
          <w:tcPr>
            <w:tcW w:w="415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Weighted-Average Grant-Date Fair Value Per Share</w:t>
            </w:r>
          </w:p>
        </w:tc>
        <w:tc>
          <w:tcPr>
            <w:tcW w:w="23" w:type="dxa"/>
            <w:tcBorders>
              <w:bottom w:val="single" w:sz="2" w:space="0" w:color="000000"/>
            </w:tcBorders>
            <w:vAlign w:val="center"/>
          </w:tcPr>
          <w:p>
            <w:pPr>
              <w:pStyle w:val="TableContents"/>
              <w:bidi w:val="0"/>
              <w:spacing w:before="0" w:after="0"/>
              <w:ind w:left="0" w:right="0" w:hanging="0"/>
              <w:jc w:val="left"/>
              <w:rPr/>
            </w:pPr>
            <w:r>
              <w:rPr/>
              <w:t>​</w:t>
            </w:r>
          </w:p>
        </w:tc>
      </w:tr>
      <w:tr>
        <w:trPr/>
        <w:tc>
          <w:tcPr>
            <w:tcW w:w="2420" w:type="dxa"/>
            <w:tcBorders/>
            <w:shd w:fill="CCEE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Nonvested at January 1, 2026</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69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102,971</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850"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309"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37.73</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2420" w:type="dxa"/>
            <w:tcBorders/>
            <w:shd w:fill="FFFF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695" w:type="dxa"/>
            <w:tcBorders/>
            <w:shd w:fill="FFFFFF" w:val="clear"/>
            <w:tcMar>
              <w:bottom w:w="0" w:type="dxa"/>
            </w:tcMar>
            <w:vAlign w:val="center"/>
          </w:tcPr>
          <w:p>
            <w:pPr>
              <w:pStyle w:val="TableContents"/>
              <w:bidi w:val="0"/>
              <w:spacing w:before="0" w:after="0"/>
              <w:ind w:left="0" w:right="0" w:hanging="0"/>
              <w:jc w:val="righ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850" w:type="dxa"/>
            <w:tcBorders/>
            <w:shd w:fill="FFFFFF" w:val="clear"/>
            <w:tcMar>
              <w:bottom w:w="0" w:type="dxa"/>
            </w:tcMar>
            <w:vAlign w:val="center"/>
          </w:tcPr>
          <w:p>
            <w:pPr>
              <w:pStyle w:val="TableContents"/>
              <w:bidi w:val="0"/>
              <w:spacing w:before="0" w:after="0"/>
              <w:ind w:left="0" w:right="0" w:hanging="0"/>
              <w:jc w:val="left"/>
              <w:rPr/>
            </w:pPr>
            <w:r>
              <w:rPr/>
              <w:t>​</w:t>
            </w:r>
          </w:p>
        </w:tc>
        <w:tc>
          <w:tcPr>
            <w:tcW w:w="3309" w:type="dxa"/>
            <w:tcBorders/>
            <w:shd w:fill="FFFFFF" w:val="clear"/>
            <w:tcMar>
              <w:bottom w:w="0" w:type="dxa"/>
            </w:tcMar>
            <w:vAlign w:val="center"/>
          </w:tcPr>
          <w:p>
            <w:pPr>
              <w:pStyle w:val="TableContents"/>
              <w:bidi w:val="0"/>
              <w:spacing w:before="0" w:after="0"/>
              <w:ind w:left="0" w:right="0" w:hanging="0"/>
              <w:jc w:val="righ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r>
      <w:tr>
        <w:trPr/>
        <w:tc>
          <w:tcPr>
            <w:tcW w:w="2420" w:type="dxa"/>
            <w:tcBorders/>
            <w:shd w:fill="CCEEFF" w:val="clear"/>
            <w:tcMar>
              <w:bottom w:w="0" w:type="dxa"/>
            </w:tcM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vested</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850" w:type="dxa"/>
            <w:tcBorders/>
            <w:shd w:fill="CCEEFF" w:val="clear"/>
            <w:tcMar>
              <w:bottom w:w="0" w:type="dxa"/>
            </w:tcMar>
            <w:vAlign w:val="center"/>
          </w:tcPr>
          <w:p>
            <w:pPr>
              <w:pStyle w:val="TableContents"/>
              <w:bidi w:val="0"/>
              <w:spacing w:before="0" w:after="0"/>
              <w:ind w:left="0" w:right="0" w:hanging="0"/>
              <w:jc w:val="left"/>
              <w:rPr/>
            </w:pPr>
            <w:r>
              <w:rPr/>
              <w:t>​</w:t>
            </w:r>
          </w:p>
        </w:tc>
        <w:tc>
          <w:tcPr>
            <w:tcW w:w="3309" w:type="dxa"/>
            <w:tcBorders/>
            <w:shd w:fill="CCEEFF" w:val="clear"/>
            <w:tcMar>
              <w:bottom w:w="0" w:type="dxa"/>
            </w:tcMar>
            <w:vAlign w:val="center"/>
          </w:tcPr>
          <w:p>
            <w:pPr>
              <w:pStyle w:val="TableContents"/>
              <w:bidi w:val="0"/>
              <w:spacing w:before="0" w:after="0"/>
              <w:ind w:left="0" w:right="0" w:hanging="0"/>
              <w:jc w:val="righ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2420" w:type="dxa"/>
            <w:tcBorders/>
            <w:shd w:fill="FFFF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Nonvested at June 30, 2026</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bottom w:val="double" w:sz="6" w:space="0" w:color="000000"/>
            </w:tcBorders>
            <w:shd w:fill="FFFFFF" w:val="clear"/>
            <w:vAlign w:val="center"/>
          </w:tcPr>
          <w:p>
            <w:pPr>
              <w:pStyle w:val="TableContents"/>
              <w:bidi w:val="0"/>
              <w:spacing w:before="0" w:after="0"/>
              <w:ind w:left="0" w:right="0" w:hanging="0"/>
              <w:jc w:val="left"/>
              <w:rPr/>
            </w:pPr>
            <w:r>
              <w:rPr/>
              <w:t>​</w:t>
            </w:r>
          </w:p>
        </w:tc>
        <w:tc>
          <w:tcPr>
            <w:tcW w:w="695"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102,971</w:t>
            </w:r>
          </w:p>
        </w:tc>
        <w:tc>
          <w:tcPr>
            <w:tcW w:w="23" w:type="dxa"/>
            <w:tcBorders>
              <w:bottom w:val="double" w:sz="6" w:space="0" w:color="000000"/>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850"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3309"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37.73</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there was $2.6 million of total unrecognized compensation cost related to nonvested shares granted under the </w:t>
      </w:r>
      <w:r>
        <w:rPr>
          <w:rStyle w:val="Emphasis"/>
          <w:rFonts w:ascii="Times New Roman" w:hAnsi="Times New Roman"/>
          <w:caps w:val="false"/>
          <w:smallCaps w:val="false"/>
          <w:sz w:val="20"/>
        </w:rPr>
        <w:t>2018</w:t>
      </w:r>
      <w:r>
        <w:rPr>
          <w:rFonts w:ascii="Times New Roman" w:hAnsi="Times New Roman"/>
          <w:caps w:val="false"/>
          <w:smallCaps w:val="false"/>
          <w:sz w:val="20"/>
        </w:rPr>
        <w:t xml:space="preserve"> Plan as RSAs. The cost is expected to be recognized over the remaining weighted-average vesting period of 2.8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12</w:t>
      </w:r>
      <w:r>
        <w:rPr>
          <w:rFonts w:ascii="Times New Roman" w:hAnsi="Times New Roman"/>
          <w:caps w:val="false"/>
          <w:smallCaps w:val="false"/>
          <w:sz w:val="20"/>
        </w:rPr>
        <w:t xml:space="preserve"> – </w:t>
      </w:r>
      <w:r>
        <w:rPr>
          <w:rFonts w:ascii="Times New Roman" w:hAnsi="Times New Roman"/>
          <w:b/>
          <w:caps w:val="false"/>
          <w:smallCaps w:val="false"/>
          <w:sz w:val="20"/>
        </w:rPr>
        <w:t>REGULATORY CAPITAL</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 is subject to various regulatory capital requirements administered by the Federal Reserve and the FDIC. Failure to meet minimum capital requirements can initiate certain mandatory and possibly additional discretionary actions by regulators that, if undertaken, could have a material effect on the Company’s consolidated financial statements. Under capital adequacy guidelines of the regulatory framework for prompt corrective action, the Bank must meet specific capital adequacy guidelines that involve quantitative measures of the Bank’s assets, liabilities, and certain off-balance sheet items as calculated under regulatory accounting practices. The Bank’s capital classification is also subject to qualitative judgments by the regulators about components, risk weightings, and other factors.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Under capital adequacy guidelines of the regulatory framework for prompt corrective action, quantitative measures established by regulation to ensure capital adequacy require the Bank to maintain minimum amounts and ratios (set forth in the table below) of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capital (as defined in the regulations) to total average assets (as defined in the regulations), and minimum ratios of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total capital (as defined in the regulations) and common equity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“CET1”</w:t>
      </w:r>
      <w:r>
        <w:rPr>
          <w:rFonts w:ascii="Times New Roman" w:hAnsi="Times New Roman"/>
          <w:caps w:val="false"/>
          <w:smallCaps w:val="false"/>
          <w:sz w:val="20"/>
        </w:rPr>
        <w:t>) capital to risk-weighted assets (as defined).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Bank must maintain minimum total risk-based,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risk-based,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leverage, and </w:t>
      </w:r>
      <w:r>
        <w:rPr>
          <w:rStyle w:val="Emphasis"/>
          <w:rFonts w:ascii="Times New Roman" w:hAnsi="Times New Roman"/>
          <w:caps w:val="false"/>
          <w:smallCaps w:val="false"/>
          <w:sz w:val="20"/>
        </w:rPr>
        <w:t>CET1</w:t>
      </w:r>
      <w:r>
        <w:rPr>
          <w:rFonts w:ascii="Times New Roman" w:hAnsi="Times New Roman"/>
          <w:caps w:val="false"/>
          <w:smallCaps w:val="false"/>
          <w:sz w:val="20"/>
        </w:rPr>
        <w:t xml:space="preserve"> capital ratios as set forth in the table below to be categorized as “well capitalized”.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 Bank was categorized as “well capitalized” under applicable regulatory requirements. There were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conditions or events since that date that management believes have changed the Bank’s category. Management believes,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that the Bank met all capital adequacy requirements.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tables compare the Bank’s actual capital amounts and ratios to their minimum regulatory capital requirements and well capitalized regulatory capital at the dates indicated:</w:t>
      </w:r>
    </w:p>
    <w:p>
      <w:pPr>
        <w:pStyle w:val="TextBody"/>
        <w:bidi w:val="0"/>
        <w:spacing w:before="0" w:after="0"/>
        <w:ind w:left="0" w:right="0" w:hanging="0"/>
        <w:jc w:val="left"/>
        <w:rPr/>
      </w:pPr>
      <w:r>
        <w:rPr/>
        <w:t> </w:t>
      </w:r>
    </w:p>
    <w:tbl>
      <w:tblPr>
        <w:tblW w:w="10123" w:type="dxa"/>
        <w:jc w:val="left"/>
        <w:tblInd w:w="0" w:type="dxa"/>
        <w:tblLayout w:type="fixed"/>
        <w:tblCellMar>
          <w:top w:w="0" w:type="dxa"/>
          <w:left w:w="0" w:type="dxa"/>
          <w:bottom w:w="0" w:type="dxa"/>
          <w:right w:w="0" w:type="dxa"/>
        </w:tblCellMar>
      </w:tblPr>
      <w:tblGrid>
        <w:gridCol w:w="3500"/>
        <w:gridCol w:w="60"/>
        <w:gridCol w:w="110"/>
        <w:gridCol w:w="605"/>
        <w:gridCol w:w="60"/>
        <w:gridCol w:w="60"/>
        <w:gridCol w:w="60"/>
        <w:gridCol w:w="425"/>
        <w:gridCol w:w="170"/>
        <w:gridCol w:w="60"/>
        <w:gridCol w:w="127"/>
        <w:gridCol w:w="703"/>
        <w:gridCol w:w="69"/>
        <w:gridCol w:w="69"/>
        <w:gridCol w:w="69"/>
        <w:gridCol w:w="389"/>
        <w:gridCol w:w="170"/>
        <w:gridCol w:w="60"/>
        <w:gridCol w:w="110"/>
        <w:gridCol w:w="605"/>
        <w:gridCol w:w="60"/>
        <w:gridCol w:w="60"/>
        <w:gridCol w:w="60"/>
        <w:gridCol w:w="425"/>
        <w:gridCol w:w="170"/>
        <w:gridCol w:w="60"/>
        <w:gridCol w:w="77"/>
        <w:gridCol w:w="781"/>
        <w:gridCol w:w="77"/>
        <w:gridCol w:w="77"/>
        <w:gridCol w:w="77"/>
        <w:gridCol w:w="548"/>
        <w:gridCol w:w="170"/>
      </w:tblGrid>
      <w:tr>
        <w:trPr/>
        <w:tc>
          <w:tcPr>
            <w:tcW w:w="35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rStyle w:val="Emphasis"/>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703" w:type="dxa"/>
            <w:tcBorders/>
            <w:shd w:fill="FFFFFF" w:val="clear"/>
            <w:vAlign w:val="center"/>
          </w:tcPr>
          <w:p>
            <w:pPr>
              <w:pStyle w:val="TableContents"/>
              <w:bidi w:val="0"/>
              <w:spacing w:before="0" w:after="0"/>
              <w:ind w:left="0" w:right="0" w:hanging="0"/>
              <w:jc w:val="left"/>
              <w:rPr/>
            </w:pPr>
            <w:r>
              <w:rPr>
                <w:rStyle w:val="Emphasis"/>
              </w:rPr>
              <w:t> </w:t>
            </w:r>
          </w:p>
        </w:tc>
        <w:tc>
          <w:tcPr>
            <w:tcW w:w="69" w:type="dxa"/>
            <w:tcBorders/>
            <w:shd w:fill="FFFFFF" w:val="clear"/>
            <w:vAlign w:val="center"/>
          </w:tcPr>
          <w:p>
            <w:pPr>
              <w:pStyle w:val="TableContents"/>
              <w:bidi w:val="0"/>
              <w:spacing w:before="0" w:after="0"/>
              <w:ind w:left="0" w:right="0" w:hanging="0"/>
              <w:jc w:val="left"/>
              <w:rPr/>
            </w:pPr>
            <w:r>
              <w:rPr/>
              <w:t>​</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left"/>
              <w:rPr/>
            </w:pPr>
            <w:r>
              <w:rPr>
                <w:rStyle w:val="Emphasis"/>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rStyle w:val="Emphasis"/>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37"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8"/>
              </w:rPr>
              <w:t>To be Well Capitalized</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35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rStyle w:val="Emphasis"/>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703" w:type="dxa"/>
            <w:tcBorders/>
            <w:shd w:fill="FFFFFF" w:val="clear"/>
            <w:vAlign w:val="center"/>
          </w:tcPr>
          <w:p>
            <w:pPr>
              <w:pStyle w:val="TableContents"/>
              <w:bidi w:val="0"/>
              <w:spacing w:before="0" w:after="0"/>
              <w:ind w:left="0" w:right="0" w:hanging="0"/>
              <w:jc w:val="left"/>
              <w:rPr/>
            </w:pPr>
            <w:r>
              <w:rPr>
                <w:rStyle w:val="Emphasis"/>
              </w:rPr>
              <w:t> </w:t>
            </w:r>
          </w:p>
        </w:tc>
        <w:tc>
          <w:tcPr>
            <w:tcW w:w="69" w:type="dxa"/>
            <w:tcBorders/>
            <w:shd w:fill="FFFFFF" w:val="clear"/>
            <w:vAlign w:val="center"/>
          </w:tcPr>
          <w:p>
            <w:pPr>
              <w:pStyle w:val="TableContents"/>
              <w:bidi w:val="0"/>
              <w:spacing w:before="0" w:after="0"/>
              <w:ind w:left="0" w:right="0" w:hanging="0"/>
              <w:jc w:val="left"/>
              <w:rPr/>
            </w:pPr>
            <w:r>
              <w:rPr/>
              <w:t>​</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left"/>
              <w:rPr/>
            </w:pPr>
            <w:r>
              <w:rPr>
                <w:rStyle w:val="Emphasis"/>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32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8"/>
              </w:rPr>
              <w:t>For Capital</w:t>
            </w:r>
          </w:p>
        </w:tc>
        <w:tc>
          <w:tcPr>
            <w:tcW w:w="1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7"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8"/>
              </w:rPr>
              <w:t>Under Prompt</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35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rStyle w:val="Emphasis"/>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26"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8"/>
              </w:rPr>
              <w:t>For Capital</w:t>
            </w:r>
          </w:p>
        </w:tc>
        <w:tc>
          <w:tcPr>
            <w:tcW w:w="1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0"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8"/>
              </w:rPr>
              <w:t>Adequacy With</w:t>
            </w:r>
          </w:p>
        </w:tc>
        <w:tc>
          <w:tcPr>
            <w:tcW w:w="1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7" w:type="dxa"/>
            <w:gridSpan w:val="6"/>
            <w:tcBorders/>
            <w:shd w:fill="FFFFFF" w:val="cle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8"/>
              </w:rPr>
              <w:t>Corrective</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35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8"/>
              </w:rPr>
              <w:t>Actual</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8"/>
              </w:rPr>
              <w:t>Adequacy Purposes</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2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8"/>
              </w:rPr>
              <w:t>Capital Buffer</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37"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8"/>
              </w:rPr>
              <w:t>Action Provisions</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5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8"/>
              </w:rPr>
              <w:t>Ratio</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8"/>
              </w:rPr>
              <w:t>Amount</w:t>
            </w:r>
          </w:p>
        </w:tc>
        <w:tc>
          <w:tcPr>
            <w:tcW w:w="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4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8"/>
              </w:rPr>
              <w:t>Ratio</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8"/>
              </w:rPr>
              <w:t>Amount</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8"/>
              </w:rPr>
              <w:t>Ratio</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8"/>
              </w:rPr>
              <w:t>Amount</w:t>
            </w:r>
          </w:p>
        </w:tc>
        <w:tc>
          <w:tcPr>
            <w:tcW w:w="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62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18"/>
              </w:rPr>
              <w:t>Ratio</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3500" w:type="dxa"/>
            <w:tcBorders/>
            <w:shd w:fill="CCEEFF" w:val="clear"/>
            <w:vAlign w:val="center"/>
          </w:tcPr>
          <w:p>
            <w:pPr>
              <w:pStyle w:val="TableContents"/>
              <w:bidi w:val="0"/>
              <w:spacing w:before="0" w:after="0"/>
              <w:jc w:val="left"/>
              <w:rPr>
                <w:rFonts w:ascii="Times New Roman" w:hAnsi="Times New Roman"/>
                <w:caps w:val="false"/>
                <w:smallCaps w:val="false"/>
                <w:sz w:val="18"/>
              </w:rPr>
            </w:pPr>
            <w:r>
              <w:rPr>
                <w:rFonts w:ascii="Times New Roman" w:hAnsi="Times New Roman"/>
                <w:caps w:val="false"/>
                <w:smallCaps w:val="false"/>
                <w:sz w:val="18"/>
              </w:rPr>
              <w:t>At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r>
      <w:tr>
        <w:trPr/>
        <w:tc>
          <w:tcPr>
            <w:tcW w:w="3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Total risk-based capital (to risk-weighted assets)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703"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81"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548"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r>
      <w:tr>
        <w:trPr/>
        <w:tc>
          <w:tcPr>
            <w:tcW w:w="3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Consolidated</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393,122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13.87</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226,733</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8.00</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297,587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10.50</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3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Bank Only</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397,094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14.01</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703"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226,733</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8.00</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297,587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10.50</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81"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283,416</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10.00</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Tier 1 risk-based capital (to risk-weighted assets)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r>
      <w:tr>
        <w:trPr/>
        <w:tc>
          <w:tcPr>
            <w:tcW w:w="3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Consolidated</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319,951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11.29</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703"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170,050</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6.00</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240,904</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8.50</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81"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548"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3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Bank Only</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363,923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12.84</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170,050</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6.00</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240,904</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8.50</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226,733</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8.00</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Tier 1 leverage capital (to average assets)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703"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81"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548"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r>
      <w:tr>
        <w:trPr/>
        <w:tc>
          <w:tcPr>
            <w:tcW w:w="3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Consolidated</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319,951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10.05</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127,364</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4.00</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17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3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Bank Only</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363,923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11.43</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703"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127,364</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4.00</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1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81"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159,205</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5.00</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CET1 capital (to risk-weighted assets)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r>
      <w:tr>
        <w:trPr/>
        <w:tc>
          <w:tcPr>
            <w:tcW w:w="3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Consolidated</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319,951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11.29</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703"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127,537</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4.50</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198,391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7.00</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81"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548"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3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Bank Only</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363,923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12.84</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127,537</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4.50</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198,391</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7.00</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184,220</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6.50</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5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703"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81"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548"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r>
      <w:tr>
        <w:trPr/>
        <w:tc>
          <w:tcPr>
            <w:tcW w:w="3500" w:type="dxa"/>
            <w:tcBorders/>
            <w:shd w:fill="CCEEFF" w:val="clear"/>
            <w:vAlign w:val="center"/>
          </w:tcPr>
          <w:p>
            <w:pPr>
              <w:pStyle w:val="TableContents"/>
              <w:bidi w:val="0"/>
              <w:spacing w:before="0" w:after="0"/>
              <w:jc w:val="left"/>
              <w:rPr>
                <w:rFonts w:ascii="Times New Roman" w:hAnsi="Times New Roman"/>
                <w:caps w:val="false"/>
                <w:smallCaps w:val="false"/>
                <w:sz w:val="18"/>
              </w:rPr>
            </w:pPr>
            <w:r>
              <w:rPr>
                <w:rFonts w:ascii="Times New Roman" w:hAnsi="Times New Roman"/>
                <w:caps w:val="false"/>
                <w:smallCaps w:val="false"/>
                <w:sz w:val="18"/>
              </w:rPr>
              <w:t>At December 31, 2025</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r>
      <w:tr>
        <w:trPr/>
        <w:tc>
          <w:tcPr>
            <w:tcW w:w="3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Total risk-based capital (to risk-weighted assets)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703"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81"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548"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r>
      <w:tr>
        <w:trPr/>
        <w:tc>
          <w:tcPr>
            <w:tcW w:w="3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Consolidated</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393,396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14.25</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220,788</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8.00</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289,785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10.50</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3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Bank Only</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385,215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13.96</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703"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220,788</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8.00</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289,785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10.50</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81"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275,986</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10.00</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Tier 1 risk-based capital (to risk-weighted assets)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r>
      <w:tr>
        <w:trPr/>
        <w:tc>
          <w:tcPr>
            <w:tcW w:w="3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Consolidated</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309,413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11.21</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703"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165,591</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6.00</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234,588</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8.50</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81"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548"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3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Bank Only</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351,232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12.73</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165,591</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6.00</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234,588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8.50</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220,788</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8.00</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Tier 1 leverage capital (to average assets)</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703"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81"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548"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w:t>
            </w:r>
          </w:p>
        </w:tc>
      </w:tr>
      <w:tr>
        <w:trPr/>
        <w:tc>
          <w:tcPr>
            <w:tcW w:w="3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Consolidated</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309,413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9.66</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128,160</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4.00</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17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170" w:type="dxa"/>
            <w:tcBorders/>
            <w:shd w:fill="CCEEFF" w:val="clear"/>
            <w:vAlign w:val="center"/>
          </w:tcPr>
          <w:p>
            <w:pPr>
              <w:pStyle w:val="TableContents"/>
              <w:bidi w:val="0"/>
              <w:spacing w:before="0" w:after="0"/>
              <w:ind w:left="0" w:right="0" w:hanging="0"/>
              <w:jc w:val="left"/>
              <w:rPr/>
            </w:pPr>
            <w:r>
              <w:rPr/>
              <w:t> </w:t>
            </w:r>
          </w:p>
        </w:tc>
      </w:tr>
      <w:tr>
        <w:trPr/>
        <w:tc>
          <w:tcPr>
            <w:tcW w:w="3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Bank Only</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351,232</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10.96</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703"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128,160</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4.00</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1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81"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160,200</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548"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5.00</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r>
        <w:trPr/>
        <w:tc>
          <w:tcPr>
            <w:tcW w:w="3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CET1 capital (to risk-weighted assets)</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w:t>
            </w:r>
          </w:p>
        </w:tc>
      </w:tr>
      <w:tr>
        <w:trPr/>
        <w:tc>
          <w:tcPr>
            <w:tcW w:w="35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Consolidated</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309,413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11.21</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7" w:type="dxa"/>
            <w:tcBorders/>
            <w:shd w:fill="FFFFFF" w:val="clear"/>
            <w:vAlign w:val="center"/>
          </w:tcPr>
          <w:p>
            <w:pPr>
              <w:pStyle w:val="TableContents"/>
              <w:bidi w:val="0"/>
              <w:spacing w:before="0" w:after="0"/>
              <w:ind w:left="0" w:right="0" w:hanging="0"/>
              <w:jc w:val="left"/>
              <w:rPr/>
            </w:pPr>
            <w:r>
              <w:rPr/>
              <w:t> </w:t>
            </w:r>
          </w:p>
        </w:tc>
        <w:tc>
          <w:tcPr>
            <w:tcW w:w="703"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124,194</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69" w:type="dxa"/>
            <w:tcBorders/>
            <w:shd w:fill="FFFFFF" w:val="clear"/>
            <w:vAlign w:val="center"/>
          </w:tcPr>
          <w:p>
            <w:pPr>
              <w:pStyle w:val="TableContents"/>
              <w:bidi w:val="0"/>
              <w:spacing w:before="0" w:after="0"/>
              <w:ind w:left="0" w:right="0" w:hanging="0"/>
              <w:jc w:val="left"/>
              <w:rPr/>
            </w:pPr>
            <w:r>
              <w:rPr/>
              <w:t> </w:t>
            </w:r>
          </w:p>
        </w:tc>
        <w:tc>
          <w:tcPr>
            <w:tcW w:w="389"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4.50</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0" w:type="dxa"/>
            <w:tcBorders/>
            <w:shd w:fill="FFFFFF" w:val="clear"/>
            <w:vAlign w:val="center"/>
          </w:tcPr>
          <w:p>
            <w:pPr>
              <w:pStyle w:val="TableContents"/>
              <w:bidi w:val="0"/>
              <w:spacing w:before="0" w:after="0"/>
              <w:ind w:left="0" w:right="0" w:hanging="0"/>
              <w:jc w:val="left"/>
              <w:rPr/>
            </w:pPr>
            <w:r>
              <w:rPr/>
              <w:t> </w:t>
            </w:r>
          </w:p>
        </w:tc>
        <w:tc>
          <w:tcPr>
            <w:tcW w:w="60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193,190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425" w:type="dxa"/>
            <w:tcBorders/>
            <w:shd w:fill="FFFF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7.00</w:t>
            </w:r>
          </w:p>
        </w:tc>
        <w:tc>
          <w:tcPr>
            <w:tcW w:w="170" w:type="dxa"/>
            <w:tcBorders/>
            <w:shd w:fill="FFFF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81"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77" w:type="dxa"/>
            <w:tcBorders/>
            <w:shd w:fill="FFFFFF" w:val="clear"/>
            <w:vAlign w:val="center"/>
          </w:tcPr>
          <w:p>
            <w:pPr>
              <w:pStyle w:val="TableContents"/>
              <w:bidi w:val="0"/>
              <w:spacing w:before="0" w:after="0"/>
              <w:ind w:left="0" w:right="0" w:hanging="0"/>
              <w:jc w:val="left"/>
              <w:rPr/>
            </w:pPr>
            <w:r>
              <w:rPr/>
              <w:t> </w:t>
            </w:r>
          </w:p>
        </w:tc>
        <w:tc>
          <w:tcPr>
            <w:tcW w:w="548" w:type="dxa"/>
            <w:tcBorders/>
            <w:shd w:fill="FFFFFF" w:val="clear"/>
            <w:vAlign w:val="center"/>
          </w:tcPr>
          <w:p>
            <w:pPr>
              <w:pStyle w:val="TableContents"/>
              <w:bidi w:val="0"/>
              <w:spacing w:before="0" w:after="0"/>
              <w:ind w:left="0" w:right="0" w:hanging="0"/>
              <w:jc w:val="right"/>
              <w:rPr/>
            </w:pPr>
            <w:r>
              <w:rPr>
                <w:rStyle w:val="Emphasis"/>
                <w:rFonts w:ascii="Times New Roman" w:hAnsi="Times New Roman"/>
                <w:sz w:val="18"/>
              </w:rPr>
              <w:t>N/A</w:t>
            </w:r>
          </w:p>
        </w:tc>
        <w:tc>
          <w:tcPr>
            <w:tcW w:w="170" w:type="dxa"/>
            <w:tcBorders/>
            <w:shd w:fill="FFFFFF" w:val="clear"/>
            <w:vAlign w:val="center"/>
          </w:tcPr>
          <w:p>
            <w:pPr>
              <w:pStyle w:val="TableContents"/>
              <w:bidi w:val="0"/>
              <w:spacing w:before="0" w:after="0"/>
              <w:ind w:left="0" w:right="0" w:hanging="0"/>
              <w:jc w:val="left"/>
              <w:rPr/>
            </w:pPr>
            <w:r>
              <w:rPr/>
              <w:t> </w:t>
            </w:r>
          </w:p>
        </w:tc>
      </w:tr>
      <w:tr>
        <w:trPr/>
        <w:tc>
          <w:tcPr>
            <w:tcW w:w="35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Bank Only</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351,232</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12.73</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7" w:type="dxa"/>
            <w:tcBorders/>
            <w:shd w:fill="CCEEFF" w:val="clear"/>
            <w:vAlign w:val="center"/>
          </w:tcPr>
          <w:p>
            <w:pPr>
              <w:pStyle w:val="TableContents"/>
              <w:bidi w:val="0"/>
              <w:spacing w:before="0" w:after="0"/>
              <w:ind w:left="0" w:right="0" w:hanging="0"/>
              <w:jc w:val="left"/>
              <w:rPr/>
            </w:pPr>
            <w:r>
              <w:rPr/>
              <w:t> </w:t>
            </w:r>
          </w:p>
        </w:tc>
        <w:tc>
          <w:tcPr>
            <w:tcW w:w="703"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124,194</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69" w:type="dxa"/>
            <w:tcBorders/>
            <w:shd w:fill="CCEEFF" w:val="clear"/>
            <w:vAlign w:val="center"/>
          </w:tcPr>
          <w:p>
            <w:pPr>
              <w:pStyle w:val="TableContents"/>
              <w:bidi w:val="0"/>
              <w:spacing w:before="0" w:after="0"/>
              <w:ind w:left="0" w:right="0" w:hanging="0"/>
              <w:jc w:val="left"/>
              <w:rPr/>
            </w:pPr>
            <w:r>
              <w:rPr/>
              <w:t> </w:t>
            </w:r>
          </w:p>
        </w:tc>
        <w:tc>
          <w:tcPr>
            <w:tcW w:w="389"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4.50</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0" w:type="dxa"/>
            <w:tcBorders/>
            <w:shd w:fill="CCEEFF" w:val="clear"/>
            <w:vAlign w:val="center"/>
          </w:tcPr>
          <w:p>
            <w:pPr>
              <w:pStyle w:val="TableContents"/>
              <w:bidi w:val="0"/>
              <w:spacing w:before="0" w:after="0"/>
              <w:ind w:left="0" w:right="0" w:hanging="0"/>
              <w:jc w:val="left"/>
              <w:rPr/>
            </w:pPr>
            <w:r>
              <w:rPr/>
              <w:t> </w:t>
            </w:r>
          </w:p>
        </w:tc>
        <w:tc>
          <w:tcPr>
            <w:tcW w:w="60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193,190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425"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7.00</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179,391</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77" w:type="dxa"/>
            <w:tcBorders/>
            <w:shd w:fill="CCEEFF" w:val="clear"/>
            <w:vAlign w:val="center"/>
          </w:tcPr>
          <w:p>
            <w:pPr>
              <w:pStyle w:val="TableContents"/>
              <w:bidi w:val="0"/>
              <w:spacing w:before="0" w:after="0"/>
              <w:ind w:left="0" w:right="0" w:hanging="0"/>
              <w:jc w:val="left"/>
              <w:rPr/>
            </w:pPr>
            <w:r>
              <w:rPr/>
              <w:t> </w:t>
            </w:r>
          </w:p>
        </w:tc>
        <w:tc>
          <w:tcPr>
            <w:tcW w:w="548" w:type="dxa"/>
            <w:tcBorders/>
            <w:shd w:fill="CCEEFF" w:val="clear"/>
            <w:vAlign w:val="center"/>
          </w:tcPr>
          <w:p>
            <w:pPr>
              <w:pStyle w:val="TableContents"/>
              <w:bidi w:val="0"/>
              <w:spacing w:before="0" w:after="0"/>
              <w:ind w:left="0" w:right="0" w:hanging="0"/>
              <w:jc w:val="right"/>
              <w:rPr>
                <w:rFonts w:ascii="Times New Roman" w:hAnsi="Times New Roman"/>
                <w:sz w:val="18"/>
              </w:rPr>
            </w:pPr>
            <w:r>
              <w:rPr>
                <w:rFonts w:ascii="Times New Roman" w:hAnsi="Times New Roman"/>
                <w:sz w:val="18"/>
              </w:rPr>
              <w:t>6.50</w:t>
            </w:r>
          </w:p>
        </w:tc>
        <w:tc>
          <w:tcPr>
            <w:tcW w:w="170" w:type="dxa"/>
            <w:tcBorders/>
            <w:shd w:fill="CCEEFF" w:val="clear"/>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In addition to the minimum </w:t>
      </w:r>
      <w:r>
        <w:rPr>
          <w:rStyle w:val="Emphasis"/>
          <w:rFonts w:ascii="Times New Roman" w:hAnsi="Times New Roman"/>
          <w:caps w:val="false"/>
          <w:smallCaps w:val="false"/>
          <w:sz w:val="20"/>
        </w:rPr>
        <w:t>CET1,</w:t>
      </w:r>
      <w:r>
        <w:rPr>
          <w:rFonts w:ascii="Times New Roman" w:hAnsi="Times New Roman"/>
          <w:caps w:val="false"/>
          <w:smallCaps w:val="false"/>
          <w:sz w:val="20"/>
        </w:rPr>
        <w:t xml:space="preserve"> Tier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total capital and leverage ratios, the Bank is required to maintain a capital conservation buffer consisting of additional </w:t>
      </w:r>
      <w:r>
        <w:rPr>
          <w:rStyle w:val="Emphasis"/>
          <w:rFonts w:ascii="Times New Roman" w:hAnsi="Times New Roman"/>
          <w:caps w:val="false"/>
          <w:smallCaps w:val="false"/>
          <w:sz w:val="20"/>
        </w:rPr>
        <w:t>CET1</w:t>
      </w:r>
      <w:r>
        <w:rPr>
          <w:rFonts w:ascii="Times New Roman" w:hAnsi="Times New Roman"/>
          <w:caps w:val="false"/>
          <w:smallCaps w:val="false"/>
          <w:sz w:val="20"/>
        </w:rPr>
        <w:t xml:space="preserve"> capital equal to at least 2.5% of risk-weighted assets above the required minimum capital levels.  Failure to maintain the required buffer could result in limitations on the Bank's ability to pay dividends, repurchase shares, and pay discretionary bonuses, based on specified percentages of eligible retained income.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 Bank’s capital exceeded the conservation buffer.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a bank holding company registered with the Federal Reserve, the Company is subject to the capital adequacy requirements of the Federal Reserve. Bank holding companies with </w:t>
      </w:r>
      <w:r>
        <w:rPr>
          <w:rStyle w:val="Emphasis"/>
          <w:rFonts w:ascii="Times New Roman" w:hAnsi="Times New Roman"/>
          <w:caps w:val="false"/>
          <w:smallCaps w:val="false"/>
          <w:sz w:val="20"/>
        </w:rPr>
        <w:t>$3.0</w:t>
      </w:r>
      <w:r>
        <w:rPr>
          <w:rFonts w:ascii="Times New Roman" w:hAnsi="Times New Roman"/>
          <w:caps w:val="false"/>
          <w:smallCaps w:val="false"/>
          <w:sz w:val="20"/>
        </w:rPr>
        <w:t xml:space="preserve"> billion or more in assets must comply with the Federal Reserve’s capital regulations, which are generally the same as the capital regulations applicable to the Bank. The Federal Reserve has a policy requiring a bank holding company to serve as a source of financial and managerial strength to the holding company’s subsidiary bank and the Federal Reserve expects the holding company’s subsidiary bank to be well capitalized under the prompt corrective action regulations.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13</w:t>
      </w:r>
      <w:r>
        <w:rPr>
          <w:rFonts w:ascii="Times New Roman" w:hAnsi="Times New Roman"/>
          <w:caps w:val="false"/>
          <w:smallCaps w:val="false"/>
          <w:sz w:val="20"/>
        </w:rPr>
        <w:t xml:space="preserve"> – </w:t>
      </w:r>
      <w:r>
        <w:rPr>
          <w:rFonts w:ascii="Times New Roman" w:hAnsi="Times New Roman"/>
          <w:b/>
          <w:caps w:val="false"/>
          <w:smallCaps w:val="false"/>
          <w:sz w:val="20"/>
        </w:rPr>
        <w:t>BUSINESS SEGMENTS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Company’s reportable segments are determined by the Chief Financial Officer (“CFO”), who is the designated chief operating decision maker, or CODM, based upon information provided about the Company's products and services offered, and are primarily distinguished between commercial and consumer banking and home lending.  They are also distinguished by the level of information provided to the CFO, who uses such information to review the performance of various components of the business for each branch and home lending office, which are aggregated if operating performance, products/services, and customers are similar.  The CFO evaluates the financial performance of the Company's business components by evaluating revenue streams, significant expenses, and budget to actual results in assessing the performance of the Company's segments and in the determination of allocating resources.  The CFO uses revenue streams to evaluate product pricing and significant expenses to assess performance of each segment to evaluate compensation of certain employees.  Segment pretax profit or loss is used to assess the performance of the banking segment by monitoring the margin between interest revenue and interest expense.  Segment pretax profit or loss is used to assess the performance of the home lending segment by monitoring the premium received on loans sales.  Loans, investments, and deposits provide the primary sources of revenue in the commercial and consumer banking operations, and servicing fees and loan sales provide the primary sources of revenue in home lending.  Interest expense, provisions for credit losses, and payroll provide the significant expenses in commercial and consumer banking, and cost of loan sales and payroll provide the significant expenses in the home lending segment.  All operations are domestic and the Company has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major customers providing greater than </w:t>
      </w:r>
      <w:r>
        <w:rPr>
          <w:rStyle w:val="Emphasis"/>
          <w:rFonts w:ascii="Times New Roman" w:hAnsi="Times New Roman"/>
          <w:caps w:val="false"/>
          <w:smallCaps w:val="false"/>
          <w:sz w:val="20"/>
        </w:rPr>
        <w:t>10%</w:t>
      </w:r>
      <w:r>
        <w:rPr>
          <w:rFonts w:ascii="Times New Roman" w:hAnsi="Times New Roman"/>
          <w:caps w:val="false"/>
          <w:smallCaps w:val="false"/>
          <w:sz w:val="20"/>
        </w:rPr>
        <w:t xml:space="preserve"> of total segment revenue.  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have any material intra-entity sales or transfers, aside from certain allocations of interest expense and loan servicing costs from the commercial and consumer banking segment to the home lending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uses various management accounting methodologies to assign certain income statement items to the responsible operating segment, including: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funds transfer pricing (“FTP”) system, which allocates interest income credits and funding charges between the segments, assigning to each segment a funding credit for its liabilities, such as deposits, and a funding charge for its assets;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pPr>
            <w:r>
              <w:rPr>
                <w:rFonts w:ascii="Times New Roman;Times;serif" w:hAnsi="Times New Roman;Times;serif"/>
                <w:sz w:val="20"/>
              </w:rPr>
              <w:t xml:space="preserve">a cost per loan serviced allocation based on the number of loans being serviced on the balance sheet and the number of loans serviced for </w:t>
            </w:r>
            <w:r>
              <w:rPr>
                <w:rStyle w:val="Emphasis"/>
                <w:rFonts w:ascii="Times New Roman;Times;serif" w:hAnsi="Times New Roman;Times;serif"/>
                <w:sz w:val="20"/>
              </w:rPr>
              <w:t>third</w:t>
            </w:r>
            <w:r>
              <w:rPr>
                <w:rFonts w:ascii="Times New Roman;Times;serif" w:hAnsi="Times New Roman;Times;serif"/>
                <w:sz w:val="20"/>
              </w:rPr>
              <w:t xml:space="preserve"> parties;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allocation based upon the approximate square footage utilized by the home lending segment in Company owned locations;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allocation of charges for services rendered to the segments by centralized functions, such as corporate overhead, which are generally based on the number of full-time employees (“FTEs”) in each segment;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 allocation of the Company’s consolidated income taxes which is based on the effective tax rate applied to the segment’s pretax income or loss.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Segment assets are primarily allocated based on loan origination channel.  The home lending segment is limited to residential mortgage and home equity loans originated through the home lending platform.  The home lending segment additionally includes related accrued interest receivable and the Company's MSR assets.  The commercial and consumer banking segment includes the remainder of the loan portfolio, the assets of the retail branch network and administrative buildings, as well as the investment portfolio and other assets of the Bank.  A description of the Company’s business segments and the products and services they provide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Commercial and Consumer Banking Segment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commercial and consumer banking segment provides diversified financial products and services to our commercial and consumer customers through Bank branches, online banking platforms, mobile banking apps, and telephone banking. These products and services include deposit products; residential, consumer, business and commercial real estate lending portfolios; and cash management services. The Company originates consumer loans, commercial and multi-family real estate loans, construction loans for residential and multi-family construction, and commercial business loans.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 Company’s retail deposit branch network consisted of 28 branches in the Pacific Northwest. This segment is also responsible for the management of the investment portfolio and other assets of the Bank.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Home Lending Segment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home lending segment originates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-family residential mortgage loans primarily for sale in the secondary market, as well as loans held for investment. A majority of these mortgage loans are sold to or securitized by FNMA, FHLMC, GNMA, or the FHLB of Des Moines, while the Company generally retains the right to service these loans. Loans originated under the guidelines of the Federal Housing Administration (“FHA”), US Department of Veterans Affairs (“VA”), and United States Department of Agriculture (“USDA”) are generally sold servicing released to a correspondent bank or mortgage company. The Company has the option to sell loans on a servicing-released or servicing-retained basis to securitizers and correspondent lenders. A small percentage of its loans are brokered to other lenders. On occasion,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sell a portion of its MSRs portfolio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sell small pools of loans initially originated to be held in the loan portfolio. The Company manages the loan funding and the interest rate risk associated with secondary market loan sales and the retained </w:t>
      </w:r>
      <w:r>
        <w:rPr>
          <w:rStyle w:val="Emphasis"/>
          <w:rFonts w:ascii="Times New Roman" w:hAnsi="Times New Roman"/>
          <w:caps w:val="false"/>
          <w:smallCaps w:val="false"/>
          <w:sz w:val="20"/>
        </w:rPr>
        <w:t>one</w:t>
      </w:r>
      <w:r>
        <w:rPr>
          <w:rFonts w:ascii="Times New Roman" w:hAnsi="Times New Roman"/>
          <w:caps w:val="false"/>
          <w:smallCaps w:val="false"/>
          <w:sz w:val="20"/>
        </w:rPr>
        <w:t>-to-</w:t>
      </w:r>
      <w:r>
        <w:rPr>
          <w:rStyle w:val="Emphasis"/>
          <w:rFonts w:ascii="Times New Roman" w:hAnsi="Times New Roman"/>
          <w:caps w:val="false"/>
          <w:smallCaps w:val="false"/>
          <w:sz w:val="20"/>
        </w:rPr>
        <w:t>four</w:t>
      </w:r>
      <w:r>
        <w:rPr>
          <w:rFonts w:ascii="Times New Roman" w:hAnsi="Times New Roman"/>
          <w:caps w:val="false"/>
          <w:smallCaps w:val="false"/>
          <w:sz w:val="20"/>
        </w:rPr>
        <w:t>-family MSRs within this business segment. One-to-</w:t>
      </w:r>
      <w:r>
        <w:rPr>
          <w:rStyle w:val="Emphasis"/>
          <w:rFonts w:ascii="Times New Roman" w:hAnsi="Times New Roman"/>
          <w:caps w:val="false"/>
          <w:smallCaps w:val="false"/>
          <w:sz w:val="20"/>
        </w:rPr>
        <w:t>four</w:t>
      </w:r>
      <w:r>
        <w:rPr>
          <w:rFonts w:ascii="Times New Roman" w:hAnsi="Times New Roman"/>
          <w:caps w:val="false"/>
          <w:smallCaps w:val="false"/>
          <w:sz w:val="20"/>
        </w:rPr>
        <w:t>-family loans originated for investment and held in this segment are allocated to the home lending segment with a corresponding provision expense and FTP charge for cost of funds. Noninterest expense includes allocated overhead expense from general corporate activities. Allocation is determined based on a combination of segment assets and FTEs.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Segment Financial Results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Accounting policies for segments are consistent with those described in “Note </w:t>
      </w:r>
      <w:r>
        <w:rPr>
          <w:rStyle w:val="Emphasis"/>
          <w:rFonts w:ascii="Times New Roman" w:hAnsi="Times New Roman"/>
          <w:caps w:val="false"/>
          <w:smallCaps w:val="false"/>
          <w:sz w:val="20"/>
        </w:rPr>
        <w:t>1</w:t>
      </w:r>
      <w:r>
        <w:rPr>
          <w:rFonts w:ascii="Times New Roman" w:hAnsi="Times New Roman"/>
          <w:caps w:val="false"/>
          <w:smallCaps w:val="false"/>
          <w:sz w:val="20"/>
        </w:rPr>
        <w:t> – Basis of Presentation and Summary of Significant Accounting Policies.”  Segment performance is evaluated using pretax profit or loss.  Indirect expenses are allocated based on segment assets and FTEs.  Transactions among segments are made at fair value.  Information reported internally for performance assessment by the CFO follows, inclusive of reconciliations of significant segment totals to the financial statements at or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293"/>
        <w:gridCol w:w="60"/>
        <w:gridCol w:w="376"/>
        <w:gridCol w:w="2559"/>
        <w:gridCol w:w="104"/>
        <w:gridCol w:w="78"/>
        <w:gridCol w:w="180"/>
        <w:gridCol w:w="1015"/>
        <w:gridCol w:w="104"/>
        <w:gridCol w:w="78"/>
        <w:gridCol w:w="163"/>
        <w:gridCol w:w="1108"/>
        <w:gridCol w:w="87"/>
      </w:tblGrid>
      <w:tr>
        <w:trPr/>
        <w:tc>
          <w:tcPr>
            <w:tcW w:w="429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76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At or For the Three Months Ended June 30, 2026</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29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w:t>
            </w:r>
          </w:p>
        </w:tc>
        <w:tc>
          <w:tcPr>
            <w:tcW w:w="60" w:type="dxa"/>
            <w:tcBorders/>
            <w:shd w:fill="FFFFFF" w:val="clear"/>
            <w:vAlign w:val="center"/>
          </w:tcPr>
          <w:p>
            <w:pPr>
              <w:pStyle w:val="TableContents"/>
              <w:bidi w:val="0"/>
              <w:spacing w:before="0" w:after="0"/>
              <w:ind w:left="0" w:right="0" w:hanging="0"/>
              <w:jc w:val="left"/>
              <w:rPr/>
            </w:pPr>
            <w:r>
              <w:rPr/>
              <w:t> </w:t>
            </w:r>
          </w:p>
        </w:tc>
        <w:tc>
          <w:tcPr>
            <w:tcW w:w="29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Commercial and Consumer Banking</w:t>
            </w:r>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1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Home Lending</w:t>
            </w:r>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27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caps w:val="false"/>
                <w:smallCaps w:val="false"/>
                <w:sz w:val="20"/>
              </w:rPr>
              <w:t>Total</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29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income - loans receivable, including fees</w:t>
            </w:r>
          </w:p>
        </w:tc>
        <w:tc>
          <w:tcPr>
            <w:tcW w:w="60"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36,926</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9,276</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46,202</w:t>
            </w:r>
          </w:p>
        </w:tc>
        <w:tc>
          <w:tcPr>
            <w:tcW w:w="87" w:type="dxa"/>
            <w:tcBorders/>
            <w:shd w:fill="CCEEFF" w:val="clear"/>
            <w:vAlign w:val="center"/>
          </w:tcPr>
          <w:p>
            <w:pPr>
              <w:pStyle w:val="TableContents"/>
              <w:bidi w:val="0"/>
              <w:spacing w:before="0" w:after="0"/>
              <w:ind w:left="0" w:right="0" w:hanging="0"/>
              <w:jc w:val="left"/>
              <w:rPr/>
            </w:pPr>
            <w:r>
              <w:rPr/>
              <w:t> </w:t>
            </w:r>
          </w:p>
        </w:tc>
      </w:tr>
      <w:tr>
        <w:trPr/>
        <w:tc>
          <w:tcPr>
            <w:tcW w:w="429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income - other interest earnings assets</w:t>
            </w:r>
          </w:p>
        </w:tc>
        <w:tc>
          <w:tcPr>
            <w:tcW w:w="60" w:type="dxa"/>
            <w:tcBorders/>
            <w:shd w:fill="FFFF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5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3,460</w:t>
            </w:r>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3,460</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29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interest income by segment</w:t>
            </w:r>
          </w:p>
        </w:tc>
        <w:tc>
          <w:tcPr>
            <w:tcW w:w="60" w:type="dxa"/>
            <w:tcBorders/>
            <w:shd w:fill="CCEE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5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40,386</w:t>
            </w:r>
          </w:p>
        </w:tc>
        <w:tc>
          <w:tcPr>
            <w:tcW w:w="1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9,276</w:t>
            </w:r>
          </w:p>
        </w:tc>
        <w:tc>
          <w:tcPr>
            <w:tcW w:w="1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49,662</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29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76" w:type="dxa"/>
            <w:tcBorders/>
            <w:shd w:fill="FFFFFF" w:val="clear"/>
            <w:vAlign w:val="center"/>
          </w:tcPr>
          <w:p>
            <w:pPr>
              <w:pStyle w:val="TableContents"/>
              <w:bidi w:val="0"/>
              <w:spacing w:before="0" w:after="0"/>
              <w:ind w:left="0" w:right="0" w:hanging="0"/>
              <w:jc w:val="left"/>
              <w:rPr/>
            </w:pPr>
            <w:r>
              <w:rPr/>
              <w:t> </w:t>
            </w:r>
          </w:p>
        </w:tc>
        <w:tc>
          <w:tcPr>
            <w:tcW w:w="2559"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1015"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1108"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w:t>
            </w:r>
          </w:p>
        </w:tc>
      </w:tr>
      <w:tr>
        <w:trPr/>
        <w:tc>
          <w:tcPr>
            <w:tcW w:w="429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Gain on sale of loans</w:t>
            </w:r>
          </w:p>
        </w:tc>
        <w:tc>
          <w:tcPr>
            <w:tcW w:w="60"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left"/>
              <w:rPr/>
            </w:pPr>
            <w:r>
              <w:rPr/>
              <w:t> </w:t>
            </w:r>
          </w:p>
        </w:tc>
        <w:tc>
          <w:tcPr>
            <w:tcW w:w="2559" w:type="dxa"/>
            <w:tcBorders/>
            <w:shd w:fill="CCEEFF" w:val="clear"/>
            <w:vAlign w:val="center"/>
          </w:tcPr>
          <w:p>
            <w:pPr>
              <w:pStyle w:val="TableContents"/>
              <w:bidi w:val="0"/>
              <w:spacing w:before="0" w:after="0"/>
              <w:ind w:left="0" w:right="0" w:hanging="0"/>
              <w:jc w:val="right"/>
              <w:rPr/>
            </w:pPr>
            <w:r>
              <w:rPr/>
              <w:t>—</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p>
        </w:tc>
        <w:tc>
          <w:tcPr>
            <w:tcW w:w="10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2,581</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110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2,581</w:t>
            </w:r>
          </w:p>
        </w:tc>
        <w:tc>
          <w:tcPr>
            <w:tcW w:w="87" w:type="dxa"/>
            <w:tcBorders/>
            <w:shd w:fill="CCEEFF" w:val="clear"/>
            <w:vAlign w:val="center"/>
          </w:tcPr>
          <w:p>
            <w:pPr>
              <w:pStyle w:val="TableContents"/>
              <w:bidi w:val="0"/>
              <w:spacing w:before="0" w:after="0"/>
              <w:ind w:left="0" w:right="0" w:hanging="0"/>
              <w:jc w:val="left"/>
              <w:rPr/>
            </w:pPr>
            <w:r>
              <w:rPr/>
              <w:t> </w:t>
            </w:r>
          </w:p>
        </w:tc>
      </w:tr>
      <w:tr>
        <w:trPr/>
        <w:tc>
          <w:tcPr>
            <w:tcW w:w="429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income</w:t>
            </w:r>
          </w:p>
        </w:tc>
        <w:tc>
          <w:tcPr>
            <w:tcW w:w="60" w:type="dxa"/>
            <w:tcBorders/>
            <w:shd w:fill="FFFFFF" w:val="clear"/>
            <w:vAlign w:val="center"/>
          </w:tcPr>
          <w:p>
            <w:pPr>
              <w:pStyle w:val="TableContents"/>
              <w:bidi w:val="0"/>
              <w:spacing w:before="0" w:after="0"/>
              <w:ind w:left="0" w:right="0" w:hanging="0"/>
              <w:jc w:val="left"/>
              <w:rPr/>
            </w:pPr>
            <w:r>
              <w:rPr/>
              <w:t> </w:t>
            </w:r>
          </w:p>
        </w:tc>
        <w:tc>
          <w:tcPr>
            <w:tcW w:w="376" w:type="dxa"/>
            <w:tcBorders/>
            <w:shd w:fill="FFFFFF" w:val="clear"/>
            <w:vAlign w:val="center"/>
          </w:tcPr>
          <w:p>
            <w:pPr>
              <w:pStyle w:val="TableContents"/>
              <w:bidi w:val="0"/>
              <w:spacing w:before="0" w:after="0"/>
              <w:ind w:left="0" w:right="0" w:hanging="0"/>
              <w:jc w:val="left"/>
              <w:rPr/>
            </w:pPr>
            <w:r>
              <w:rPr/>
              <w:t> </w:t>
            </w:r>
          </w:p>
        </w:tc>
        <w:tc>
          <w:tcPr>
            <w:tcW w:w="25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3,055</w:t>
            </w:r>
          </w:p>
        </w:tc>
        <w:tc>
          <w:tcPr>
            <w:tcW w:w="104"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10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514</w:t>
            </w:r>
          </w:p>
        </w:tc>
        <w:tc>
          <w:tcPr>
            <w:tcW w:w="104"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110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3,569</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429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Intersegment income</w:t>
            </w:r>
          </w:p>
        </w:tc>
        <w:tc>
          <w:tcPr>
            <w:tcW w:w="60" w:type="dxa"/>
            <w:tcBorders/>
            <w:shd w:fill="CCEE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5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(315</w:t>
            </w:r>
          </w:p>
        </w:tc>
        <w:tc>
          <w:tcPr>
            <w:tcW w:w="1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315</w:t>
            </w:r>
          </w:p>
        </w:tc>
        <w:tc>
          <w:tcPr>
            <w:tcW w:w="1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29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noninterest income by segment</w:t>
            </w:r>
          </w:p>
        </w:tc>
        <w:tc>
          <w:tcPr>
            <w:tcW w:w="60" w:type="dxa"/>
            <w:tcBorders/>
            <w:shd w:fill="FFFF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5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2,740</w:t>
            </w:r>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3,410</w:t>
            </w:r>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6,150</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29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5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29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income by segment</w:t>
            </w:r>
          </w:p>
        </w:tc>
        <w:tc>
          <w:tcPr>
            <w:tcW w:w="60" w:type="dxa"/>
            <w:tcBorders/>
            <w:shd w:fill="FFFF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5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43,126</w:t>
            </w:r>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12,686</w:t>
            </w:r>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55,812</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29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left"/>
              <w:rPr/>
            </w:pPr>
            <w:r>
              <w:rPr/>
              <w:t> </w:t>
            </w:r>
          </w:p>
        </w:tc>
        <w:tc>
          <w:tcPr>
            <w:tcW w:w="2559"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p>
        </w:tc>
        <w:tc>
          <w:tcPr>
            <w:tcW w:w="1015"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1108"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w:t>
            </w:r>
          </w:p>
        </w:tc>
      </w:tr>
      <w:tr>
        <w:trPr/>
        <w:tc>
          <w:tcPr>
            <w:tcW w:w="429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Expense:</w:t>
            </w:r>
          </w:p>
        </w:tc>
        <w:tc>
          <w:tcPr>
            <w:tcW w:w="60" w:type="dxa"/>
            <w:tcBorders/>
            <w:shd w:fill="FFFFFF" w:val="clear"/>
            <w:vAlign w:val="center"/>
          </w:tcPr>
          <w:p>
            <w:pPr>
              <w:pStyle w:val="TableContents"/>
              <w:bidi w:val="0"/>
              <w:spacing w:before="0" w:after="0"/>
              <w:ind w:left="0" w:right="0" w:hanging="0"/>
              <w:jc w:val="left"/>
              <w:rPr/>
            </w:pPr>
            <w:r>
              <w:rPr/>
              <w:t> </w:t>
            </w:r>
          </w:p>
        </w:tc>
        <w:tc>
          <w:tcPr>
            <w:tcW w:w="376" w:type="dxa"/>
            <w:tcBorders/>
            <w:shd w:fill="FFFFFF" w:val="clear"/>
            <w:vAlign w:val="center"/>
          </w:tcPr>
          <w:p>
            <w:pPr>
              <w:pStyle w:val="TableContents"/>
              <w:bidi w:val="0"/>
              <w:spacing w:before="0" w:after="0"/>
              <w:ind w:left="0" w:right="0" w:hanging="0"/>
              <w:jc w:val="left"/>
              <w:rPr/>
            </w:pPr>
            <w:r>
              <w:rPr/>
              <w:t> </w:t>
            </w:r>
          </w:p>
        </w:tc>
        <w:tc>
          <w:tcPr>
            <w:tcW w:w="2559"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1015"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1108"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w:t>
            </w:r>
          </w:p>
        </w:tc>
      </w:tr>
      <w:tr>
        <w:trPr/>
        <w:tc>
          <w:tcPr>
            <w:tcW w:w="429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expense - deposits</w:t>
            </w:r>
          </w:p>
        </w:tc>
        <w:tc>
          <w:tcPr>
            <w:tcW w:w="60"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left"/>
              <w:rPr/>
            </w:pPr>
            <w:r>
              <w:rPr/>
              <w:t> </w:t>
            </w:r>
          </w:p>
        </w:tc>
        <w:tc>
          <w:tcPr>
            <w:tcW w:w="25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13,904</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p>
        </w:tc>
        <w:tc>
          <w:tcPr>
            <w:tcW w:w="10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110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13,908</w:t>
            </w:r>
          </w:p>
        </w:tc>
        <w:tc>
          <w:tcPr>
            <w:tcW w:w="87" w:type="dxa"/>
            <w:tcBorders/>
            <w:shd w:fill="CCEEFF" w:val="clear"/>
            <w:vAlign w:val="center"/>
          </w:tcPr>
          <w:p>
            <w:pPr>
              <w:pStyle w:val="TableContents"/>
              <w:bidi w:val="0"/>
              <w:spacing w:before="0" w:after="0"/>
              <w:ind w:left="0" w:right="0" w:hanging="0"/>
              <w:jc w:val="left"/>
              <w:rPr/>
            </w:pPr>
            <w:r>
              <w:rPr/>
              <w:t> </w:t>
            </w:r>
          </w:p>
        </w:tc>
      </w:tr>
      <w:tr>
        <w:trPr/>
        <w:tc>
          <w:tcPr>
            <w:tcW w:w="429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expense - borrowings</w:t>
            </w:r>
          </w:p>
        </w:tc>
        <w:tc>
          <w:tcPr>
            <w:tcW w:w="60" w:type="dxa"/>
            <w:tcBorders/>
            <w:shd w:fill="FFFFFF" w:val="clear"/>
            <w:vAlign w:val="center"/>
          </w:tcPr>
          <w:p>
            <w:pPr>
              <w:pStyle w:val="TableContents"/>
              <w:bidi w:val="0"/>
              <w:spacing w:before="0" w:after="0"/>
              <w:ind w:left="0" w:right="0" w:hanging="0"/>
              <w:jc w:val="left"/>
              <w:rPr/>
            </w:pPr>
            <w:r>
              <w:rPr/>
              <w:t> </w:t>
            </w:r>
          </w:p>
        </w:tc>
        <w:tc>
          <w:tcPr>
            <w:tcW w:w="376" w:type="dxa"/>
            <w:tcBorders/>
            <w:shd w:fill="FFFFFF" w:val="clear"/>
            <w:vAlign w:val="center"/>
          </w:tcPr>
          <w:p>
            <w:pPr>
              <w:pStyle w:val="TableContents"/>
              <w:bidi w:val="0"/>
              <w:spacing w:before="0" w:after="0"/>
              <w:ind w:left="0" w:right="0" w:hanging="0"/>
              <w:jc w:val="left"/>
              <w:rPr/>
            </w:pPr>
            <w:r>
              <w:rPr/>
              <w:t> </w:t>
            </w:r>
          </w:p>
        </w:tc>
        <w:tc>
          <w:tcPr>
            <w:tcW w:w="25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2,197</w:t>
            </w:r>
          </w:p>
        </w:tc>
        <w:tc>
          <w:tcPr>
            <w:tcW w:w="104"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1015" w:type="dxa"/>
            <w:tcBorders/>
            <w:shd w:fill="FFFFFF" w:val="clear"/>
            <w:vAlign w:val="center"/>
          </w:tcPr>
          <w:p>
            <w:pPr>
              <w:pStyle w:val="TableContents"/>
              <w:bidi w:val="0"/>
              <w:spacing w:before="0" w:after="0"/>
              <w:ind w:left="0" w:right="0" w:hanging="0"/>
              <w:jc w:val="right"/>
              <w:rPr/>
            </w:pPr>
            <w:r>
              <w:rPr/>
              <w:t>—</w:t>
            </w:r>
          </w:p>
        </w:tc>
        <w:tc>
          <w:tcPr>
            <w:tcW w:w="104"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110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2,197</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429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expense - subordinated note</w:t>
            </w:r>
          </w:p>
        </w:tc>
        <w:tc>
          <w:tcPr>
            <w:tcW w:w="60"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left"/>
              <w:rPr/>
            </w:pPr>
            <w:r>
              <w:rPr/>
              <w:t> </w:t>
            </w:r>
          </w:p>
        </w:tc>
        <w:tc>
          <w:tcPr>
            <w:tcW w:w="25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718</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p>
        </w:tc>
        <w:tc>
          <w:tcPr>
            <w:tcW w:w="10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191</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110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909</w:t>
            </w:r>
          </w:p>
        </w:tc>
        <w:tc>
          <w:tcPr>
            <w:tcW w:w="87" w:type="dxa"/>
            <w:tcBorders/>
            <w:shd w:fill="CCEEFF" w:val="clear"/>
            <w:vAlign w:val="center"/>
          </w:tcPr>
          <w:p>
            <w:pPr>
              <w:pStyle w:val="TableContents"/>
              <w:bidi w:val="0"/>
              <w:spacing w:before="0" w:after="0"/>
              <w:ind w:left="0" w:right="0" w:hanging="0"/>
              <w:jc w:val="left"/>
              <w:rPr/>
            </w:pPr>
            <w:r>
              <w:rPr/>
              <w:t> </w:t>
            </w:r>
          </w:p>
        </w:tc>
      </w:tr>
      <w:tr>
        <w:trPr/>
        <w:tc>
          <w:tcPr>
            <w:tcW w:w="429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 expense - intersegment</w:t>
            </w:r>
          </w:p>
        </w:tc>
        <w:tc>
          <w:tcPr>
            <w:tcW w:w="60" w:type="dxa"/>
            <w:tcBorders/>
            <w:shd w:fill="FFFF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5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(6,095</w:t>
            </w:r>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6,095</w:t>
            </w:r>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29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interest expense by segment</w:t>
            </w:r>
          </w:p>
        </w:tc>
        <w:tc>
          <w:tcPr>
            <w:tcW w:w="60" w:type="dxa"/>
            <w:tcBorders/>
            <w:shd w:fill="CCEE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5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10,724</w:t>
            </w:r>
          </w:p>
        </w:tc>
        <w:tc>
          <w:tcPr>
            <w:tcW w:w="1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6,290</w:t>
            </w:r>
          </w:p>
        </w:tc>
        <w:tc>
          <w:tcPr>
            <w:tcW w:w="1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17,014</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29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76" w:type="dxa"/>
            <w:tcBorders/>
            <w:shd w:fill="FFFFFF" w:val="clear"/>
            <w:vAlign w:val="center"/>
          </w:tcPr>
          <w:p>
            <w:pPr>
              <w:pStyle w:val="TableContents"/>
              <w:bidi w:val="0"/>
              <w:spacing w:before="0" w:after="0"/>
              <w:ind w:left="0" w:right="0" w:hanging="0"/>
              <w:jc w:val="left"/>
              <w:rPr/>
            </w:pPr>
            <w:r>
              <w:rPr/>
              <w:t> </w:t>
            </w:r>
          </w:p>
        </w:tc>
        <w:tc>
          <w:tcPr>
            <w:tcW w:w="2559"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1015"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1108"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w:t>
            </w:r>
          </w:p>
        </w:tc>
      </w:tr>
      <w:tr>
        <w:trPr/>
        <w:tc>
          <w:tcPr>
            <w:tcW w:w="429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Provision for credit losses by segment</w:t>
            </w:r>
          </w:p>
        </w:tc>
        <w:tc>
          <w:tcPr>
            <w:tcW w:w="60"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left"/>
              <w:rPr/>
            </w:pPr>
            <w:r>
              <w:rPr/>
              <w:t> </w:t>
            </w:r>
          </w:p>
        </w:tc>
        <w:tc>
          <w:tcPr>
            <w:tcW w:w="25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2,297</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p>
        </w:tc>
        <w:tc>
          <w:tcPr>
            <w:tcW w:w="10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344</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110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2,641</w:t>
            </w:r>
          </w:p>
        </w:tc>
        <w:tc>
          <w:tcPr>
            <w:tcW w:w="87" w:type="dxa"/>
            <w:tcBorders/>
            <w:shd w:fill="CCEEFF" w:val="clear"/>
            <w:vAlign w:val="center"/>
          </w:tcPr>
          <w:p>
            <w:pPr>
              <w:pStyle w:val="TableContents"/>
              <w:bidi w:val="0"/>
              <w:spacing w:before="0" w:after="0"/>
              <w:ind w:left="0" w:right="0" w:hanging="0"/>
              <w:jc w:val="left"/>
              <w:rPr/>
            </w:pPr>
            <w:r>
              <w:rPr/>
              <w:t> </w:t>
            </w:r>
          </w:p>
        </w:tc>
      </w:tr>
      <w:tr>
        <w:trPr/>
        <w:tc>
          <w:tcPr>
            <w:tcW w:w="429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76" w:type="dxa"/>
            <w:tcBorders/>
            <w:shd w:fill="FFFFFF" w:val="clear"/>
            <w:vAlign w:val="center"/>
          </w:tcPr>
          <w:p>
            <w:pPr>
              <w:pStyle w:val="TableContents"/>
              <w:bidi w:val="0"/>
              <w:spacing w:before="0" w:after="0"/>
              <w:ind w:left="0" w:right="0" w:hanging="0"/>
              <w:jc w:val="left"/>
              <w:rPr/>
            </w:pPr>
            <w:r>
              <w:rPr/>
              <w:t> </w:t>
            </w:r>
          </w:p>
        </w:tc>
        <w:tc>
          <w:tcPr>
            <w:tcW w:w="2559"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1015"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1108"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w:t>
            </w:r>
          </w:p>
        </w:tc>
      </w:tr>
      <w:tr>
        <w:trPr/>
        <w:tc>
          <w:tcPr>
            <w:tcW w:w="429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Salaries and benefits</w:t>
            </w:r>
          </w:p>
        </w:tc>
        <w:tc>
          <w:tcPr>
            <w:tcW w:w="60"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left"/>
              <w:rPr/>
            </w:pPr>
            <w:r>
              <w:rPr/>
              <w:t> </w:t>
            </w:r>
          </w:p>
        </w:tc>
        <w:tc>
          <w:tcPr>
            <w:tcW w:w="25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8,908</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p>
        </w:tc>
        <w:tc>
          <w:tcPr>
            <w:tcW w:w="101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2,445</w:t>
            </w:r>
          </w:p>
        </w:tc>
        <w:tc>
          <w:tcPr>
            <w:tcW w:w="10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110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11,353</w:t>
            </w:r>
          </w:p>
        </w:tc>
        <w:tc>
          <w:tcPr>
            <w:tcW w:w="87" w:type="dxa"/>
            <w:tcBorders/>
            <w:shd w:fill="CCEEFF" w:val="clear"/>
            <w:vAlign w:val="center"/>
          </w:tcPr>
          <w:p>
            <w:pPr>
              <w:pStyle w:val="TableContents"/>
              <w:bidi w:val="0"/>
              <w:spacing w:before="0" w:after="0"/>
              <w:ind w:left="0" w:right="0" w:hanging="0"/>
              <w:jc w:val="left"/>
              <w:rPr/>
            </w:pPr>
            <w:r>
              <w:rPr/>
              <w:t> </w:t>
            </w:r>
          </w:p>
        </w:tc>
      </w:tr>
      <w:tr>
        <w:trPr/>
        <w:tc>
          <w:tcPr>
            <w:tcW w:w="429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Overhead allocation</w:t>
            </w:r>
          </w:p>
        </w:tc>
        <w:tc>
          <w:tcPr>
            <w:tcW w:w="60" w:type="dxa"/>
            <w:tcBorders/>
            <w:shd w:fill="FFFFFF" w:val="clear"/>
            <w:vAlign w:val="center"/>
          </w:tcPr>
          <w:p>
            <w:pPr>
              <w:pStyle w:val="TableContents"/>
              <w:bidi w:val="0"/>
              <w:spacing w:before="0" w:after="0"/>
              <w:ind w:left="0" w:right="0" w:hanging="0"/>
              <w:jc w:val="left"/>
              <w:rPr/>
            </w:pPr>
            <w:r>
              <w:rPr/>
              <w:t> </w:t>
            </w:r>
          </w:p>
        </w:tc>
        <w:tc>
          <w:tcPr>
            <w:tcW w:w="376" w:type="dxa"/>
            <w:tcBorders/>
            <w:shd w:fill="FFFFFF" w:val="clear"/>
            <w:vAlign w:val="center"/>
          </w:tcPr>
          <w:p>
            <w:pPr>
              <w:pStyle w:val="TableContents"/>
              <w:bidi w:val="0"/>
              <w:spacing w:before="0" w:after="0"/>
              <w:ind w:left="0" w:right="0" w:hanging="0"/>
              <w:jc w:val="left"/>
              <w:rPr/>
            </w:pPr>
            <w:r>
              <w:rPr/>
              <w:t> </w:t>
            </w:r>
          </w:p>
        </w:tc>
        <w:tc>
          <w:tcPr>
            <w:tcW w:w="25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5,531</w:t>
            </w:r>
          </w:p>
        </w:tc>
        <w:tc>
          <w:tcPr>
            <w:tcW w:w="104"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10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1,739</w:t>
            </w:r>
          </w:p>
        </w:tc>
        <w:tc>
          <w:tcPr>
            <w:tcW w:w="104"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110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7,270</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429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segment items (1)</w:t>
            </w:r>
          </w:p>
        </w:tc>
        <w:tc>
          <w:tcPr>
            <w:tcW w:w="60" w:type="dxa"/>
            <w:tcBorders/>
            <w:shd w:fill="CCEE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5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6,974</w:t>
            </w:r>
          </w:p>
        </w:tc>
        <w:tc>
          <w:tcPr>
            <w:tcW w:w="1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507</w:t>
            </w:r>
          </w:p>
        </w:tc>
        <w:tc>
          <w:tcPr>
            <w:tcW w:w="1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7,481</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29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noninterest expense by segment</w:t>
            </w:r>
          </w:p>
        </w:tc>
        <w:tc>
          <w:tcPr>
            <w:tcW w:w="60" w:type="dxa"/>
            <w:tcBorders/>
            <w:shd w:fill="FFFF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5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21,413</w:t>
            </w:r>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4,691</w:t>
            </w:r>
          </w:p>
        </w:tc>
        <w:tc>
          <w:tcPr>
            <w:tcW w:w="10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26,104</w:t>
            </w:r>
          </w:p>
        </w:tc>
        <w:tc>
          <w:tcPr>
            <w:tcW w:w="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29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left"/>
              <w:rPr/>
            </w:pPr>
            <w:r>
              <w:rPr/>
              <w:t> </w:t>
            </w:r>
          </w:p>
        </w:tc>
        <w:tc>
          <w:tcPr>
            <w:tcW w:w="2559"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p>
        </w:tc>
        <w:tc>
          <w:tcPr>
            <w:tcW w:w="1015"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1108"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w:t>
            </w:r>
          </w:p>
        </w:tc>
      </w:tr>
      <w:tr>
        <w:trPr/>
        <w:tc>
          <w:tcPr>
            <w:tcW w:w="429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 before provision for income taxes by segment</w:t>
            </w:r>
          </w:p>
        </w:tc>
        <w:tc>
          <w:tcPr>
            <w:tcW w:w="60" w:type="dxa"/>
            <w:tcBorders/>
            <w:shd w:fill="FFFFFF" w:val="clear"/>
            <w:vAlign w:val="center"/>
          </w:tcPr>
          <w:p>
            <w:pPr>
              <w:pStyle w:val="TableContents"/>
              <w:bidi w:val="0"/>
              <w:spacing w:before="0" w:after="0"/>
              <w:ind w:left="0" w:right="0" w:hanging="0"/>
              <w:jc w:val="left"/>
              <w:rPr/>
            </w:pPr>
            <w:r>
              <w:rPr/>
              <w:t> </w:t>
            </w:r>
          </w:p>
        </w:tc>
        <w:tc>
          <w:tcPr>
            <w:tcW w:w="376" w:type="dxa"/>
            <w:tcBorders/>
            <w:shd w:fill="FFFFFF" w:val="clear"/>
            <w:vAlign w:val="center"/>
          </w:tcPr>
          <w:p>
            <w:pPr>
              <w:pStyle w:val="TableContents"/>
              <w:bidi w:val="0"/>
              <w:spacing w:before="0" w:after="0"/>
              <w:ind w:left="0" w:right="0" w:hanging="0"/>
              <w:jc w:val="left"/>
              <w:rPr/>
            </w:pPr>
            <w:r>
              <w:rPr/>
              <w:t> </w:t>
            </w:r>
          </w:p>
        </w:tc>
        <w:tc>
          <w:tcPr>
            <w:tcW w:w="25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8,692</w:t>
            </w:r>
          </w:p>
        </w:tc>
        <w:tc>
          <w:tcPr>
            <w:tcW w:w="104"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101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1,361</w:t>
            </w:r>
          </w:p>
        </w:tc>
        <w:tc>
          <w:tcPr>
            <w:tcW w:w="104"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110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10,053</w:t>
            </w:r>
          </w:p>
        </w:tc>
        <w:tc>
          <w:tcPr>
            <w:tcW w:w="87" w:type="dxa"/>
            <w:tcBorders/>
            <w:shd w:fill="FFFFFF" w:val="clear"/>
            <w:vAlign w:val="center"/>
          </w:tcPr>
          <w:p>
            <w:pPr>
              <w:pStyle w:val="TableContents"/>
              <w:bidi w:val="0"/>
              <w:spacing w:before="0" w:after="0"/>
              <w:ind w:left="0" w:right="0" w:hanging="0"/>
              <w:jc w:val="left"/>
              <w:rPr/>
            </w:pPr>
            <w:r>
              <w:rPr/>
              <w:t> </w:t>
            </w:r>
          </w:p>
        </w:tc>
      </w:tr>
      <w:tr>
        <w:trPr/>
        <w:tc>
          <w:tcPr>
            <w:tcW w:w="429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Provision for income taxes by segment</w:t>
            </w:r>
          </w:p>
        </w:tc>
        <w:tc>
          <w:tcPr>
            <w:tcW w:w="60" w:type="dxa"/>
            <w:tcBorders/>
            <w:shd w:fill="CCEEFF" w:val="clear"/>
            <w:vAlign w:val="center"/>
          </w:tcPr>
          <w:p>
            <w:pPr>
              <w:pStyle w:val="TableContents"/>
              <w:bidi w:val="0"/>
              <w:spacing w:before="0" w:after="0"/>
              <w:ind w:left="0" w:right="0" w:hanging="0"/>
              <w:jc w:val="left"/>
              <w:rPr/>
            </w:pPr>
            <w:r>
              <w:rPr/>
              <w:t> </w:t>
            </w:r>
          </w:p>
        </w:tc>
        <w:tc>
          <w:tcPr>
            <w:tcW w:w="3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5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(1,899</w:t>
            </w:r>
          </w:p>
        </w:tc>
        <w:tc>
          <w:tcPr>
            <w:tcW w:w="1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1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w:t>
            </w:r>
          </w:p>
        </w:tc>
        <w:tc>
          <w:tcPr>
            <w:tcW w:w="10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1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(2,117</w:t>
            </w:r>
          </w:p>
        </w:tc>
        <w:tc>
          <w:tcPr>
            <w:tcW w:w="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29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Net income by segment</w:t>
            </w:r>
          </w:p>
        </w:tc>
        <w:tc>
          <w:tcPr>
            <w:tcW w:w="60" w:type="dxa"/>
            <w:tcBorders/>
            <w:shd w:fill="FFFFFF" w:val="clear"/>
            <w:vAlign w:val="center"/>
          </w:tcPr>
          <w:p>
            <w:pPr>
              <w:pStyle w:val="TableContents"/>
              <w:bidi w:val="0"/>
              <w:spacing w:before="0" w:after="0"/>
              <w:ind w:left="0" w:right="0" w:hanging="0"/>
              <w:jc w:val="left"/>
              <w:rPr/>
            </w:pPr>
            <w:r>
              <w:rPr/>
              <w:t> </w:t>
            </w:r>
          </w:p>
        </w:tc>
        <w:tc>
          <w:tcPr>
            <w:tcW w:w="3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5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6,793</w:t>
            </w:r>
          </w:p>
        </w:tc>
        <w:tc>
          <w:tcPr>
            <w:tcW w:w="10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1,143</w:t>
            </w:r>
          </w:p>
        </w:tc>
        <w:tc>
          <w:tcPr>
            <w:tcW w:w="10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7,936</w:t>
            </w:r>
          </w:p>
        </w:tc>
        <w:tc>
          <w:tcPr>
            <w:tcW w:w="8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r>
        <w:trPr/>
        <w:tc>
          <w:tcPr>
            <w:tcW w:w="429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376" w:type="dxa"/>
            <w:tcBorders/>
            <w:shd w:fill="CCEEFF" w:val="clear"/>
            <w:vAlign w:val="center"/>
          </w:tcPr>
          <w:p>
            <w:pPr>
              <w:pStyle w:val="TableContents"/>
              <w:bidi w:val="0"/>
              <w:spacing w:before="0" w:after="0"/>
              <w:ind w:left="0" w:right="0" w:hanging="0"/>
              <w:jc w:val="left"/>
              <w:rPr/>
            </w:pPr>
            <w:r>
              <w:rPr/>
              <w:t> </w:t>
            </w:r>
          </w:p>
        </w:tc>
        <w:tc>
          <w:tcPr>
            <w:tcW w:w="2559"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p>
        </w:tc>
        <w:tc>
          <w:tcPr>
            <w:tcW w:w="1015" w:type="dxa"/>
            <w:tcBorders/>
            <w:shd w:fill="CCEEFF" w:val="clear"/>
            <w:vAlign w:val="center"/>
          </w:tcPr>
          <w:p>
            <w:pPr>
              <w:pStyle w:val="TableContents"/>
              <w:bidi w:val="0"/>
              <w:spacing w:before="0" w:after="0"/>
              <w:ind w:left="0" w:right="0" w:hanging="0"/>
              <w:jc w:val="left"/>
              <w:rPr/>
            </w:pPr>
            <w:r>
              <w:rPr/>
              <w:t> </w:t>
            </w:r>
          </w:p>
        </w:tc>
        <w:tc>
          <w:tcPr>
            <w:tcW w:w="104" w:type="dxa"/>
            <w:tcBorders/>
            <w:shd w:fill="CCEEFF" w:val="clear"/>
            <w:vAlign w:val="center"/>
          </w:tcPr>
          <w:p>
            <w:pPr>
              <w:pStyle w:val="TableContents"/>
              <w:bidi w:val="0"/>
              <w:spacing w:before="0" w:after="0"/>
              <w:ind w:left="0" w:right="0" w:hanging="0"/>
              <w:jc w:val="left"/>
              <w:rPr/>
            </w:pPr>
            <w:r>
              <w:rPr/>
              <w:t>​</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shd w:fill="CCEEFF" w:val="clear"/>
            <w:vAlign w:val="center"/>
          </w:tcPr>
          <w:p>
            <w:pPr>
              <w:pStyle w:val="TableContents"/>
              <w:bidi w:val="0"/>
              <w:spacing w:before="0" w:after="0"/>
              <w:ind w:left="0" w:right="0" w:hanging="0"/>
              <w:jc w:val="left"/>
              <w:rPr/>
            </w:pPr>
            <w:r>
              <w:rPr/>
              <w:t> </w:t>
            </w:r>
          </w:p>
        </w:tc>
        <w:tc>
          <w:tcPr>
            <w:tcW w:w="1108"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w:t>
            </w:r>
          </w:p>
        </w:tc>
      </w:tr>
      <w:tr>
        <w:trPr/>
        <w:tc>
          <w:tcPr>
            <w:tcW w:w="429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segment disclosures:</w:t>
            </w:r>
          </w:p>
        </w:tc>
        <w:tc>
          <w:tcPr>
            <w:tcW w:w="60" w:type="dxa"/>
            <w:tcBorders/>
            <w:shd w:fill="FFFFFF" w:val="clear"/>
            <w:vAlign w:val="center"/>
          </w:tcPr>
          <w:p>
            <w:pPr>
              <w:pStyle w:val="TableContents"/>
              <w:bidi w:val="0"/>
              <w:spacing w:before="0" w:after="0"/>
              <w:ind w:left="0" w:right="0" w:hanging="0"/>
              <w:jc w:val="left"/>
              <w:rPr/>
            </w:pPr>
            <w:r>
              <w:rPr/>
              <w:t> </w:t>
            </w:r>
          </w:p>
        </w:tc>
        <w:tc>
          <w:tcPr>
            <w:tcW w:w="376" w:type="dxa"/>
            <w:tcBorders/>
            <w:shd w:fill="FFFFFF" w:val="clear"/>
            <w:vAlign w:val="center"/>
          </w:tcPr>
          <w:p>
            <w:pPr>
              <w:pStyle w:val="TableContents"/>
              <w:bidi w:val="0"/>
              <w:spacing w:before="0" w:after="0"/>
              <w:ind w:left="0" w:right="0" w:hanging="0"/>
              <w:jc w:val="left"/>
              <w:rPr/>
            </w:pPr>
            <w:r>
              <w:rPr/>
              <w:t> </w:t>
            </w:r>
          </w:p>
        </w:tc>
        <w:tc>
          <w:tcPr>
            <w:tcW w:w="2559"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1015" w:type="dxa"/>
            <w:tcBorders/>
            <w:shd w:fill="FFFFFF" w:val="clear"/>
            <w:vAlign w:val="center"/>
          </w:tcPr>
          <w:p>
            <w:pPr>
              <w:pStyle w:val="TableContents"/>
              <w:bidi w:val="0"/>
              <w:spacing w:before="0" w:after="0"/>
              <w:ind w:left="0" w:right="0" w:hanging="0"/>
              <w:jc w:val="left"/>
              <w:rPr/>
            </w:pPr>
            <w:r>
              <w:rPr/>
              <w:t> </w:t>
            </w:r>
          </w:p>
        </w:tc>
        <w:tc>
          <w:tcPr>
            <w:tcW w:w="104" w:type="dxa"/>
            <w:tcBorders/>
            <w:shd w:fill="FFFFFF" w:val="clear"/>
            <w:vAlign w:val="center"/>
          </w:tcPr>
          <w:p>
            <w:pPr>
              <w:pStyle w:val="TableContents"/>
              <w:bidi w:val="0"/>
              <w:spacing w:before="0" w:after="0"/>
              <w:ind w:left="0" w:right="0" w:hanging="0"/>
              <w:jc w:val="left"/>
              <w:rPr/>
            </w:pPr>
            <w:r>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shd w:fill="FFFFFF" w:val="clear"/>
            <w:vAlign w:val="center"/>
          </w:tcPr>
          <w:p>
            <w:pPr>
              <w:pStyle w:val="TableContents"/>
              <w:bidi w:val="0"/>
              <w:spacing w:before="0" w:after="0"/>
              <w:ind w:left="0" w:right="0" w:hanging="0"/>
              <w:jc w:val="left"/>
              <w:rPr/>
            </w:pPr>
            <w:r>
              <w:rPr/>
              <w:t> </w:t>
            </w:r>
          </w:p>
        </w:tc>
        <w:tc>
          <w:tcPr>
            <w:tcW w:w="1108"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w:t>
            </w:r>
          </w:p>
        </w:tc>
      </w:tr>
      <w:tr>
        <w:trPr/>
        <w:tc>
          <w:tcPr>
            <w:tcW w:w="4293"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Segment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37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2,492,962</w:t>
            </w:r>
          </w:p>
        </w:tc>
        <w:tc>
          <w:tcPr>
            <w:tcW w:w="1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686,118</w:t>
            </w:r>
          </w:p>
        </w:tc>
        <w:tc>
          <w:tcPr>
            <w:tcW w:w="10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3,179,080</w:t>
            </w:r>
          </w:p>
        </w:tc>
        <w:tc>
          <w:tcPr>
            <w:tcW w:w="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 </w:t>
            </w:r>
          </w:p>
        </w:tc>
      </w:tr>
      <w:tr>
        <w:trPr/>
        <w:tc>
          <w:tcPr>
            <w:tcW w:w="4293"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FTEs</w:t>
            </w:r>
          </w:p>
        </w:tc>
        <w:tc>
          <w:tcPr>
            <w:tcW w:w="60" w:type="dxa"/>
            <w:tcBorders/>
            <w:shd w:fill="FFFFFF" w:val="clear"/>
            <w:vAlign w:val="center"/>
          </w:tcPr>
          <w:p>
            <w:pPr>
              <w:pStyle w:val="TableContents"/>
              <w:bidi w:val="0"/>
              <w:spacing w:before="0" w:after="0"/>
              <w:ind w:left="0" w:right="0" w:hanging="0"/>
              <w:jc w:val="left"/>
              <w:rPr/>
            </w:pPr>
            <w:r>
              <w:rPr/>
              <w:t> </w:t>
            </w:r>
          </w:p>
        </w:tc>
        <w:tc>
          <w:tcPr>
            <w:tcW w:w="37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2559"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476</w:t>
            </w:r>
          </w:p>
        </w:tc>
        <w:tc>
          <w:tcPr>
            <w:tcW w:w="10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1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w:t>
            </w:r>
          </w:p>
        </w:tc>
        <w:tc>
          <w:tcPr>
            <w:tcW w:w="10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10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593</w:t>
            </w:r>
          </w:p>
        </w:tc>
        <w:tc>
          <w:tcPr>
            <w:tcW w:w="8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4336"/>
        <w:gridCol w:w="23"/>
        <w:gridCol w:w="380"/>
        <w:gridCol w:w="2581"/>
        <w:gridCol w:w="106"/>
        <w:gridCol w:w="29"/>
        <w:gridCol w:w="186"/>
        <w:gridCol w:w="1044"/>
        <w:gridCol w:w="106"/>
        <w:gridCol w:w="29"/>
        <w:gridCol w:w="166"/>
        <w:gridCol w:w="1131"/>
        <w:gridCol w:w="88"/>
      </w:tblGrid>
      <w:tr>
        <w:trPr/>
        <w:tc>
          <w:tcPr>
            <w:tcW w:w="4336"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575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 or For the Three Months Ended June 30, 2025</w:t>
            </w:r>
          </w:p>
        </w:tc>
        <w:tc>
          <w:tcPr>
            <w:tcW w:w="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336" w:type="dxa"/>
            <w:tcBorders/>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w:t>
            </w:r>
          </w:p>
        </w:tc>
        <w:tc>
          <w:tcPr>
            <w:tcW w:w="23" w:type="dxa"/>
            <w:tcBorders/>
            <w:vAlign w:val="center"/>
          </w:tcPr>
          <w:p>
            <w:pPr>
              <w:pStyle w:val="TableContents"/>
              <w:bidi w:val="0"/>
              <w:spacing w:before="0" w:after="0"/>
              <w:ind w:left="0" w:right="0" w:hanging="0"/>
              <w:jc w:val="left"/>
              <w:rPr/>
            </w:pPr>
            <w:r>
              <w:rPr/>
              <w:t>​</w:t>
            </w:r>
          </w:p>
        </w:tc>
        <w:tc>
          <w:tcPr>
            <w:tcW w:w="29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Commercial and Consumer Banking</w:t>
            </w:r>
          </w:p>
        </w:tc>
        <w:tc>
          <w:tcPr>
            <w:tcW w:w="1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9" w:type="dxa"/>
            <w:tcBorders/>
            <w:vAlign w:val="center"/>
          </w:tcPr>
          <w:p>
            <w:pPr>
              <w:pStyle w:val="TableContents"/>
              <w:bidi w:val="0"/>
              <w:spacing w:before="0" w:after="0"/>
              <w:ind w:left="0" w:right="0" w:hanging="0"/>
              <w:jc w:val="left"/>
              <w:rPr/>
            </w:pPr>
            <w:r>
              <w:rPr/>
              <w:t>​</w:t>
            </w:r>
          </w:p>
        </w:tc>
        <w:tc>
          <w:tcPr>
            <w:tcW w:w="12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Home Lending</w:t>
            </w:r>
          </w:p>
        </w:tc>
        <w:tc>
          <w:tcPr>
            <w:tcW w:w="106"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9" w:type="dxa"/>
            <w:tcBorders/>
            <w:vAlign w:val="center"/>
          </w:tcPr>
          <w:p>
            <w:pPr>
              <w:pStyle w:val="TableContents"/>
              <w:bidi w:val="0"/>
              <w:spacing w:before="0" w:after="0"/>
              <w:ind w:left="0" w:right="0" w:hanging="0"/>
              <w:jc w:val="left"/>
              <w:rPr/>
            </w:pPr>
            <w:r>
              <w:rPr/>
              <w:t>​</w:t>
            </w:r>
          </w:p>
        </w:tc>
        <w:tc>
          <w:tcPr>
            <w:tcW w:w="129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88"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 - loans receivable, including fees</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36,083</w:t>
            </w:r>
          </w:p>
        </w:tc>
        <w:tc>
          <w:tcPr>
            <w:tcW w:w="106"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8,955</w:t>
            </w:r>
          </w:p>
        </w:tc>
        <w:tc>
          <w:tcPr>
            <w:tcW w:w="106"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45,038</w:t>
            </w:r>
          </w:p>
        </w:tc>
        <w:tc>
          <w:tcPr>
            <w:tcW w:w="88" w:type="dxa"/>
            <w:tcBorders/>
            <w:shd w:fill="CCEEFF" w:val="clear"/>
            <w:vAlign w:val="center"/>
          </w:tcPr>
          <w:p>
            <w:pPr>
              <w:pStyle w:val="TableContents"/>
              <w:bidi w:val="0"/>
              <w:spacing w:before="0" w:after="0"/>
              <w:ind w:left="0" w:right="0" w:hanging="0"/>
              <w:jc w:val="left"/>
              <w:rPr/>
            </w:pPr>
            <w:r>
              <w:rPr/>
              <w:t>​</w:t>
            </w:r>
          </w:p>
        </w:tc>
      </w:tr>
      <w:tr>
        <w:trPr/>
        <w:tc>
          <w:tcPr>
            <w:tcW w:w="433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 - other interest earnings assets</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3,665</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3,665</w:t>
            </w:r>
          </w:p>
        </w:tc>
        <w:tc>
          <w:tcPr>
            <w:tcW w:w="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interest income by segment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39,748</w:t>
            </w:r>
          </w:p>
        </w:tc>
        <w:tc>
          <w:tcPr>
            <w:tcW w:w="1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8,955</w:t>
            </w:r>
          </w:p>
        </w:tc>
        <w:tc>
          <w:tcPr>
            <w:tcW w:w="1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48,703</w:t>
            </w:r>
          </w:p>
        </w:tc>
        <w:tc>
          <w:tcPr>
            <w:tcW w:w="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36" w:type="dxa"/>
            <w:tcBorders/>
            <w:shd w:fill="FFFFFF" w:val="clear"/>
            <w:vAlign w:val="center"/>
          </w:tcPr>
          <w:p>
            <w:pPr>
              <w:pStyle w:val="TableContents"/>
              <w:bidi w:val="0"/>
              <w:spacing w:before="0" w:after="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left"/>
              <w:rPr/>
            </w:pPr>
            <w:r>
              <w:rPr/>
              <w:t>​</w:t>
            </w:r>
          </w:p>
        </w:tc>
        <w:tc>
          <w:tcPr>
            <w:tcW w:w="2581" w:type="dxa"/>
            <w:tcBorders/>
            <w:shd w:fill="FFFFFF" w:val="clear"/>
            <w:vAlign w:val="center"/>
          </w:tcPr>
          <w:p>
            <w:pPr>
              <w:pStyle w:val="TableContents"/>
              <w:bidi w:val="0"/>
              <w:spacing w:before="0" w:after="0"/>
              <w:ind w:left="0" w:right="0" w:hanging="0"/>
              <w:jc w:val="left"/>
              <w:rPr/>
            </w:pPr>
            <w:r>
              <w:rPr/>
              <w:t>​</w:t>
            </w:r>
          </w:p>
        </w:tc>
        <w:tc>
          <w:tcPr>
            <w:tcW w:w="106"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6" w:type="dxa"/>
            <w:tcBorders/>
            <w:shd w:fill="FFFFFF" w:val="clear"/>
            <w:vAlign w:val="center"/>
          </w:tcPr>
          <w:p>
            <w:pPr>
              <w:pStyle w:val="TableContents"/>
              <w:bidi w:val="0"/>
              <w:spacing w:before="0" w:after="0"/>
              <w:ind w:left="0" w:right="0" w:hanging="0"/>
              <w:jc w:val="left"/>
              <w:rPr/>
            </w:pPr>
            <w:r>
              <w:rPr/>
              <w:t>​</w:t>
            </w:r>
          </w:p>
        </w:tc>
        <w:tc>
          <w:tcPr>
            <w:tcW w:w="1044" w:type="dxa"/>
            <w:tcBorders/>
            <w:shd w:fill="FFFFFF" w:val="clear"/>
            <w:vAlign w:val="center"/>
          </w:tcPr>
          <w:p>
            <w:pPr>
              <w:pStyle w:val="TableContents"/>
              <w:bidi w:val="0"/>
              <w:spacing w:before="0" w:after="0"/>
              <w:ind w:left="0" w:right="0" w:hanging="0"/>
              <w:jc w:val="left"/>
              <w:rPr/>
            </w:pPr>
            <w:r>
              <w:rPr/>
              <w:t>​</w:t>
            </w:r>
          </w:p>
        </w:tc>
        <w:tc>
          <w:tcPr>
            <w:tcW w:w="106"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1131" w:type="dxa"/>
            <w:tcBorders/>
            <w:shd w:fill="FFFFFF" w:val="clear"/>
            <w:vAlign w:val="center"/>
          </w:tcPr>
          <w:p>
            <w:pPr>
              <w:pStyle w:val="TableContents"/>
              <w:bidi w:val="0"/>
              <w:spacing w:before="0" w:after="0"/>
              <w:ind w:left="0" w:right="0" w:hanging="0"/>
              <w:jc w:val="left"/>
              <w:rPr/>
            </w:pPr>
            <w:r>
              <w:rPr/>
              <w:t>​</w:t>
            </w:r>
          </w:p>
        </w:tc>
        <w:tc>
          <w:tcPr>
            <w:tcW w:w="88" w:type="dxa"/>
            <w:tcBorders/>
            <w:shd w:fill="FFFFFF" w:val="clear"/>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Gain on sale of loans</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right"/>
              <w:rPr/>
            </w:pPr>
            <w:r>
              <w:rPr/>
              <w:t>—</w:t>
            </w:r>
          </w:p>
        </w:tc>
        <w:tc>
          <w:tcPr>
            <w:tcW w:w="106"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1,972</w:t>
            </w:r>
          </w:p>
        </w:tc>
        <w:tc>
          <w:tcPr>
            <w:tcW w:w="106"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1,972</w:t>
            </w:r>
          </w:p>
        </w:tc>
        <w:tc>
          <w:tcPr>
            <w:tcW w:w="88" w:type="dxa"/>
            <w:tcBorders/>
            <w:shd w:fill="CCEEFF" w:val="clear"/>
            <w:vAlign w:val="center"/>
          </w:tcPr>
          <w:p>
            <w:pPr>
              <w:pStyle w:val="TableContents"/>
              <w:bidi w:val="0"/>
              <w:spacing w:before="0" w:after="0"/>
              <w:ind w:left="0" w:right="0" w:hanging="0"/>
              <w:jc w:val="left"/>
              <w:rPr/>
            </w:pPr>
            <w:r>
              <w:rPr/>
              <w:t>​</w:t>
            </w:r>
          </w:p>
        </w:tc>
      </w:tr>
      <w:tr>
        <w:trPr/>
        <w:tc>
          <w:tcPr>
            <w:tcW w:w="433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income</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left"/>
              <w:rPr/>
            </w:pPr>
            <w:r>
              <w:rPr/>
              <w:t>​</w:t>
            </w:r>
          </w:p>
        </w:tc>
        <w:tc>
          <w:tcPr>
            <w:tcW w:w="258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2,623</w:t>
            </w:r>
          </w:p>
        </w:tc>
        <w:tc>
          <w:tcPr>
            <w:tcW w:w="106"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6" w:type="dxa"/>
            <w:tcBorders/>
            <w:shd w:fill="FFFFFF" w:val="clear"/>
            <w:vAlign w:val="center"/>
          </w:tcPr>
          <w:p>
            <w:pPr>
              <w:pStyle w:val="TableContents"/>
              <w:bidi w:val="0"/>
              <w:spacing w:before="0" w:after="0"/>
              <w:ind w:left="0" w:right="0" w:hanging="0"/>
              <w:jc w:val="left"/>
              <w:rPr/>
            </w:pPr>
            <w:r>
              <w:rPr/>
              <w:t>​</w:t>
            </w:r>
          </w:p>
        </w:tc>
        <w:tc>
          <w:tcPr>
            <w:tcW w:w="104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575</w:t>
            </w:r>
          </w:p>
        </w:tc>
        <w:tc>
          <w:tcPr>
            <w:tcW w:w="106"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11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3,198</w:t>
            </w:r>
          </w:p>
        </w:tc>
        <w:tc>
          <w:tcPr>
            <w:tcW w:w="88" w:type="dxa"/>
            <w:tcBorders/>
            <w:shd w:fill="FFFFFF" w:val="clear"/>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Intersegment income</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(325</w:t>
            </w:r>
          </w:p>
        </w:tc>
        <w:tc>
          <w:tcPr>
            <w:tcW w:w="1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325</w:t>
            </w:r>
          </w:p>
        </w:tc>
        <w:tc>
          <w:tcPr>
            <w:tcW w:w="1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3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noninterest income by segment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2,298</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2,872</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5,170</w:t>
            </w:r>
          </w:p>
        </w:tc>
        <w:tc>
          <w:tcPr>
            <w:tcW w:w="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8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3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income by segment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42,046</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11,827</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53,873</w:t>
            </w:r>
          </w:p>
        </w:tc>
        <w:tc>
          <w:tcPr>
            <w:tcW w:w="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left"/>
              <w:rPr/>
            </w:pPr>
            <w:r>
              <w:rPr/>
              <w:t>​</w:t>
            </w:r>
          </w:p>
        </w:tc>
        <w:tc>
          <w:tcPr>
            <w:tcW w:w="106"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left"/>
              <w:rPr/>
            </w:pPr>
            <w:r>
              <w:rPr/>
              <w:t>​</w:t>
            </w:r>
          </w:p>
        </w:tc>
        <w:tc>
          <w:tcPr>
            <w:tcW w:w="106"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left"/>
              <w:rPr/>
            </w:pPr>
            <w:r>
              <w:rPr/>
              <w:t>​</w:t>
            </w:r>
          </w:p>
        </w:tc>
        <w:tc>
          <w:tcPr>
            <w:tcW w:w="88" w:type="dxa"/>
            <w:tcBorders/>
            <w:shd w:fill="CCEEFF" w:val="clear"/>
            <w:vAlign w:val="center"/>
          </w:tcPr>
          <w:p>
            <w:pPr>
              <w:pStyle w:val="TableContents"/>
              <w:bidi w:val="0"/>
              <w:spacing w:before="0" w:after="0"/>
              <w:ind w:left="0" w:right="0" w:hanging="0"/>
              <w:jc w:val="left"/>
              <w:rPr/>
            </w:pPr>
            <w:r>
              <w:rPr/>
              <w:t>​</w:t>
            </w:r>
          </w:p>
        </w:tc>
      </w:tr>
      <w:tr>
        <w:trPr/>
        <w:tc>
          <w:tcPr>
            <w:tcW w:w="4336"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Expense:</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left"/>
              <w:rPr/>
            </w:pPr>
            <w:r>
              <w:rPr/>
              <w:t>​</w:t>
            </w:r>
          </w:p>
        </w:tc>
        <w:tc>
          <w:tcPr>
            <w:tcW w:w="2581" w:type="dxa"/>
            <w:tcBorders/>
            <w:shd w:fill="FFFFFF" w:val="clear"/>
            <w:vAlign w:val="center"/>
          </w:tcPr>
          <w:p>
            <w:pPr>
              <w:pStyle w:val="TableContents"/>
              <w:bidi w:val="0"/>
              <w:spacing w:before="0" w:after="0"/>
              <w:ind w:left="0" w:right="0" w:hanging="0"/>
              <w:jc w:val="left"/>
              <w:rPr/>
            </w:pPr>
            <w:r>
              <w:rPr/>
              <w:t>​</w:t>
            </w:r>
          </w:p>
        </w:tc>
        <w:tc>
          <w:tcPr>
            <w:tcW w:w="106"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6" w:type="dxa"/>
            <w:tcBorders/>
            <w:shd w:fill="FFFFFF" w:val="clear"/>
            <w:vAlign w:val="center"/>
          </w:tcPr>
          <w:p>
            <w:pPr>
              <w:pStyle w:val="TableContents"/>
              <w:bidi w:val="0"/>
              <w:spacing w:before="0" w:after="0"/>
              <w:ind w:left="0" w:right="0" w:hanging="0"/>
              <w:jc w:val="left"/>
              <w:rPr/>
            </w:pPr>
            <w:r>
              <w:rPr/>
              <w:t>​</w:t>
            </w:r>
          </w:p>
        </w:tc>
        <w:tc>
          <w:tcPr>
            <w:tcW w:w="1044" w:type="dxa"/>
            <w:tcBorders/>
            <w:shd w:fill="FFFFFF" w:val="clear"/>
            <w:vAlign w:val="center"/>
          </w:tcPr>
          <w:p>
            <w:pPr>
              <w:pStyle w:val="TableContents"/>
              <w:bidi w:val="0"/>
              <w:spacing w:before="0" w:after="0"/>
              <w:ind w:left="0" w:right="0" w:hanging="0"/>
              <w:jc w:val="left"/>
              <w:rPr/>
            </w:pPr>
            <w:r>
              <w:rPr/>
              <w:t>​</w:t>
            </w:r>
          </w:p>
        </w:tc>
        <w:tc>
          <w:tcPr>
            <w:tcW w:w="106"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1131" w:type="dxa"/>
            <w:tcBorders/>
            <w:shd w:fill="FFFFFF" w:val="clear"/>
            <w:vAlign w:val="center"/>
          </w:tcPr>
          <w:p>
            <w:pPr>
              <w:pStyle w:val="TableContents"/>
              <w:bidi w:val="0"/>
              <w:spacing w:before="0" w:after="0"/>
              <w:ind w:left="0" w:right="0" w:hanging="0"/>
              <w:jc w:val="left"/>
              <w:rPr/>
            </w:pPr>
            <w:r>
              <w:rPr/>
              <w:t>​</w:t>
            </w:r>
          </w:p>
        </w:tc>
        <w:tc>
          <w:tcPr>
            <w:tcW w:w="88" w:type="dxa"/>
            <w:tcBorders/>
            <w:shd w:fill="FFFFFF" w:val="clear"/>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 deposits</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14,518</w:t>
            </w:r>
          </w:p>
        </w:tc>
        <w:tc>
          <w:tcPr>
            <w:tcW w:w="106"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106"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14,520</w:t>
            </w:r>
          </w:p>
        </w:tc>
        <w:tc>
          <w:tcPr>
            <w:tcW w:w="88" w:type="dxa"/>
            <w:tcBorders/>
            <w:shd w:fill="CCEEFF" w:val="clear"/>
            <w:vAlign w:val="center"/>
          </w:tcPr>
          <w:p>
            <w:pPr>
              <w:pStyle w:val="TableContents"/>
              <w:bidi w:val="0"/>
              <w:spacing w:before="0" w:after="0"/>
              <w:ind w:left="0" w:right="0" w:hanging="0"/>
              <w:jc w:val="left"/>
              <w:rPr/>
            </w:pPr>
            <w:r>
              <w:rPr/>
              <w:t>​</w:t>
            </w:r>
          </w:p>
        </w:tc>
      </w:tr>
      <w:tr>
        <w:trPr/>
        <w:tc>
          <w:tcPr>
            <w:tcW w:w="433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 borrowings</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left"/>
              <w:rPr/>
            </w:pPr>
            <w:r>
              <w:rPr/>
              <w:t>​</w:t>
            </w:r>
          </w:p>
        </w:tc>
        <w:tc>
          <w:tcPr>
            <w:tcW w:w="258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1,585</w:t>
            </w:r>
          </w:p>
        </w:tc>
        <w:tc>
          <w:tcPr>
            <w:tcW w:w="106"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6" w:type="dxa"/>
            <w:tcBorders/>
            <w:shd w:fill="FFFFFF" w:val="clear"/>
            <w:vAlign w:val="center"/>
          </w:tcPr>
          <w:p>
            <w:pPr>
              <w:pStyle w:val="TableContents"/>
              <w:bidi w:val="0"/>
              <w:spacing w:before="0" w:after="0"/>
              <w:ind w:left="0" w:right="0" w:hanging="0"/>
              <w:jc w:val="left"/>
              <w:rPr/>
            </w:pPr>
            <w:r>
              <w:rPr/>
              <w:t>​</w:t>
            </w:r>
          </w:p>
        </w:tc>
        <w:tc>
          <w:tcPr>
            <w:tcW w:w="1044" w:type="dxa"/>
            <w:tcBorders/>
            <w:shd w:fill="FFFFFF" w:val="clear"/>
            <w:vAlign w:val="center"/>
          </w:tcPr>
          <w:p>
            <w:pPr>
              <w:pStyle w:val="TableContents"/>
              <w:bidi w:val="0"/>
              <w:spacing w:before="0" w:after="0"/>
              <w:ind w:left="0" w:right="0" w:hanging="0"/>
              <w:jc w:val="right"/>
              <w:rPr/>
            </w:pPr>
            <w:r>
              <w:rPr/>
              <w:t>—</w:t>
            </w:r>
          </w:p>
        </w:tc>
        <w:tc>
          <w:tcPr>
            <w:tcW w:w="106"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11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1,585</w:t>
            </w:r>
          </w:p>
        </w:tc>
        <w:tc>
          <w:tcPr>
            <w:tcW w:w="88" w:type="dxa"/>
            <w:tcBorders/>
            <w:shd w:fill="FFFFFF" w:val="clear"/>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 subordinated note</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385</w:t>
            </w:r>
          </w:p>
        </w:tc>
        <w:tc>
          <w:tcPr>
            <w:tcW w:w="106"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w:t>
            </w:r>
          </w:p>
        </w:tc>
        <w:tc>
          <w:tcPr>
            <w:tcW w:w="106"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486</w:t>
            </w:r>
          </w:p>
        </w:tc>
        <w:tc>
          <w:tcPr>
            <w:tcW w:w="88" w:type="dxa"/>
            <w:tcBorders/>
            <w:shd w:fill="CCEEFF" w:val="clear"/>
            <w:vAlign w:val="center"/>
          </w:tcPr>
          <w:p>
            <w:pPr>
              <w:pStyle w:val="TableContents"/>
              <w:bidi w:val="0"/>
              <w:spacing w:before="0" w:after="0"/>
              <w:ind w:left="0" w:right="0" w:hanging="0"/>
              <w:jc w:val="left"/>
              <w:rPr/>
            </w:pPr>
            <w:r>
              <w:rPr/>
              <w:t>​</w:t>
            </w:r>
          </w:p>
        </w:tc>
      </w:tr>
      <w:tr>
        <w:trPr/>
        <w:tc>
          <w:tcPr>
            <w:tcW w:w="433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 intersegment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(5,919</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5,919</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interest expense by segment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10,569</w:t>
            </w:r>
          </w:p>
        </w:tc>
        <w:tc>
          <w:tcPr>
            <w:tcW w:w="1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6,022</w:t>
            </w:r>
          </w:p>
        </w:tc>
        <w:tc>
          <w:tcPr>
            <w:tcW w:w="1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16,591</w:t>
            </w:r>
          </w:p>
        </w:tc>
        <w:tc>
          <w:tcPr>
            <w:tcW w:w="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36" w:type="dxa"/>
            <w:tcBorders/>
            <w:shd w:fill="FFFFFF" w:val="clear"/>
            <w:vAlign w:val="center"/>
          </w:tcPr>
          <w:p>
            <w:pPr>
              <w:pStyle w:val="TableContents"/>
              <w:bidi w:val="0"/>
              <w:spacing w:before="0" w:after="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left"/>
              <w:rPr/>
            </w:pPr>
            <w:r>
              <w:rPr/>
              <w:t>​</w:t>
            </w:r>
          </w:p>
        </w:tc>
        <w:tc>
          <w:tcPr>
            <w:tcW w:w="2581" w:type="dxa"/>
            <w:tcBorders/>
            <w:shd w:fill="FFFFFF" w:val="clear"/>
            <w:vAlign w:val="center"/>
          </w:tcPr>
          <w:p>
            <w:pPr>
              <w:pStyle w:val="TableContents"/>
              <w:bidi w:val="0"/>
              <w:spacing w:before="0" w:after="0"/>
              <w:ind w:left="0" w:right="0" w:hanging="0"/>
              <w:jc w:val="left"/>
              <w:rPr/>
            </w:pPr>
            <w:r>
              <w:rPr/>
              <w:t>​</w:t>
            </w:r>
          </w:p>
        </w:tc>
        <w:tc>
          <w:tcPr>
            <w:tcW w:w="106"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6" w:type="dxa"/>
            <w:tcBorders/>
            <w:shd w:fill="FFFFFF" w:val="clear"/>
            <w:vAlign w:val="center"/>
          </w:tcPr>
          <w:p>
            <w:pPr>
              <w:pStyle w:val="TableContents"/>
              <w:bidi w:val="0"/>
              <w:spacing w:before="0" w:after="0"/>
              <w:ind w:left="0" w:right="0" w:hanging="0"/>
              <w:jc w:val="left"/>
              <w:rPr/>
            </w:pPr>
            <w:r>
              <w:rPr/>
              <w:t>​</w:t>
            </w:r>
          </w:p>
        </w:tc>
        <w:tc>
          <w:tcPr>
            <w:tcW w:w="1044" w:type="dxa"/>
            <w:tcBorders/>
            <w:shd w:fill="FFFFFF" w:val="clear"/>
            <w:vAlign w:val="center"/>
          </w:tcPr>
          <w:p>
            <w:pPr>
              <w:pStyle w:val="TableContents"/>
              <w:bidi w:val="0"/>
              <w:spacing w:before="0" w:after="0"/>
              <w:ind w:left="0" w:right="0" w:hanging="0"/>
              <w:jc w:val="left"/>
              <w:rPr/>
            </w:pPr>
            <w:r>
              <w:rPr/>
              <w:t>​</w:t>
            </w:r>
          </w:p>
        </w:tc>
        <w:tc>
          <w:tcPr>
            <w:tcW w:w="106"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1131" w:type="dxa"/>
            <w:tcBorders/>
            <w:shd w:fill="FFFFFF" w:val="clear"/>
            <w:vAlign w:val="center"/>
          </w:tcPr>
          <w:p>
            <w:pPr>
              <w:pStyle w:val="TableContents"/>
              <w:bidi w:val="0"/>
              <w:spacing w:before="0" w:after="0"/>
              <w:ind w:left="0" w:right="0" w:hanging="0"/>
              <w:jc w:val="left"/>
              <w:rPr/>
            </w:pPr>
            <w:r>
              <w:rPr/>
              <w:t>​</w:t>
            </w:r>
          </w:p>
        </w:tc>
        <w:tc>
          <w:tcPr>
            <w:tcW w:w="88" w:type="dxa"/>
            <w:tcBorders/>
            <w:shd w:fill="FFFFFF" w:val="clear"/>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credit losses by segment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1,849</w:t>
            </w:r>
          </w:p>
        </w:tc>
        <w:tc>
          <w:tcPr>
            <w:tcW w:w="106"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w:t>
            </w:r>
          </w:p>
        </w:tc>
        <w:tc>
          <w:tcPr>
            <w:tcW w:w="106"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2,021</w:t>
            </w:r>
          </w:p>
        </w:tc>
        <w:tc>
          <w:tcPr>
            <w:tcW w:w="88" w:type="dxa"/>
            <w:tcBorders/>
            <w:shd w:fill="CCEEFF" w:val="clear"/>
            <w:vAlign w:val="center"/>
          </w:tcPr>
          <w:p>
            <w:pPr>
              <w:pStyle w:val="TableContents"/>
              <w:bidi w:val="0"/>
              <w:spacing w:before="0" w:after="0"/>
              <w:ind w:left="0" w:right="0" w:hanging="0"/>
              <w:jc w:val="left"/>
              <w:rPr/>
            </w:pPr>
            <w:r>
              <w:rPr/>
              <w:t>​</w:t>
            </w:r>
          </w:p>
        </w:tc>
      </w:tr>
      <w:tr>
        <w:trPr/>
        <w:tc>
          <w:tcPr>
            <w:tcW w:w="4336" w:type="dxa"/>
            <w:tcBorders/>
            <w:shd w:fill="FFFFFF" w:val="clear"/>
            <w:vAlign w:val="center"/>
          </w:tcPr>
          <w:p>
            <w:pPr>
              <w:pStyle w:val="TableContents"/>
              <w:bidi w:val="0"/>
              <w:spacing w:before="0" w:after="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left"/>
              <w:rPr/>
            </w:pPr>
            <w:r>
              <w:rPr/>
              <w:t>​</w:t>
            </w:r>
          </w:p>
        </w:tc>
        <w:tc>
          <w:tcPr>
            <w:tcW w:w="2581" w:type="dxa"/>
            <w:tcBorders/>
            <w:shd w:fill="FFFFFF" w:val="clear"/>
            <w:vAlign w:val="center"/>
          </w:tcPr>
          <w:p>
            <w:pPr>
              <w:pStyle w:val="TableContents"/>
              <w:bidi w:val="0"/>
              <w:spacing w:before="0" w:after="0"/>
              <w:ind w:left="0" w:right="0" w:hanging="0"/>
              <w:jc w:val="left"/>
              <w:rPr/>
            </w:pPr>
            <w:r>
              <w:rPr/>
              <w:t>​</w:t>
            </w:r>
          </w:p>
        </w:tc>
        <w:tc>
          <w:tcPr>
            <w:tcW w:w="106"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6" w:type="dxa"/>
            <w:tcBorders/>
            <w:shd w:fill="FFFFFF" w:val="clear"/>
            <w:vAlign w:val="center"/>
          </w:tcPr>
          <w:p>
            <w:pPr>
              <w:pStyle w:val="TableContents"/>
              <w:bidi w:val="0"/>
              <w:spacing w:before="0" w:after="0"/>
              <w:ind w:left="0" w:right="0" w:hanging="0"/>
              <w:jc w:val="left"/>
              <w:rPr/>
            </w:pPr>
            <w:r>
              <w:rPr/>
              <w:t>​</w:t>
            </w:r>
          </w:p>
        </w:tc>
        <w:tc>
          <w:tcPr>
            <w:tcW w:w="1044" w:type="dxa"/>
            <w:tcBorders/>
            <w:shd w:fill="FFFFFF" w:val="clear"/>
            <w:vAlign w:val="center"/>
          </w:tcPr>
          <w:p>
            <w:pPr>
              <w:pStyle w:val="TableContents"/>
              <w:bidi w:val="0"/>
              <w:spacing w:before="0" w:after="0"/>
              <w:ind w:left="0" w:right="0" w:hanging="0"/>
              <w:jc w:val="left"/>
              <w:rPr/>
            </w:pPr>
            <w:r>
              <w:rPr/>
              <w:t>​</w:t>
            </w:r>
          </w:p>
        </w:tc>
        <w:tc>
          <w:tcPr>
            <w:tcW w:w="106"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1131" w:type="dxa"/>
            <w:tcBorders/>
            <w:shd w:fill="FFFFFF" w:val="clear"/>
            <w:vAlign w:val="center"/>
          </w:tcPr>
          <w:p>
            <w:pPr>
              <w:pStyle w:val="TableContents"/>
              <w:bidi w:val="0"/>
              <w:spacing w:before="0" w:after="0"/>
              <w:ind w:left="0" w:right="0" w:hanging="0"/>
              <w:jc w:val="left"/>
              <w:rPr/>
            </w:pPr>
            <w:r>
              <w:rPr/>
              <w:t>​</w:t>
            </w:r>
          </w:p>
        </w:tc>
        <w:tc>
          <w:tcPr>
            <w:tcW w:w="88" w:type="dxa"/>
            <w:tcBorders/>
            <w:shd w:fill="FFFFFF" w:val="clear"/>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Salaries and benefits</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7,869</w:t>
            </w:r>
          </w:p>
        </w:tc>
        <w:tc>
          <w:tcPr>
            <w:tcW w:w="106"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1,986</w:t>
            </w:r>
          </w:p>
        </w:tc>
        <w:tc>
          <w:tcPr>
            <w:tcW w:w="106"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9,855</w:t>
            </w:r>
          </w:p>
        </w:tc>
        <w:tc>
          <w:tcPr>
            <w:tcW w:w="88" w:type="dxa"/>
            <w:tcBorders/>
            <w:shd w:fill="CCEEFF" w:val="clear"/>
            <w:vAlign w:val="center"/>
          </w:tcPr>
          <w:p>
            <w:pPr>
              <w:pStyle w:val="TableContents"/>
              <w:bidi w:val="0"/>
              <w:spacing w:before="0" w:after="0"/>
              <w:ind w:left="0" w:right="0" w:hanging="0"/>
              <w:jc w:val="left"/>
              <w:rPr/>
            </w:pPr>
            <w:r>
              <w:rPr/>
              <w:t>​</w:t>
            </w:r>
          </w:p>
        </w:tc>
      </w:tr>
      <w:tr>
        <w:trPr/>
        <w:tc>
          <w:tcPr>
            <w:tcW w:w="433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Overhead allocation</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left"/>
              <w:rPr/>
            </w:pPr>
            <w:r>
              <w:rPr/>
              <w:t>​</w:t>
            </w:r>
          </w:p>
        </w:tc>
        <w:tc>
          <w:tcPr>
            <w:tcW w:w="258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6,185</w:t>
            </w:r>
          </w:p>
        </w:tc>
        <w:tc>
          <w:tcPr>
            <w:tcW w:w="106"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6" w:type="dxa"/>
            <w:tcBorders/>
            <w:shd w:fill="FFFFFF" w:val="clear"/>
            <w:vAlign w:val="center"/>
          </w:tcPr>
          <w:p>
            <w:pPr>
              <w:pStyle w:val="TableContents"/>
              <w:bidi w:val="0"/>
              <w:spacing w:before="0" w:after="0"/>
              <w:ind w:left="0" w:right="0" w:hanging="0"/>
              <w:jc w:val="left"/>
              <w:rPr/>
            </w:pPr>
            <w:r>
              <w:rPr/>
              <w:t>​</w:t>
            </w:r>
          </w:p>
        </w:tc>
        <w:tc>
          <w:tcPr>
            <w:tcW w:w="104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1,829</w:t>
            </w:r>
          </w:p>
        </w:tc>
        <w:tc>
          <w:tcPr>
            <w:tcW w:w="106"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11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8,014</w:t>
            </w:r>
          </w:p>
        </w:tc>
        <w:tc>
          <w:tcPr>
            <w:tcW w:w="88" w:type="dxa"/>
            <w:tcBorders/>
            <w:shd w:fill="FFFFFF" w:val="clear"/>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segment items (1)</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6,260</w:t>
            </w:r>
          </w:p>
        </w:tc>
        <w:tc>
          <w:tcPr>
            <w:tcW w:w="1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1,373</w:t>
            </w:r>
          </w:p>
        </w:tc>
        <w:tc>
          <w:tcPr>
            <w:tcW w:w="1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7,633</w:t>
            </w:r>
          </w:p>
        </w:tc>
        <w:tc>
          <w:tcPr>
            <w:tcW w:w="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36"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noninterest expense by segment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8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20,314</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5,188</w:t>
            </w:r>
          </w:p>
        </w:tc>
        <w:tc>
          <w:tcPr>
            <w:tcW w:w="10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25,502</w:t>
            </w:r>
          </w:p>
        </w:tc>
        <w:tc>
          <w:tcPr>
            <w:tcW w:w="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left"/>
              <w:rPr/>
            </w:pPr>
            <w:r>
              <w:rPr/>
              <w:t>​</w:t>
            </w:r>
          </w:p>
        </w:tc>
        <w:tc>
          <w:tcPr>
            <w:tcW w:w="106"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left"/>
              <w:rPr/>
            </w:pPr>
            <w:r>
              <w:rPr/>
              <w:t>​</w:t>
            </w:r>
          </w:p>
        </w:tc>
        <w:tc>
          <w:tcPr>
            <w:tcW w:w="106"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left"/>
              <w:rPr/>
            </w:pPr>
            <w:r>
              <w:rPr/>
              <w:t>​</w:t>
            </w:r>
          </w:p>
        </w:tc>
        <w:tc>
          <w:tcPr>
            <w:tcW w:w="88" w:type="dxa"/>
            <w:tcBorders/>
            <w:shd w:fill="CCEEFF" w:val="clear"/>
            <w:vAlign w:val="center"/>
          </w:tcPr>
          <w:p>
            <w:pPr>
              <w:pStyle w:val="TableContents"/>
              <w:bidi w:val="0"/>
              <w:spacing w:before="0" w:after="0"/>
              <w:ind w:left="0" w:right="0" w:hanging="0"/>
              <w:jc w:val="left"/>
              <w:rPr/>
            </w:pPr>
            <w:r>
              <w:rPr/>
              <w:t>​</w:t>
            </w:r>
          </w:p>
        </w:tc>
      </w:tr>
      <w:tr>
        <w:trPr/>
        <w:tc>
          <w:tcPr>
            <w:tcW w:w="4336"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 before provision for income taxes by segment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left"/>
              <w:rPr/>
            </w:pPr>
            <w:r>
              <w:rPr/>
              <w:t>​</w:t>
            </w:r>
          </w:p>
        </w:tc>
        <w:tc>
          <w:tcPr>
            <w:tcW w:w="258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9,314</w:t>
            </w:r>
          </w:p>
        </w:tc>
        <w:tc>
          <w:tcPr>
            <w:tcW w:w="106"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6" w:type="dxa"/>
            <w:tcBorders/>
            <w:shd w:fill="FFFFFF" w:val="clear"/>
            <w:vAlign w:val="center"/>
          </w:tcPr>
          <w:p>
            <w:pPr>
              <w:pStyle w:val="TableContents"/>
              <w:bidi w:val="0"/>
              <w:spacing w:before="0" w:after="0"/>
              <w:ind w:left="0" w:right="0" w:hanging="0"/>
              <w:jc w:val="left"/>
              <w:rPr/>
            </w:pPr>
            <w:r>
              <w:rPr/>
              <w:t>​</w:t>
            </w:r>
          </w:p>
        </w:tc>
        <w:tc>
          <w:tcPr>
            <w:tcW w:w="104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445</w:t>
            </w:r>
          </w:p>
        </w:tc>
        <w:tc>
          <w:tcPr>
            <w:tcW w:w="106"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1131"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9,759</w:t>
            </w:r>
          </w:p>
        </w:tc>
        <w:tc>
          <w:tcPr>
            <w:tcW w:w="88" w:type="dxa"/>
            <w:tcBorders/>
            <w:shd w:fill="FFFFFF" w:val="clear"/>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 by segment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(1,938</w:t>
            </w:r>
          </w:p>
        </w:tc>
        <w:tc>
          <w:tcPr>
            <w:tcW w:w="1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w:t>
            </w:r>
          </w:p>
        </w:tc>
        <w:tc>
          <w:tcPr>
            <w:tcW w:w="1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(2,031</w:t>
            </w:r>
          </w:p>
        </w:tc>
        <w:tc>
          <w:tcPr>
            <w:tcW w:w="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336"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income by segment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8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7,376</w:t>
            </w:r>
          </w:p>
        </w:tc>
        <w:tc>
          <w:tcPr>
            <w:tcW w:w="10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352</w:t>
            </w:r>
          </w:p>
        </w:tc>
        <w:tc>
          <w:tcPr>
            <w:tcW w:w="10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3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7,728</w:t>
            </w:r>
          </w:p>
        </w:tc>
        <w:tc>
          <w:tcPr>
            <w:tcW w:w="8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left"/>
              <w:rPr/>
            </w:pPr>
            <w:r>
              <w:rPr/>
              <w:t>​</w:t>
            </w:r>
          </w:p>
        </w:tc>
        <w:tc>
          <w:tcPr>
            <w:tcW w:w="2581" w:type="dxa"/>
            <w:tcBorders/>
            <w:shd w:fill="CCEEFF" w:val="clear"/>
            <w:vAlign w:val="center"/>
          </w:tcPr>
          <w:p>
            <w:pPr>
              <w:pStyle w:val="TableContents"/>
              <w:bidi w:val="0"/>
              <w:spacing w:before="0" w:after="0"/>
              <w:ind w:left="0" w:right="0" w:hanging="0"/>
              <w:jc w:val="left"/>
              <w:rPr/>
            </w:pPr>
            <w:r>
              <w:rPr/>
              <w:t>​</w:t>
            </w:r>
          </w:p>
        </w:tc>
        <w:tc>
          <w:tcPr>
            <w:tcW w:w="106"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6" w:type="dxa"/>
            <w:tcBorders/>
            <w:shd w:fill="CCEEFF" w:val="clear"/>
            <w:vAlign w:val="center"/>
          </w:tcPr>
          <w:p>
            <w:pPr>
              <w:pStyle w:val="TableContents"/>
              <w:bidi w:val="0"/>
              <w:spacing w:before="0" w:after="0"/>
              <w:ind w:left="0" w:right="0" w:hanging="0"/>
              <w:jc w:val="left"/>
              <w:rPr/>
            </w:pPr>
            <w:r>
              <w:rPr/>
              <w:t>​</w:t>
            </w:r>
          </w:p>
        </w:tc>
        <w:tc>
          <w:tcPr>
            <w:tcW w:w="1044" w:type="dxa"/>
            <w:tcBorders/>
            <w:shd w:fill="CCEEFF" w:val="clear"/>
            <w:vAlign w:val="center"/>
          </w:tcPr>
          <w:p>
            <w:pPr>
              <w:pStyle w:val="TableContents"/>
              <w:bidi w:val="0"/>
              <w:spacing w:before="0" w:after="0"/>
              <w:ind w:left="0" w:right="0" w:hanging="0"/>
              <w:jc w:val="left"/>
              <w:rPr/>
            </w:pPr>
            <w:r>
              <w:rPr/>
              <w:t>​</w:t>
            </w:r>
          </w:p>
        </w:tc>
        <w:tc>
          <w:tcPr>
            <w:tcW w:w="106"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1131" w:type="dxa"/>
            <w:tcBorders/>
            <w:shd w:fill="CCEEFF" w:val="clear"/>
            <w:vAlign w:val="center"/>
          </w:tcPr>
          <w:p>
            <w:pPr>
              <w:pStyle w:val="TableContents"/>
              <w:bidi w:val="0"/>
              <w:spacing w:before="0" w:after="0"/>
              <w:ind w:left="0" w:right="0" w:hanging="0"/>
              <w:jc w:val="left"/>
              <w:rPr/>
            </w:pPr>
            <w:r>
              <w:rPr/>
              <w:t>​</w:t>
            </w:r>
          </w:p>
        </w:tc>
        <w:tc>
          <w:tcPr>
            <w:tcW w:w="88" w:type="dxa"/>
            <w:tcBorders/>
            <w:shd w:fill="CCEEFF" w:val="clear"/>
            <w:vAlign w:val="center"/>
          </w:tcPr>
          <w:p>
            <w:pPr>
              <w:pStyle w:val="TableContents"/>
              <w:bidi w:val="0"/>
              <w:spacing w:before="0" w:after="0"/>
              <w:ind w:left="0" w:right="0" w:hanging="0"/>
              <w:jc w:val="left"/>
              <w:rPr/>
            </w:pPr>
            <w:r>
              <w:rPr/>
              <w:t>​</w:t>
            </w:r>
          </w:p>
        </w:tc>
      </w:tr>
      <w:tr>
        <w:trPr/>
        <w:tc>
          <w:tcPr>
            <w:tcW w:w="4336"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segment disclosures:</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left"/>
              <w:rPr/>
            </w:pPr>
            <w:r>
              <w:rPr/>
              <w:t>​</w:t>
            </w:r>
          </w:p>
        </w:tc>
        <w:tc>
          <w:tcPr>
            <w:tcW w:w="2581" w:type="dxa"/>
            <w:tcBorders/>
            <w:shd w:fill="FFFFFF" w:val="clear"/>
            <w:vAlign w:val="center"/>
          </w:tcPr>
          <w:p>
            <w:pPr>
              <w:pStyle w:val="TableContents"/>
              <w:bidi w:val="0"/>
              <w:spacing w:before="0" w:after="0"/>
              <w:ind w:left="0" w:right="0" w:hanging="0"/>
              <w:jc w:val="left"/>
              <w:rPr/>
            </w:pPr>
            <w:r>
              <w:rPr/>
              <w:t>​</w:t>
            </w:r>
          </w:p>
        </w:tc>
        <w:tc>
          <w:tcPr>
            <w:tcW w:w="106"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6" w:type="dxa"/>
            <w:tcBorders/>
            <w:shd w:fill="FFFFFF" w:val="clear"/>
            <w:vAlign w:val="center"/>
          </w:tcPr>
          <w:p>
            <w:pPr>
              <w:pStyle w:val="TableContents"/>
              <w:bidi w:val="0"/>
              <w:spacing w:before="0" w:after="0"/>
              <w:ind w:left="0" w:right="0" w:hanging="0"/>
              <w:jc w:val="left"/>
              <w:rPr/>
            </w:pPr>
            <w:r>
              <w:rPr/>
              <w:t>​</w:t>
            </w:r>
          </w:p>
        </w:tc>
        <w:tc>
          <w:tcPr>
            <w:tcW w:w="1044" w:type="dxa"/>
            <w:tcBorders/>
            <w:shd w:fill="FFFFFF" w:val="clear"/>
            <w:vAlign w:val="center"/>
          </w:tcPr>
          <w:p>
            <w:pPr>
              <w:pStyle w:val="TableContents"/>
              <w:bidi w:val="0"/>
              <w:spacing w:before="0" w:after="0"/>
              <w:ind w:left="0" w:right="0" w:hanging="0"/>
              <w:jc w:val="left"/>
              <w:rPr/>
            </w:pPr>
            <w:r>
              <w:rPr/>
              <w:t>​</w:t>
            </w:r>
          </w:p>
        </w:tc>
        <w:tc>
          <w:tcPr>
            <w:tcW w:w="106"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1131" w:type="dxa"/>
            <w:tcBorders/>
            <w:shd w:fill="FFFFFF" w:val="clear"/>
            <w:vAlign w:val="center"/>
          </w:tcPr>
          <w:p>
            <w:pPr>
              <w:pStyle w:val="TableContents"/>
              <w:bidi w:val="0"/>
              <w:spacing w:before="0" w:after="0"/>
              <w:ind w:left="0" w:right="0" w:hanging="0"/>
              <w:jc w:val="left"/>
              <w:rPr/>
            </w:pPr>
            <w:r>
              <w:rPr/>
              <w:t>​</w:t>
            </w:r>
          </w:p>
        </w:tc>
        <w:tc>
          <w:tcPr>
            <w:tcW w:w="88" w:type="dxa"/>
            <w:tcBorders/>
            <w:shd w:fill="FFFFFF" w:val="clear"/>
            <w:vAlign w:val="center"/>
          </w:tcPr>
          <w:p>
            <w:pPr>
              <w:pStyle w:val="TableContents"/>
              <w:bidi w:val="0"/>
              <w:spacing w:before="0" w:after="0"/>
              <w:ind w:left="0" w:right="0" w:hanging="0"/>
              <w:jc w:val="left"/>
              <w:rPr/>
            </w:pPr>
            <w:r>
              <w:rPr/>
              <w:t>​</w:t>
            </w:r>
          </w:p>
        </w:tc>
      </w:tr>
      <w:tr>
        <w:trPr/>
        <w:tc>
          <w:tcPr>
            <w:tcW w:w="4336"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Segment assets</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2,494,452</w:t>
            </w:r>
          </w:p>
        </w:tc>
        <w:tc>
          <w:tcPr>
            <w:tcW w:w="1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681,561</w:t>
            </w:r>
          </w:p>
        </w:tc>
        <w:tc>
          <w:tcPr>
            <w:tcW w:w="10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3,176,013</w:t>
            </w:r>
          </w:p>
        </w:tc>
        <w:tc>
          <w:tcPr>
            <w:tcW w:w="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36"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FTEs</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8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452</w:t>
            </w:r>
          </w:p>
        </w:tc>
        <w:tc>
          <w:tcPr>
            <w:tcW w:w="10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4"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w:t>
            </w:r>
          </w:p>
        </w:tc>
        <w:tc>
          <w:tcPr>
            <w:tcW w:w="10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31"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567</w:t>
            </w:r>
          </w:p>
        </w:tc>
        <w:tc>
          <w:tcPr>
            <w:tcW w:w="8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jc w:val="left"/>
        <w:rPr/>
      </w:pPr>
      <w:r>
        <w:rPr/>
        <w:t xml:space="preserve">  </w:t>
      </w:r>
    </w:p>
    <w:tbl>
      <w:tblPr>
        <w:tblW w:w="10165" w:type="dxa"/>
        <w:jc w:val="left"/>
        <w:tblInd w:w="0" w:type="dxa"/>
        <w:tblLayout w:type="fixed"/>
        <w:tblCellMar>
          <w:top w:w="0" w:type="dxa"/>
          <w:left w:w="0" w:type="dxa"/>
          <w:bottom w:w="0" w:type="dxa"/>
          <w:right w:w="0" w:type="dxa"/>
        </w:tblCellMar>
      </w:tblPr>
      <w:tblGrid>
        <w:gridCol w:w="4355"/>
        <w:gridCol w:w="23"/>
        <w:gridCol w:w="382"/>
        <w:gridCol w:w="2592"/>
        <w:gridCol w:w="102"/>
        <w:gridCol w:w="29"/>
        <w:gridCol w:w="187"/>
        <w:gridCol w:w="1047"/>
        <w:gridCol w:w="102"/>
        <w:gridCol w:w="29"/>
        <w:gridCol w:w="159"/>
        <w:gridCol w:w="1078"/>
        <w:gridCol w:w="80"/>
      </w:tblGrid>
      <w:tr>
        <w:trPr/>
        <w:tc>
          <w:tcPr>
            <w:tcW w:w="435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570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 or For the Six Months Ended June 30, 2026</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355" w:type="dxa"/>
            <w:tcBorders/>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w:t>
            </w:r>
          </w:p>
        </w:tc>
        <w:tc>
          <w:tcPr>
            <w:tcW w:w="23" w:type="dxa"/>
            <w:tcBorders/>
            <w:vAlign w:val="center"/>
          </w:tcPr>
          <w:p>
            <w:pPr>
              <w:pStyle w:val="TableContents"/>
              <w:bidi w:val="0"/>
              <w:spacing w:before="0" w:after="0"/>
              <w:ind w:left="0" w:right="0" w:hanging="0"/>
              <w:jc w:val="left"/>
              <w:rPr/>
            </w:pPr>
            <w:r>
              <w:rPr/>
              <w:t>​</w:t>
            </w:r>
          </w:p>
        </w:tc>
        <w:tc>
          <w:tcPr>
            <w:tcW w:w="29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Commercial and Consumer Banking</w:t>
            </w:r>
          </w:p>
        </w:tc>
        <w:tc>
          <w:tcPr>
            <w:tcW w:w="1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9" w:type="dxa"/>
            <w:tcBorders/>
            <w:vAlign w:val="center"/>
          </w:tcPr>
          <w:p>
            <w:pPr>
              <w:pStyle w:val="TableContents"/>
              <w:bidi w:val="0"/>
              <w:spacing w:before="0" w:after="0"/>
              <w:ind w:left="0" w:right="0" w:hanging="0"/>
              <w:jc w:val="left"/>
              <w:rPr/>
            </w:pPr>
            <w:r>
              <w:rPr/>
              <w:t>​</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Home Lending</w:t>
            </w:r>
          </w:p>
        </w:tc>
        <w:tc>
          <w:tcPr>
            <w:tcW w:w="1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9" w:type="dxa"/>
            <w:tcBorders/>
            <w:vAlign w:val="center"/>
          </w:tcPr>
          <w:p>
            <w:pPr>
              <w:pStyle w:val="TableContents"/>
              <w:bidi w:val="0"/>
              <w:spacing w:before="0" w:after="0"/>
              <w:ind w:left="0" w:right="0" w:hanging="0"/>
              <w:jc w:val="left"/>
              <w:rPr/>
            </w:pPr>
            <w:r>
              <w:rPr/>
              <w:t>​</w:t>
            </w:r>
          </w:p>
        </w:tc>
        <w:tc>
          <w:tcPr>
            <w:tcW w:w="12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 - loans receivable, including fees</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9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73,950</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18,264</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92,214</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 - other interest earnings assets</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6,781</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6,781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interest income by segment</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59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80,731</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18,264</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98,995</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shd w:fill="FFFFFF" w:val="clear"/>
            <w:vAlign w:val="center"/>
          </w:tcPr>
          <w:p>
            <w:pPr>
              <w:pStyle w:val="TableContents"/>
              <w:bidi w:val="0"/>
              <w:spacing w:before="0" w:after="0"/>
              <w:ind w:left="0" w:right="0" w:hanging="0"/>
              <w:jc w:val="left"/>
              <w:rPr/>
            </w:pPr>
            <w:r>
              <w:rPr/>
              <w:t>​</w:t>
            </w:r>
          </w:p>
        </w:tc>
        <w:tc>
          <w:tcPr>
            <w:tcW w:w="2592"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shd w:fill="FFFFFF" w:val="clear"/>
            <w:vAlign w:val="center"/>
          </w:tcPr>
          <w:p>
            <w:pPr>
              <w:pStyle w:val="TableContents"/>
              <w:bidi w:val="0"/>
              <w:spacing w:before="0" w:after="0"/>
              <w:ind w:left="0" w:right="0" w:hanging="0"/>
              <w:jc w:val="left"/>
              <w:rPr/>
            </w:pPr>
            <w:r>
              <w:rPr/>
              <w:t>​</w:t>
            </w:r>
          </w:p>
        </w:tc>
        <w:tc>
          <w:tcPr>
            <w:tcW w:w="1047"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shd w:fill="FFFFFF" w:val="clear"/>
            <w:vAlign w:val="center"/>
          </w:tcPr>
          <w:p>
            <w:pPr>
              <w:pStyle w:val="TableContents"/>
              <w:bidi w:val="0"/>
              <w:spacing w:before="0" w:after="0"/>
              <w:ind w:left="0" w:right="0" w:hanging="0"/>
              <w:jc w:val="left"/>
              <w:rPr/>
            </w:pPr>
            <w:r>
              <w:rPr/>
              <w:t>​</w:t>
            </w:r>
          </w:p>
        </w:tc>
        <w:tc>
          <w:tcPr>
            <w:tcW w:w="1078"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Gain on sale of loans</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592" w:type="dxa"/>
            <w:tcBorders/>
            <w:shd w:fill="CCEEFF" w:val="clear"/>
            <w:vAlign w:val="center"/>
          </w:tcPr>
          <w:p>
            <w:pPr>
              <w:pStyle w:val="TableContents"/>
              <w:bidi w:val="0"/>
              <w:spacing w:before="0" w:after="0"/>
              <w:ind w:left="0" w:right="0" w:hanging="0"/>
              <w:jc w:val="right"/>
              <w:rPr/>
            </w:pPr>
            <w:r>
              <w:rPr/>
              <w:t>—</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4,965</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4,965</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income</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shd w:fill="FFFFFF" w:val="clear"/>
            <w:vAlign w:val="center"/>
          </w:tcPr>
          <w:p>
            <w:pPr>
              <w:pStyle w:val="TableContents"/>
              <w:bidi w:val="0"/>
              <w:spacing w:before="0" w:after="0"/>
              <w:ind w:left="0" w:right="0" w:hanging="0"/>
              <w:jc w:val="left"/>
              <w:rPr/>
            </w:pPr>
            <w:r>
              <w:rPr/>
              <w:t>​</w:t>
            </w:r>
          </w:p>
        </w:tc>
        <w:tc>
          <w:tcPr>
            <w:tcW w:w="259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5,837</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shd w:fill="FFFFFF" w:val="clear"/>
            <w:vAlign w:val="center"/>
          </w:tcPr>
          <w:p>
            <w:pPr>
              <w:pStyle w:val="TableContents"/>
              <w:bidi w:val="0"/>
              <w:spacing w:before="0" w:after="0"/>
              <w:ind w:left="0" w:right="0" w:hanging="0"/>
              <w:jc w:val="left"/>
              <w:rPr/>
            </w:pPr>
            <w:r>
              <w:rPr/>
              <w:t>​</w:t>
            </w:r>
          </w:p>
        </w:tc>
        <w:tc>
          <w:tcPr>
            <w:tcW w:w="104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749</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shd w:fill="FFFFFF" w:val="clear"/>
            <w:vAlign w:val="center"/>
          </w:tcPr>
          <w:p>
            <w:pPr>
              <w:pStyle w:val="TableContents"/>
              <w:bidi w:val="0"/>
              <w:spacing w:before="0" w:after="0"/>
              <w:ind w:left="0" w:right="0" w:hanging="0"/>
              <w:jc w:val="left"/>
              <w:rPr/>
            </w:pPr>
            <w:r>
              <w:rPr/>
              <w:t>​</w:t>
            </w:r>
          </w:p>
        </w:tc>
        <w:tc>
          <w:tcPr>
            <w:tcW w:w="10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6,586</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Intersegment income</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(633</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633</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noninterest income by segment</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5,204</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6,347</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11,551</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income by segment</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85,935</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24,611</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110,546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592" w:type="dxa"/>
            <w:tcBorders/>
            <w:shd w:fill="CCEEFF" w:val="clear"/>
            <w:vAlign w:val="center"/>
          </w:tcPr>
          <w:p>
            <w:pPr>
              <w:pStyle w:val="TableContents"/>
              <w:bidi w:val="0"/>
              <w:spacing w:before="0" w:after="0"/>
              <w:ind w:left="0" w:right="0" w:hanging="0"/>
              <w:jc w:val="left"/>
              <w:rPr/>
            </w:pPr>
            <w:r>
              <w:rPr/>
              <w:t>​</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left"/>
              <w:rPr/>
            </w:pPr>
            <w:r>
              <w:rPr/>
              <w:t>​</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Expense:</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shd w:fill="FFFFFF" w:val="clear"/>
            <w:vAlign w:val="center"/>
          </w:tcPr>
          <w:p>
            <w:pPr>
              <w:pStyle w:val="TableContents"/>
              <w:bidi w:val="0"/>
              <w:spacing w:before="0" w:after="0"/>
              <w:ind w:left="0" w:right="0" w:hanging="0"/>
              <w:jc w:val="left"/>
              <w:rPr/>
            </w:pPr>
            <w:r>
              <w:rPr/>
              <w:t>​</w:t>
            </w:r>
          </w:p>
        </w:tc>
        <w:tc>
          <w:tcPr>
            <w:tcW w:w="2592"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shd w:fill="FFFFFF" w:val="clear"/>
            <w:vAlign w:val="center"/>
          </w:tcPr>
          <w:p>
            <w:pPr>
              <w:pStyle w:val="TableContents"/>
              <w:bidi w:val="0"/>
              <w:spacing w:before="0" w:after="0"/>
              <w:ind w:left="0" w:right="0" w:hanging="0"/>
              <w:jc w:val="left"/>
              <w:rPr/>
            </w:pPr>
            <w:r>
              <w:rPr/>
              <w:t>​</w:t>
            </w:r>
          </w:p>
        </w:tc>
        <w:tc>
          <w:tcPr>
            <w:tcW w:w="1047"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shd w:fill="FFFFFF" w:val="clear"/>
            <w:vAlign w:val="center"/>
          </w:tcPr>
          <w:p>
            <w:pPr>
              <w:pStyle w:val="TableContents"/>
              <w:bidi w:val="0"/>
              <w:spacing w:before="0" w:after="0"/>
              <w:ind w:left="0" w:right="0" w:hanging="0"/>
              <w:jc w:val="left"/>
              <w:rPr/>
            </w:pPr>
            <w:r>
              <w:rPr/>
              <w:t>​</w:t>
            </w:r>
          </w:p>
        </w:tc>
        <w:tc>
          <w:tcPr>
            <w:tcW w:w="1078"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 deposits</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59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28,616</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28,621</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 borrowings</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shd w:fill="FFFFFF" w:val="clear"/>
            <w:vAlign w:val="center"/>
          </w:tcPr>
          <w:p>
            <w:pPr>
              <w:pStyle w:val="TableContents"/>
              <w:bidi w:val="0"/>
              <w:spacing w:before="0" w:after="0"/>
              <w:ind w:left="0" w:right="0" w:hanging="0"/>
              <w:jc w:val="left"/>
              <w:rPr/>
            </w:pPr>
            <w:r>
              <w:rPr/>
              <w:t>​</w:t>
            </w:r>
          </w:p>
        </w:tc>
        <w:tc>
          <w:tcPr>
            <w:tcW w:w="259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3,581</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shd w:fill="FFFFFF" w:val="clear"/>
            <w:vAlign w:val="center"/>
          </w:tcPr>
          <w:p>
            <w:pPr>
              <w:pStyle w:val="TableContents"/>
              <w:bidi w:val="0"/>
              <w:spacing w:before="0" w:after="0"/>
              <w:ind w:left="0" w:right="0" w:hanging="0"/>
              <w:jc w:val="left"/>
              <w:rPr/>
            </w:pPr>
            <w:r>
              <w:rPr/>
              <w:t>​</w:t>
            </w:r>
          </w:p>
        </w:tc>
        <w:tc>
          <w:tcPr>
            <w:tcW w:w="1047" w:type="dxa"/>
            <w:tcBorders/>
            <w:shd w:fill="FFFFFF" w:val="clear"/>
            <w:vAlign w:val="center"/>
          </w:tcPr>
          <w:p>
            <w:pPr>
              <w:pStyle w:val="TableContents"/>
              <w:bidi w:val="0"/>
              <w:spacing w:before="0" w:after="0"/>
              <w:ind w:left="0" w:right="0" w:hanging="0"/>
              <w:jc w:val="righ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shd w:fill="FFFFFF" w:val="clear"/>
            <w:vAlign w:val="center"/>
          </w:tcPr>
          <w:p>
            <w:pPr>
              <w:pStyle w:val="TableContents"/>
              <w:bidi w:val="0"/>
              <w:spacing w:before="0" w:after="0"/>
              <w:ind w:left="0" w:right="0" w:hanging="0"/>
              <w:jc w:val="left"/>
              <w:rPr/>
            </w:pPr>
            <w:r>
              <w:rPr/>
              <w:t>​</w:t>
            </w:r>
          </w:p>
        </w:tc>
        <w:tc>
          <w:tcPr>
            <w:tcW w:w="10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3,581</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 subordinated note</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59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1,267</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1,600</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 intersegment</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(11,947</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11,947</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interest expense by segment</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21,517</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12,285</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33,802</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shd w:fill="FFFFFF" w:val="clear"/>
            <w:vAlign w:val="center"/>
          </w:tcPr>
          <w:p>
            <w:pPr>
              <w:pStyle w:val="TableContents"/>
              <w:bidi w:val="0"/>
              <w:spacing w:before="0" w:after="0"/>
              <w:ind w:left="0" w:right="0" w:hanging="0"/>
              <w:jc w:val="left"/>
              <w:rPr/>
            </w:pPr>
            <w:r>
              <w:rPr/>
              <w:t>​</w:t>
            </w:r>
          </w:p>
        </w:tc>
        <w:tc>
          <w:tcPr>
            <w:tcW w:w="2592"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shd w:fill="FFFFFF" w:val="clear"/>
            <w:vAlign w:val="center"/>
          </w:tcPr>
          <w:p>
            <w:pPr>
              <w:pStyle w:val="TableContents"/>
              <w:bidi w:val="0"/>
              <w:spacing w:before="0" w:after="0"/>
              <w:ind w:left="0" w:right="0" w:hanging="0"/>
              <w:jc w:val="left"/>
              <w:rPr/>
            </w:pPr>
            <w:r>
              <w:rPr/>
              <w:t>​</w:t>
            </w:r>
          </w:p>
        </w:tc>
        <w:tc>
          <w:tcPr>
            <w:tcW w:w="1047"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shd w:fill="FFFFFF" w:val="clear"/>
            <w:vAlign w:val="center"/>
          </w:tcPr>
          <w:p>
            <w:pPr>
              <w:pStyle w:val="TableContents"/>
              <w:bidi w:val="0"/>
              <w:spacing w:before="0" w:after="0"/>
              <w:ind w:left="0" w:right="0" w:hanging="0"/>
              <w:jc w:val="left"/>
              <w:rPr/>
            </w:pPr>
            <w:r>
              <w:rPr/>
              <w:t>​</w:t>
            </w:r>
          </w:p>
        </w:tc>
        <w:tc>
          <w:tcPr>
            <w:tcW w:w="1078"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credit losses by segment</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59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4,842</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328</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5,170</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shd w:fill="FFFFFF" w:val="clear"/>
            <w:vAlign w:val="center"/>
          </w:tcPr>
          <w:p>
            <w:pPr>
              <w:pStyle w:val="TableContents"/>
              <w:bidi w:val="0"/>
              <w:spacing w:before="0" w:after="0"/>
              <w:ind w:left="0" w:right="0" w:hanging="0"/>
              <w:jc w:val="left"/>
              <w:rPr/>
            </w:pPr>
            <w:r>
              <w:rPr/>
              <w:t>​</w:t>
            </w:r>
          </w:p>
        </w:tc>
        <w:tc>
          <w:tcPr>
            <w:tcW w:w="2592"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shd w:fill="FFFFFF" w:val="clear"/>
            <w:vAlign w:val="center"/>
          </w:tcPr>
          <w:p>
            <w:pPr>
              <w:pStyle w:val="TableContents"/>
              <w:bidi w:val="0"/>
              <w:spacing w:before="0" w:after="0"/>
              <w:ind w:left="0" w:right="0" w:hanging="0"/>
              <w:jc w:val="left"/>
              <w:rPr/>
            </w:pPr>
            <w:r>
              <w:rPr/>
              <w:t>​</w:t>
            </w:r>
          </w:p>
        </w:tc>
        <w:tc>
          <w:tcPr>
            <w:tcW w:w="1047"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shd w:fill="FFFFFF" w:val="clear"/>
            <w:vAlign w:val="center"/>
          </w:tcPr>
          <w:p>
            <w:pPr>
              <w:pStyle w:val="TableContents"/>
              <w:bidi w:val="0"/>
              <w:spacing w:before="0" w:after="0"/>
              <w:ind w:left="0" w:right="0" w:hanging="0"/>
              <w:jc w:val="left"/>
              <w:rPr/>
            </w:pPr>
            <w:r>
              <w:rPr/>
              <w:t>​</w:t>
            </w:r>
          </w:p>
        </w:tc>
        <w:tc>
          <w:tcPr>
            <w:tcW w:w="1078"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Salaries and benefits</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59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17,219</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4,449</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21,668</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Overhead allocation</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shd w:fill="FFFFFF" w:val="clear"/>
            <w:vAlign w:val="center"/>
          </w:tcPr>
          <w:p>
            <w:pPr>
              <w:pStyle w:val="TableContents"/>
              <w:bidi w:val="0"/>
              <w:spacing w:before="0" w:after="0"/>
              <w:ind w:left="0" w:right="0" w:hanging="0"/>
              <w:jc w:val="left"/>
              <w:rPr/>
            </w:pPr>
            <w:r>
              <w:rPr/>
              <w:t>​</w:t>
            </w:r>
          </w:p>
        </w:tc>
        <w:tc>
          <w:tcPr>
            <w:tcW w:w="259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11,622</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shd w:fill="FFFFFF" w:val="clear"/>
            <w:vAlign w:val="center"/>
          </w:tcPr>
          <w:p>
            <w:pPr>
              <w:pStyle w:val="TableContents"/>
              <w:bidi w:val="0"/>
              <w:spacing w:before="0" w:after="0"/>
              <w:ind w:left="0" w:right="0" w:hanging="0"/>
              <w:jc w:val="left"/>
              <w:rPr/>
            </w:pPr>
            <w:r>
              <w:rPr/>
              <w:t>​</w:t>
            </w:r>
          </w:p>
        </w:tc>
        <w:tc>
          <w:tcPr>
            <w:tcW w:w="104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3,623</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shd w:fill="FFFFFF" w:val="clear"/>
            <w:vAlign w:val="center"/>
          </w:tcPr>
          <w:p>
            <w:pPr>
              <w:pStyle w:val="TableContents"/>
              <w:bidi w:val="0"/>
              <w:spacing w:before="0" w:after="0"/>
              <w:ind w:left="0" w:right="0" w:hanging="0"/>
              <w:jc w:val="left"/>
              <w:rPr/>
            </w:pPr>
            <w:r>
              <w:rPr/>
              <w:t>​</w:t>
            </w:r>
          </w:p>
        </w:tc>
        <w:tc>
          <w:tcPr>
            <w:tcW w:w="10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15,245</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segment items (1)</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13,434</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1,277</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14,711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noninterest expense by segment</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42,275</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9,349</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51,624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592" w:type="dxa"/>
            <w:tcBorders/>
            <w:shd w:fill="CCEEFF" w:val="clear"/>
            <w:vAlign w:val="center"/>
          </w:tcPr>
          <w:p>
            <w:pPr>
              <w:pStyle w:val="TableContents"/>
              <w:bidi w:val="0"/>
              <w:spacing w:before="0" w:after="0"/>
              <w:ind w:left="0" w:right="0" w:hanging="0"/>
              <w:jc w:val="left"/>
              <w:rPr/>
            </w:pPr>
            <w:r>
              <w:rPr/>
              <w:t>​</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left"/>
              <w:rPr/>
            </w:pPr>
            <w:r>
              <w:rPr/>
              <w:t>​</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 before provision for income taxes by segment</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shd w:fill="FFFFFF" w:val="clear"/>
            <w:vAlign w:val="center"/>
          </w:tcPr>
          <w:p>
            <w:pPr>
              <w:pStyle w:val="TableContents"/>
              <w:bidi w:val="0"/>
              <w:spacing w:before="0" w:after="0"/>
              <w:ind w:left="0" w:right="0" w:hanging="0"/>
              <w:jc w:val="left"/>
              <w:rPr/>
            </w:pPr>
            <w:r>
              <w:rPr/>
              <w:t>​</w:t>
            </w:r>
          </w:p>
        </w:tc>
        <w:tc>
          <w:tcPr>
            <w:tcW w:w="259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17,301</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shd w:fill="FFFFFF" w:val="clear"/>
            <w:vAlign w:val="center"/>
          </w:tcPr>
          <w:p>
            <w:pPr>
              <w:pStyle w:val="TableContents"/>
              <w:bidi w:val="0"/>
              <w:spacing w:before="0" w:after="0"/>
              <w:ind w:left="0" w:right="0" w:hanging="0"/>
              <w:jc w:val="left"/>
              <w:rPr/>
            </w:pPr>
            <w:r>
              <w:rPr/>
              <w:t>​</w:t>
            </w:r>
          </w:p>
        </w:tc>
        <w:tc>
          <w:tcPr>
            <w:tcW w:w="104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2,649</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shd w:fill="FFFFFF" w:val="clear"/>
            <w:vAlign w:val="center"/>
          </w:tcPr>
          <w:p>
            <w:pPr>
              <w:pStyle w:val="TableContents"/>
              <w:bidi w:val="0"/>
              <w:spacing w:before="0" w:after="0"/>
              <w:ind w:left="0" w:right="0" w:hanging="0"/>
              <w:jc w:val="left"/>
              <w:rPr/>
            </w:pPr>
            <w:r>
              <w:rPr/>
              <w:t>​</w:t>
            </w:r>
          </w:p>
        </w:tc>
        <w:tc>
          <w:tcPr>
            <w:tcW w:w="10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19,950</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 by segment</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(3,762</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(422</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(4,184</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35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income by segment</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9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13,539</w:t>
            </w:r>
          </w:p>
        </w:tc>
        <w:tc>
          <w:tcPr>
            <w:tcW w:w="10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2,227</w:t>
            </w:r>
          </w:p>
        </w:tc>
        <w:tc>
          <w:tcPr>
            <w:tcW w:w="10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15,766</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592" w:type="dxa"/>
            <w:tcBorders/>
            <w:shd w:fill="CCEEFF" w:val="clear"/>
            <w:vAlign w:val="center"/>
          </w:tcPr>
          <w:p>
            <w:pPr>
              <w:pStyle w:val="TableContents"/>
              <w:bidi w:val="0"/>
              <w:spacing w:before="0" w:after="0"/>
              <w:ind w:left="0" w:right="0" w:hanging="0"/>
              <w:jc w:val="left"/>
              <w:rPr/>
            </w:pPr>
            <w:r>
              <w:rPr/>
              <w:t>​</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left"/>
              <w:rPr/>
            </w:pPr>
            <w:r>
              <w:rPr/>
              <w:t>​</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segment disclosures:</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shd w:fill="FFFFFF" w:val="clear"/>
            <w:vAlign w:val="center"/>
          </w:tcPr>
          <w:p>
            <w:pPr>
              <w:pStyle w:val="TableContents"/>
              <w:bidi w:val="0"/>
              <w:spacing w:before="0" w:after="0"/>
              <w:ind w:left="0" w:right="0" w:hanging="0"/>
              <w:jc w:val="left"/>
              <w:rPr/>
            </w:pPr>
            <w:r>
              <w:rPr/>
              <w:t>​</w:t>
            </w:r>
          </w:p>
        </w:tc>
        <w:tc>
          <w:tcPr>
            <w:tcW w:w="2592"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shd w:fill="FFFFFF" w:val="clear"/>
            <w:vAlign w:val="center"/>
          </w:tcPr>
          <w:p>
            <w:pPr>
              <w:pStyle w:val="TableContents"/>
              <w:bidi w:val="0"/>
              <w:spacing w:before="0" w:after="0"/>
              <w:ind w:left="0" w:right="0" w:hanging="0"/>
              <w:jc w:val="left"/>
              <w:rPr/>
            </w:pPr>
            <w:r>
              <w:rPr/>
              <w:t>​</w:t>
            </w:r>
          </w:p>
        </w:tc>
        <w:tc>
          <w:tcPr>
            <w:tcW w:w="1047"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shd w:fill="FFFFFF" w:val="clear"/>
            <w:vAlign w:val="center"/>
          </w:tcPr>
          <w:p>
            <w:pPr>
              <w:pStyle w:val="TableContents"/>
              <w:bidi w:val="0"/>
              <w:spacing w:before="0" w:after="0"/>
              <w:ind w:left="0" w:right="0" w:hanging="0"/>
              <w:jc w:val="left"/>
              <w:rPr/>
            </w:pPr>
            <w:r>
              <w:rPr/>
              <w:t>​</w:t>
            </w:r>
          </w:p>
        </w:tc>
        <w:tc>
          <w:tcPr>
            <w:tcW w:w="1078"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Segment assets</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2,492,962</w:t>
            </w:r>
          </w:p>
        </w:tc>
        <w:tc>
          <w:tcPr>
            <w:tcW w:w="1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686,118</w:t>
            </w:r>
          </w:p>
        </w:tc>
        <w:tc>
          <w:tcPr>
            <w:tcW w:w="1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3,179,080</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FTEs</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9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476</w:t>
            </w:r>
          </w:p>
        </w:tc>
        <w:tc>
          <w:tcPr>
            <w:tcW w:w="10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117</w:t>
            </w:r>
          </w:p>
        </w:tc>
        <w:tc>
          <w:tcPr>
            <w:tcW w:w="10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7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593</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jc w:val="left"/>
        <w:rPr/>
      </w:pPr>
      <w:r>
        <w:rPr/>
        <w:t xml:space="preserve">  </w:t>
      </w:r>
    </w:p>
    <w:tbl>
      <w:tblPr>
        <w:tblW w:w="10165" w:type="dxa"/>
        <w:jc w:val="left"/>
        <w:tblInd w:w="0" w:type="dxa"/>
        <w:tblLayout w:type="fixed"/>
        <w:tblCellMar>
          <w:top w:w="0" w:type="dxa"/>
          <w:left w:w="0" w:type="dxa"/>
          <w:bottom w:w="0" w:type="dxa"/>
          <w:right w:w="0" w:type="dxa"/>
        </w:tblCellMar>
      </w:tblPr>
      <w:tblGrid>
        <w:gridCol w:w="4355"/>
        <w:gridCol w:w="23"/>
        <w:gridCol w:w="382"/>
        <w:gridCol w:w="2592"/>
        <w:gridCol w:w="102"/>
        <w:gridCol w:w="29"/>
        <w:gridCol w:w="187"/>
        <w:gridCol w:w="1047"/>
        <w:gridCol w:w="102"/>
        <w:gridCol w:w="29"/>
        <w:gridCol w:w="159"/>
        <w:gridCol w:w="1078"/>
        <w:gridCol w:w="80"/>
      </w:tblGrid>
      <w:tr>
        <w:trPr/>
        <w:tc>
          <w:tcPr>
            <w:tcW w:w="435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570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At or For the Six Months Ended June 30, 2025</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355" w:type="dxa"/>
            <w:tcBorders/>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w:t>
            </w:r>
          </w:p>
        </w:tc>
        <w:tc>
          <w:tcPr>
            <w:tcW w:w="23" w:type="dxa"/>
            <w:tcBorders/>
            <w:vAlign w:val="center"/>
          </w:tcPr>
          <w:p>
            <w:pPr>
              <w:pStyle w:val="TableContents"/>
              <w:bidi w:val="0"/>
              <w:spacing w:before="0" w:after="0"/>
              <w:ind w:left="0" w:right="0" w:hanging="0"/>
              <w:jc w:val="left"/>
              <w:rPr/>
            </w:pPr>
            <w:r>
              <w:rPr/>
              <w:t>​</w:t>
            </w:r>
          </w:p>
        </w:tc>
        <w:tc>
          <w:tcPr>
            <w:tcW w:w="29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Commercial and Consumer Banking</w:t>
            </w:r>
          </w:p>
        </w:tc>
        <w:tc>
          <w:tcPr>
            <w:tcW w:w="1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9" w:type="dxa"/>
            <w:tcBorders/>
            <w:vAlign w:val="center"/>
          </w:tcPr>
          <w:p>
            <w:pPr>
              <w:pStyle w:val="TableContents"/>
              <w:bidi w:val="0"/>
              <w:spacing w:before="0" w:after="0"/>
              <w:ind w:left="0" w:right="0" w:hanging="0"/>
              <w:jc w:val="left"/>
              <w:rPr/>
            </w:pPr>
            <w:r>
              <w:rPr/>
              <w:t>​</w:t>
            </w:r>
          </w:p>
        </w:tc>
        <w:tc>
          <w:tcPr>
            <w:tcW w:w="12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Home Lending</w:t>
            </w:r>
          </w:p>
        </w:tc>
        <w:tc>
          <w:tcPr>
            <w:tcW w:w="10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9" w:type="dxa"/>
            <w:tcBorders/>
            <w:vAlign w:val="center"/>
          </w:tcPr>
          <w:p>
            <w:pPr>
              <w:pStyle w:val="TableContents"/>
              <w:bidi w:val="0"/>
              <w:spacing w:before="0" w:after="0"/>
              <w:ind w:left="0" w:right="0" w:hanging="0"/>
              <w:jc w:val="left"/>
              <w:rPr/>
            </w:pPr>
            <w:r>
              <w:rPr/>
              <w:t>​</w:t>
            </w:r>
          </w:p>
        </w:tc>
        <w:tc>
          <w:tcPr>
            <w:tcW w:w="12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 - loans receivable, including fees</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9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71,011</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17,329</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88,340</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income - other interest earnings assets</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7,150</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7,150</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interest income by segment</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78,161</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17,329</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95,490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shd w:fill="FFFFFF" w:val="clear"/>
            <w:vAlign w:val="center"/>
          </w:tcPr>
          <w:p>
            <w:pPr>
              <w:pStyle w:val="TableContents"/>
              <w:bidi w:val="0"/>
              <w:spacing w:before="0" w:after="0"/>
              <w:ind w:left="0" w:right="0" w:hanging="0"/>
              <w:jc w:val="left"/>
              <w:rPr/>
            </w:pPr>
            <w:r>
              <w:rPr/>
              <w:t>​</w:t>
            </w:r>
          </w:p>
        </w:tc>
        <w:tc>
          <w:tcPr>
            <w:tcW w:w="2592"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shd w:fill="FFFFFF" w:val="clear"/>
            <w:vAlign w:val="center"/>
          </w:tcPr>
          <w:p>
            <w:pPr>
              <w:pStyle w:val="TableContents"/>
              <w:bidi w:val="0"/>
              <w:spacing w:before="0" w:after="0"/>
              <w:ind w:left="0" w:right="0" w:hanging="0"/>
              <w:jc w:val="left"/>
              <w:rPr/>
            </w:pPr>
            <w:r>
              <w:rPr/>
              <w:t>​</w:t>
            </w:r>
          </w:p>
        </w:tc>
        <w:tc>
          <w:tcPr>
            <w:tcW w:w="1047"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shd w:fill="FFFFFF" w:val="clear"/>
            <w:vAlign w:val="center"/>
          </w:tcPr>
          <w:p>
            <w:pPr>
              <w:pStyle w:val="TableContents"/>
              <w:bidi w:val="0"/>
              <w:spacing w:before="0" w:after="0"/>
              <w:ind w:left="0" w:right="0" w:hanging="0"/>
              <w:jc w:val="left"/>
              <w:rPr/>
            </w:pPr>
            <w:r>
              <w:rPr/>
              <w:t>​</w:t>
            </w:r>
          </w:p>
        </w:tc>
        <w:tc>
          <w:tcPr>
            <w:tcW w:w="1078"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Gain on sale of loans</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592" w:type="dxa"/>
            <w:tcBorders/>
            <w:shd w:fill="CCEEFF" w:val="clear"/>
            <w:vAlign w:val="center"/>
          </w:tcPr>
          <w:p>
            <w:pPr>
              <w:pStyle w:val="TableContents"/>
              <w:bidi w:val="0"/>
              <w:spacing w:before="0" w:after="0"/>
              <w:ind w:left="0" w:right="0" w:hanging="0"/>
              <w:jc w:val="right"/>
              <w:rPr/>
            </w:pPr>
            <w:r>
              <w:rPr/>
              <w:t>—</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3,672</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3,672</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income</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shd w:fill="FFFFFF" w:val="clear"/>
            <w:vAlign w:val="center"/>
          </w:tcPr>
          <w:p>
            <w:pPr>
              <w:pStyle w:val="TableContents"/>
              <w:bidi w:val="0"/>
              <w:spacing w:before="0" w:after="0"/>
              <w:ind w:left="0" w:right="0" w:hanging="0"/>
              <w:jc w:val="left"/>
              <w:rPr/>
            </w:pPr>
            <w:r>
              <w:rPr/>
              <w:t>​</w:t>
            </w:r>
          </w:p>
        </w:tc>
        <w:tc>
          <w:tcPr>
            <w:tcW w:w="259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5,195</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shd w:fill="FFFFFF" w:val="clear"/>
            <w:vAlign w:val="center"/>
          </w:tcPr>
          <w:p>
            <w:pPr>
              <w:pStyle w:val="TableContents"/>
              <w:bidi w:val="0"/>
              <w:spacing w:before="0" w:after="0"/>
              <w:ind w:left="0" w:right="0" w:hanging="0"/>
              <w:jc w:val="left"/>
              <w:rPr/>
            </w:pPr>
            <w:r>
              <w:rPr/>
              <w:t>​</w:t>
            </w:r>
          </w:p>
        </w:tc>
        <w:tc>
          <w:tcPr>
            <w:tcW w:w="104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1,429</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shd w:fill="FFFFFF" w:val="clear"/>
            <w:vAlign w:val="center"/>
          </w:tcPr>
          <w:p>
            <w:pPr>
              <w:pStyle w:val="TableContents"/>
              <w:bidi w:val="0"/>
              <w:spacing w:before="0" w:after="0"/>
              <w:ind w:left="0" w:right="0" w:hanging="0"/>
              <w:jc w:val="left"/>
              <w:rPr/>
            </w:pPr>
            <w:r>
              <w:rPr/>
              <w:t>​</w:t>
            </w:r>
          </w:p>
        </w:tc>
        <w:tc>
          <w:tcPr>
            <w:tcW w:w="10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6,624</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Intersegment income</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(652</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652</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 noninterest income by segment</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4,543</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5,753</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10,296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income by segment</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82,704</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23,082</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105,786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592" w:type="dxa"/>
            <w:tcBorders/>
            <w:shd w:fill="CCEEFF" w:val="clear"/>
            <w:vAlign w:val="center"/>
          </w:tcPr>
          <w:p>
            <w:pPr>
              <w:pStyle w:val="TableContents"/>
              <w:bidi w:val="0"/>
              <w:spacing w:before="0" w:after="0"/>
              <w:ind w:left="0" w:right="0" w:hanging="0"/>
              <w:jc w:val="left"/>
              <w:rPr/>
            </w:pPr>
            <w:r>
              <w:rPr/>
              <w:t>​</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left"/>
              <w:rPr/>
            </w:pPr>
            <w:r>
              <w:rPr/>
              <w:t>​</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Expense:</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shd w:fill="FFFFFF" w:val="clear"/>
            <w:vAlign w:val="center"/>
          </w:tcPr>
          <w:p>
            <w:pPr>
              <w:pStyle w:val="TableContents"/>
              <w:bidi w:val="0"/>
              <w:spacing w:before="0" w:after="0"/>
              <w:ind w:left="0" w:right="0" w:hanging="0"/>
              <w:jc w:val="left"/>
              <w:rPr/>
            </w:pPr>
            <w:r>
              <w:rPr/>
              <w:t>​</w:t>
            </w:r>
          </w:p>
        </w:tc>
        <w:tc>
          <w:tcPr>
            <w:tcW w:w="2592"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shd w:fill="FFFFFF" w:val="clear"/>
            <w:vAlign w:val="center"/>
          </w:tcPr>
          <w:p>
            <w:pPr>
              <w:pStyle w:val="TableContents"/>
              <w:bidi w:val="0"/>
              <w:spacing w:before="0" w:after="0"/>
              <w:ind w:left="0" w:right="0" w:hanging="0"/>
              <w:jc w:val="left"/>
              <w:rPr/>
            </w:pPr>
            <w:r>
              <w:rPr/>
              <w:t>​</w:t>
            </w:r>
          </w:p>
        </w:tc>
        <w:tc>
          <w:tcPr>
            <w:tcW w:w="1047"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shd w:fill="FFFFFF" w:val="clear"/>
            <w:vAlign w:val="center"/>
          </w:tcPr>
          <w:p>
            <w:pPr>
              <w:pStyle w:val="TableContents"/>
              <w:bidi w:val="0"/>
              <w:spacing w:before="0" w:after="0"/>
              <w:ind w:left="0" w:right="0" w:hanging="0"/>
              <w:jc w:val="left"/>
              <w:rPr/>
            </w:pPr>
            <w:r>
              <w:rPr/>
              <w:t>​</w:t>
            </w:r>
          </w:p>
        </w:tc>
        <w:tc>
          <w:tcPr>
            <w:tcW w:w="1078"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 deposits</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59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27,574</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27,578</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 borrowings</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shd w:fill="FFFFFF" w:val="clear"/>
            <w:vAlign w:val="center"/>
          </w:tcPr>
          <w:p>
            <w:pPr>
              <w:pStyle w:val="TableContents"/>
              <w:bidi w:val="0"/>
              <w:spacing w:before="0" w:after="0"/>
              <w:ind w:left="0" w:right="0" w:hanging="0"/>
              <w:jc w:val="left"/>
              <w:rPr/>
            </w:pPr>
            <w:r>
              <w:rPr/>
              <w:t>​</w:t>
            </w:r>
          </w:p>
        </w:tc>
        <w:tc>
          <w:tcPr>
            <w:tcW w:w="259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3,848</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shd w:fill="FFFFFF" w:val="clear"/>
            <w:vAlign w:val="center"/>
          </w:tcPr>
          <w:p>
            <w:pPr>
              <w:pStyle w:val="TableContents"/>
              <w:bidi w:val="0"/>
              <w:spacing w:before="0" w:after="0"/>
              <w:ind w:left="0" w:right="0" w:hanging="0"/>
              <w:jc w:val="left"/>
              <w:rPr/>
            </w:pPr>
            <w:r>
              <w:rPr/>
              <w:t>​</w:t>
            </w:r>
          </w:p>
        </w:tc>
        <w:tc>
          <w:tcPr>
            <w:tcW w:w="1047" w:type="dxa"/>
            <w:tcBorders/>
            <w:shd w:fill="FFFFFF" w:val="clear"/>
            <w:vAlign w:val="center"/>
          </w:tcPr>
          <w:p>
            <w:pPr>
              <w:pStyle w:val="TableContents"/>
              <w:bidi w:val="0"/>
              <w:spacing w:before="0" w:after="0"/>
              <w:ind w:left="0" w:right="0" w:hanging="0"/>
              <w:jc w:val="righ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shd w:fill="FFFFFF" w:val="clear"/>
            <w:vAlign w:val="center"/>
          </w:tcPr>
          <w:p>
            <w:pPr>
              <w:pStyle w:val="TableContents"/>
              <w:bidi w:val="0"/>
              <w:spacing w:before="0" w:after="0"/>
              <w:ind w:left="0" w:right="0" w:hanging="0"/>
              <w:jc w:val="left"/>
              <w:rPr/>
            </w:pPr>
            <w:r>
              <w:rPr/>
              <w:t>​</w:t>
            </w:r>
          </w:p>
        </w:tc>
        <w:tc>
          <w:tcPr>
            <w:tcW w:w="10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3,848</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 subordinated note</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59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771</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971</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 intersegment</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(11,617</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11,617</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interest expense by segment</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20,576</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11,821</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32,397</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shd w:fill="FFFFFF" w:val="clear"/>
            <w:vAlign w:val="center"/>
          </w:tcPr>
          <w:p>
            <w:pPr>
              <w:pStyle w:val="TableContents"/>
              <w:bidi w:val="0"/>
              <w:spacing w:before="0" w:after="0"/>
              <w:ind w:left="0" w:right="0" w:hanging="0"/>
              <w:jc w:val="left"/>
              <w:rPr/>
            </w:pPr>
            <w:r>
              <w:rPr/>
              <w:t>​</w:t>
            </w:r>
          </w:p>
        </w:tc>
        <w:tc>
          <w:tcPr>
            <w:tcW w:w="2592"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shd w:fill="FFFFFF" w:val="clear"/>
            <w:vAlign w:val="center"/>
          </w:tcPr>
          <w:p>
            <w:pPr>
              <w:pStyle w:val="TableContents"/>
              <w:bidi w:val="0"/>
              <w:spacing w:before="0" w:after="0"/>
              <w:ind w:left="0" w:right="0" w:hanging="0"/>
              <w:jc w:val="left"/>
              <w:rPr/>
            </w:pPr>
            <w:r>
              <w:rPr/>
              <w:t>​</w:t>
            </w:r>
          </w:p>
        </w:tc>
        <w:tc>
          <w:tcPr>
            <w:tcW w:w="1047"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shd w:fill="FFFFFF" w:val="clear"/>
            <w:vAlign w:val="center"/>
          </w:tcPr>
          <w:p>
            <w:pPr>
              <w:pStyle w:val="TableContents"/>
              <w:bidi w:val="0"/>
              <w:spacing w:before="0" w:after="0"/>
              <w:ind w:left="0" w:right="0" w:hanging="0"/>
              <w:jc w:val="left"/>
              <w:rPr/>
            </w:pPr>
            <w:r>
              <w:rPr/>
              <w:t>​</w:t>
            </w:r>
          </w:p>
        </w:tc>
        <w:tc>
          <w:tcPr>
            <w:tcW w:w="1078"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credit losses by segment</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59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3,170</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443</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3,613</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18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shd w:fill="FFFFFF" w:val="clear"/>
            <w:vAlign w:val="center"/>
          </w:tcPr>
          <w:p>
            <w:pPr>
              <w:pStyle w:val="TableContents"/>
              <w:bidi w:val="0"/>
              <w:spacing w:before="0" w:after="0"/>
              <w:ind w:left="0" w:right="0" w:hanging="0"/>
              <w:jc w:val="left"/>
              <w:rPr/>
            </w:pPr>
            <w:r>
              <w:rPr/>
              <w:t>​</w:t>
            </w:r>
          </w:p>
        </w:tc>
        <w:tc>
          <w:tcPr>
            <w:tcW w:w="2592"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shd w:fill="FFFFFF" w:val="clear"/>
            <w:vAlign w:val="center"/>
          </w:tcPr>
          <w:p>
            <w:pPr>
              <w:pStyle w:val="TableContents"/>
              <w:bidi w:val="0"/>
              <w:spacing w:before="0" w:after="0"/>
              <w:ind w:left="0" w:right="0" w:hanging="0"/>
              <w:jc w:val="left"/>
              <w:rPr/>
            </w:pPr>
            <w:r>
              <w:rPr/>
              <w:t>​</w:t>
            </w:r>
          </w:p>
        </w:tc>
        <w:tc>
          <w:tcPr>
            <w:tcW w:w="1047"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shd w:fill="FFFFFF" w:val="clear"/>
            <w:vAlign w:val="center"/>
          </w:tcPr>
          <w:p>
            <w:pPr>
              <w:pStyle w:val="TableContents"/>
              <w:bidi w:val="0"/>
              <w:spacing w:before="0" w:after="0"/>
              <w:ind w:left="0" w:right="0" w:hanging="0"/>
              <w:jc w:val="left"/>
              <w:rPr/>
            </w:pPr>
            <w:r>
              <w:rPr/>
              <w:t>​</w:t>
            </w:r>
          </w:p>
        </w:tc>
        <w:tc>
          <w:tcPr>
            <w:tcW w:w="1078"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Salaries and benefits</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59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15,539</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4,258</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19,797</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Overhead allocation</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shd w:fill="FFFFFF" w:val="clear"/>
            <w:vAlign w:val="center"/>
          </w:tcPr>
          <w:p>
            <w:pPr>
              <w:pStyle w:val="TableContents"/>
              <w:bidi w:val="0"/>
              <w:spacing w:before="0" w:after="0"/>
              <w:ind w:left="0" w:right="0" w:hanging="0"/>
              <w:jc w:val="left"/>
              <w:rPr/>
            </w:pPr>
            <w:r>
              <w:rPr/>
              <w:t>​</w:t>
            </w:r>
          </w:p>
        </w:tc>
        <w:tc>
          <w:tcPr>
            <w:tcW w:w="259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11,562</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shd w:fill="FFFFFF" w:val="clear"/>
            <w:vAlign w:val="center"/>
          </w:tcPr>
          <w:p>
            <w:pPr>
              <w:pStyle w:val="TableContents"/>
              <w:bidi w:val="0"/>
              <w:spacing w:before="0" w:after="0"/>
              <w:ind w:left="0" w:right="0" w:hanging="0"/>
              <w:jc w:val="left"/>
              <w:rPr/>
            </w:pPr>
            <w:r>
              <w:rPr/>
              <w:t>​</w:t>
            </w:r>
          </w:p>
        </w:tc>
        <w:tc>
          <w:tcPr>
            <w:tcW w:w="104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3,653</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shd w:fill="FFFFFF" w:val="clear"/>
            <w:vAlign w:val="center"/>
          </w:tcPr>
          <w:p>
            <w:pPr>
              <w:pStyle w:val="TableContents"/>
              <w:bidi w:val="0"/>
              <w:spacing w:before="0" w:after="0"/>
              <w:ind w:left="0" w:right="0" w:hanging="0"/>
              <w:jc w:val="left"/>
              <w:rPr/>
            </w:pPr>
            <w:r>
              <w:rPr/>
              <w:t>​</w:t>
            </w:r>
          </w:p>
        </w:tc>
        <w:tc>
          <w:tcPr>
            <w:tcW w:w="10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15,215</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Other segment items (1)</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13,388</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2,156</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15,544</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Total noninterest expense by segment</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40,489</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10,067</w:t>
            </w:r>
          </w:p>
        </w:tc>
        <w:tc>
          <w:tcPr>
            <w:tcW w:w="1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50,556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592" w:type="dxa"/>
            <w:tcBorders/>
            <w:shd w:fill="CCEEFF" w:val="clear"/>
            <w:vAlign w:val="center"/>
          </w:tcPr>
          <w:p>
            <w:pPr>
              <w:pStyle w:val="TableContents"/>
              <w:bidi w:val="0"/>
              <w:spacing w:before="0" w:after="0"/>
              <w:ind w:left="0" w:right="0" w:hanging="0"/>
              <w:jc w:val="left"/>
              <w:rPr/>
            </w:pPr>
            <w:r>
              <w:rPr/>
              <w:t>​</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left"/>
              <w:rPr/>
            </w:pPr>
            <w:r>
              <w:rPr/>
              <w:t>​</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Income before provision for income taxes by segment</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shd w:fill="FFFFFF" w:val="clear"/>
            <w:vAlign w:val="center"/>
          </w:tcPr>
          <w:p>
            <w:pPr>
              <w:pStyle w:val="TableContents"/>
              <w:bidi w:val="0"/>
              <w:spacing w:before="0" w:after="0"/>
              <w:ind w:left="0" w:right="0" w:hanging="0"/>
              <w:jc w:val="left"/>
              <w:rPr/>
            </w:pPr>
            <w:r>
              <w:rPr/>
              <w:t>​</w:t>
            </w:r>
          </w:p>
        </w:tc>
        <w:tc>
          <w:tcPr>
            <w:tcW w:w="259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18,469</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shd w:fill="FFFFFF" w:val="clear"/>
            <w:vAlign w:val="center"/>
          </w:tcPr>
          <w:p>
            <w:pPr>
              <w:pStyle w:val="TableContents"/>
              <w:bidi w:val="0"/>
              <w:spacing w:before="0" w:after="0"/>
              <w:ind w:left="0" w:right="0" w:hanging="0"/>
              <w:jc w:val="left"/>
              <w:rPr/>
            </w:pPr>
            <w:r>
              <w:rPr/>
              <w:t>​</w:t>
            </w:r>
          </w:p>
        </w:tc>
        <w:tc>
          <w:tcPr>
            <w:tcW w:w="104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751</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shd w:fill="FFFFFF" w:val="clear"/>
            <w:vAlign w:val="center"/>
          </w:tcPr>
          <w:p>
            <w:pPr>
              <w:pStyle w:val="TableContents"/>
              <w:bidi w:val="0"/>
              <w:spacing w:before="0" w:after="0"/>
              <w:ind w:left="0" w:right="0" w:hanging="0"/>
              <w:jc w:val="left"/>
              <w:rPr/>
            </w:pPr>
            <w:r>
              <w:rPr/>
              <w:t>​</w:t>
            </w:r>
          </w:p>
        </w:tc>
        <w:tc>
          <w:tcPr>
            <w:tcW w:w="107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19,220</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Provision for income taxes by segment</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59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(3,314</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4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w:t>
            </w:r>
          </w:p>
        </w:tc>
        <w:tc>
          <w:tcPr>
            <w:tcW w:w="10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7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(3,471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355" w:type="dxa"/>
            <w:tcBorders/>
            <w:shd w:fill="FFFFFF" w:val="clear"/>
            <w:vAlign w:val="center"/>
          </w:tcPr>
          <w:p>
            <w:pPr>
              <w:pStyle w:val="TableContents"/>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Net income by segment</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9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15,155</w:t>
            </w:r>
          </w:p>
        </w:tc>
        <w:tc>
          <w:tcPr>
            <w:tcW w:w="10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594</w:t>
            </w:r>
          </w:p>
        </w:tc>
        <w:tc>
          <w:tcPr>
            <w:tcW w:w="10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15,749</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shd w:fill="CCEEFF" w:val="clear"/>
            <w:vAlign w:val="center"/>
          </w:tcPr>
          <w:p>
            <w:pPr>
              <w:pStyle w:val="TableContents"/>
              <w:bidi w:val="0"/>
              <w:spacing w:before="0" w:after="0"/>
              <w:ind w:left="0" w:right="0" w:hanging="0"/>
              <w:jc w:val="left"/>
              <w:rPr/>
            </w:pPr>
            <w:r>
              <w:rPr/>
              <w:t>​</w:t>
            </w:r>
          </w:p>
        </w:tc>
        <w:tc>
          <w:tcPr>
            <w:tcW w:w="2592" w:type="dxa"/>
            <w:tcBorders/>
            <w:shd w:fill="CCEEFF" w:val="clear"/>
            <w:vAlign w:val="center"/>
          </w:tcPr>
          <w:p>
            <w:pPr>
              <w:pStyle w:val="TableContents"/>
              <w:bidi w:val="0"/>
              <w:spacing w:before="0" w:after="0"/>
              <w:ind w:left="0" w:right="0" w:hanging="0"/>
              <w:jc w:val="left"/>
              <w:rPr/>
            </w:pPr>
            <w:r>
              <w:rPr/>
              <w:t>​</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shd w:fill="CCEEFF" w:val="clear"/>
            <w:vAlign w:val="center"/>
          </w:tcPr>
          <w:p>
            <w:pPr>
              <w:pStyle w:val="TableContents"/>
              <w:bidi w:val="0"/>
              <w:spacing w:before="0" w:after="0"/>
              <w:ind w:left="0" w:right="0" w:hanging="0"/>
              <w:jc w:val="left"/>
              <w:rPr/>
            </w:pPr>
            <w:r>
              <w:rPr/>
              <w:t>​</w:t>
            </w:r>
          </w:p>
        </w:tc>
        <w:tc>
          <w:tcPr>
            <w:tcW w:w="1047" w:type="dxa"/>
            <w:tcBorders/>
            <w:shd w:fill="CCEEFF" w:val="clear"/>
            <w:vAlign w:val="center"/>
          </w:tcPr>
          <w:p>
            <w:pPr>
              <w:pStyle w:val="TableContents"/>
              <w:bidi w:val="0"/>
              <w:spacing w:before="0" w:after="0"/>
              <w:ind w:left="0" w:right="0" w:hanging="0"/>
              <w:jc w:val="left"/>
              <w:rPr/>
            </w:pPr>
            <w:r>
              <w:rPr/>
              <w:t>​</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shd w:fill="CCEEFF" w:val="clear"/>
            <w:vAlign w:val="center"/>
          </w:tcPr>
          <w:p>
            <w:pPr>
              <w:pStyle w:val="TableContents"/>
              <w:bidi w:val="0"/>
              <w:spacing w:before="0" w:after="0"/>
              <w:ind w:left="0" w:right="0" w:hanging="0"/>
              <w:jc w:val="left"/>
              <w:rPr/>
            </w:pPr>
            <w:r>
              <w:rPr/>
              <w:t>​</w:t>
            </w:r>
          </w:p>
        </w:tc>
        <w:tc>
          <w:tcPr>
            <w:tcW w:w="1078"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segment disclosures:</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shd w:fill="FFFFFF" w:val="clear"/>
            <w:vAlign w:val="center"/>
          </w:tcPr>
          <w:p>
            <w:pPr>
              <w:pStyle w:val="TableContents"/>
              <w:bidi w:val="0"/>
              <w:spacing w:before="0" w:after="0"/>
              <w:ind w:left="0" w:right="0" w:hanging="0"/>
              <w:jc w:val="left"/>
              <w:rPr/>
            </w:pPr>
            <w:r>
              <w:rPr/>
              <w:t>​</w:t>
            </w:r>
          </w:p>
        </w:tc>
        <w:tc>
          <w:tcPr>
            <w:tcW w:w="2592"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shd w:fill="FFFFFF" w:val="clear"/>
            <w:vAlign w:val="center"/>
          </w:tcPr>
          <w:p>
            <w:pPr>
              <w:pStyle w:val="TableContents"/>
              <w:bidi w:val="0"/>
              <w:spacing w:before="0" w:after="0"/>
              <w:ind w:left="0" w:right="0" w:hanging="0"/>
              <w:jc w:val="left"/>
              <w:rPr/>
            </w:pPr>
            <w:r>
              <w:rPr/>
              <w:t>​</w:t>
            </w:r>
          </w:p>
        </w:tc>
        <w:tc>
          <w:tcPr>
            <w:tcW w:w="1047"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shd w:fill="FFFFFF" w:val="clear"/>
            <w:vAlign w:val="center"/>
          </w:tcPr>
          <w:p>
            <w:pPr>
              <w:pStyle w:val="TableContents"/>
              <w:bidi w:val="0"/>
              <w:spacing w:before="0" w:after="0"/>
              <w:ind w:left="0" w:right="0" w:hanging="0"/>
              <w:jc w:val="left"/>
              <w:rPr/>
            </w:pPr>
            <w:r>
              <w:rPr/>
              <w:t>​</w:t>
            </w:r>
          </w:p>
        </w:tc>
        <w:tc>
          <w:tcPr>
            <w:tcW w:w="1078"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Segment assets</w:t>
            </w:r>
          </w:p>
        </w:tc>
        <w:tc>
          <w:tcPr>
            <w:tcW w:w="23" w:type="dxa"/>
            <w:tcBorders/>
            <w:shd w:fill="CCEEFF" w:val="clear"/>
            <w:vAlign w:val="center"/>
          </w:tcPr>
          <w:p>
            <w:pPr>
              <w:pStyle w:val="TableContents"/>
              <w:bidi w:val="0"/>
              <w:spacing w:before="0" w:after="0"/>
              <w:ind w:left="0" w:right="0" w:hanging="0"/>
              <w:jc w:val="left"/>
              <w:rPr/>
            </w:pPr>
            <w:r>
              <w:rPr/>
              <w:t>​</w:t>
            </w:r>
          </w:p>
        </w:tc>
        <w:tc>
          <w:tcPr>
            <w:tcW w:w="38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5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2,494,452</w:t>
            </w:r>
          </w:p>
        </w:tc>
        <w:tc>
          <w:tcPr>
            <w:tcW w:w="1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8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681,561</w:t>
            </w:r>
          </w:p>
        </w:tc>
        <w:tc>
          <w:tcPr>
            <w:tcW w:w="10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5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7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3,176,013</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FTEs</w:t>
            </w:r>
          </w:p>
        </w:tc>
        <w:tc>
          <w:tcPr>
            <w:tcW w:w="23" w:type="dxa"/>
            <w:tcBorders/>
            <w:shd w:fill="FFFFFF" w:val="clear"/>
            <w:vAlign w:val="center"/>
          </w:tcPr>
          <w:p>
            <w:pPr>
              <w:pStyle w:val="TableContents"/>
              <w:bidi w:val="0"/>
              <w:spacing w:before="0" w:after="0"/>
              <w:ind w:left="0" w:right="0" w:hanging="0"/>
              <w:jc w:val="left"/>
              <w:rPr/>
            </w:pPr>
            <w:r>
              <w:rPr/>
              <w:t>​</w:t>
            </w:r>
          </w:p>
        </w:tc>
        <w:tc>
          <w:tcPr>
            <w:tcW w:w="3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59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452</w:t>
            </w:r>
          </w:p>
        </w:tc>
        <w:tc>
          <w:tcPr>
            <w:tcW w:w="10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8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4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w:t>
            </w:r>
          </w:p>
        </w:tc>
        <w:tc>
          <w:tcPr>
            <w:tcW w:w="10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5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7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567</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ind w:left="0" w:right="0" w:hanging="0"/>
              <w:jc w:val="left"/>
              <w:rPr/>
            </w:pPr>
            <w:r>
              <w:rPr>
                <w:rFonts w:ascii="Times New Roman;Times;serif" w:hAnsi="Times New Roman;Times;serif"/>
                <w:caps w:val="false"/>
                <w:smallCaps w:val="false"/>
                <w:sz w:val="20"/>
              </w:rPr>
              <w:t>(</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w:t>
            </w:r>
          </w:p>
        </w:tc>
        <w:tc>
          <w:tcPr>
            <w:tcW w:w="999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include operations, occupancy, data processing, loan costs, professional and board fees, marketing and advertising, and (recovery) impairment of MSRs.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11" w:name="Notes_end"/>
      <w:bookmarkEnd w:id="11"/>
      <w:r>
        <w:rPr>
          <w:rFonts w:ascii="Times New Roman" w:hAnsi="Times New Roman"/>
          <w:b/>
          <w:caps w:val="false"/>
          <w:smallCaps w:val="false"/>
          <w:sz w:val="20"/>
        </w:rPr>
        <w:t>NOTE</w:t>
      </w:r>
      <w:r>
        <w:rPr>
          <w:rFonts w:ascii="Times New Roman" w:hAnsi="Times New Roman"/>
          <w:caps w:val="false"/>
          <w:smallCaps w:val="false"/>
          <w:sz w:val="20"/>
        </w:rPr>
        <w:t> </w:t>
      </w:r>
      <w:r>
        <w:rPr>
          <w:rStyle w:val="Emphasis"/>
          <w:rFonts w:ascii="Times New Roman" w:hAnsi="Times New Roman"/>
          <w:b/>
          <w:caps w:val="false"/>
          <w:smallCaps w:val="false"/>
          <w:sz w:val="20"/>
        </w:rPr>
        <w:t>14</w:t>
      </w:r>
      <w:r>
        <w:rPr>
          <w:rFonts w:ascii="Times New Roman" w:hAnsi="Times New Roman"/>
          <w:b/>
          <w:caps w:val="false"/>
          <w:smallCaps w:val="false"/>
          <w:sz w:val="20"/>
        </w:rPr>
        <w:t xml:space="preserve"> </w:t>
      </w:r>
      <w:r>
        <w:rPr>
          <w:rFonts w:ascii="Times New Roman" w:hAnsi="Times New Roman"/>
          <w:caps w:val="false"/>
          <w:smallCaps w:val="false"/>
          <w:sz w:val="20"/>
        </w:rPr>
        <w:t xml:space="preserve">– </w:t>
      </w:r>
      <w:r>
        <w:rPr>
          <w:rFonts w:ascii="Times New Roman" w:hAnsi="Times New Roman"/>
          <w:b/>
          <w:caps w:val="false"/>
          <w:smallCaps w:val="false"/>
          <w:sz w:val="20"/>
        </w:rPr>
        <w:t>GOODWILL AND OTHER INTANGIBLE ASSETS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Goodwill and certain other intangibles generally arise from business combinations accounted for under the acquisition method of accounting. Goodwill totaled $3.6 million at both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xml:space="preserve">, and represents the excess of the total consideration transferred over the net identifiable assets acquired in the branch purchase on </w:t>
      </w:r>
      <w:r>
        <w:rPr>
          <w:rStyle w:val="Emphasis"/>
          <w:rFonts w:ascii="Times New Roman" w:hAnsi="Times New Roman"/>
          <w:caps w:val="false"/>
          <w:smallCaps w:val="false"/>
          <w:sz w:val="20"/>
        </w:rPr>
        <w:t>February 24, 2023 (</w:t>
      </w:r>
      <w:r>
        <w:rPr>
          <w:rFonts w:ascii="Times New Roman" w:hAnsi="Times New Roman"/>
          <w:caps w:val="false"/>
          <w:smallCaps w:val="false"/>
          <w:sz w:val="20"/>
        </w:rPr>
        <w:t xml:space="preserve">“Branch Acquisition”), and the purchase of four retail bank branches from Bank of America on </w:t>
      </w:r>
      <w:r>
        <w:rPr>
          <w:rStyle w:val="Emphasis"/>
          <w:rFonts w:ascii="Times New Roman" w:hAnsi="Times New Roman"/>
          <w:caps w:val="false"/>
          <w:smallCaps w:val="false"/>
          <w:sz w:val="20"/>
        </w:rPr>
        <w:t xml:space="preserve">January 22, 2016. </w:t>
      </w:r>
      <w:r>
        <w:rPr>
          <w:rFonts w:ascii="Times New Roman" w:hAnsi="Times New Roman"/>
          <w:caps w:val="false"/>
          <w:smallCaps w:val="false"/>
          <w:sz w:val="20"/>
        </w:rPr>
        <w:t xml:space="preserve">Goodwill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amortized but is evaluated for impairment on an annual basis at </w:t>
      </w:r>
      <w:r>
        <w:rPr>
          <w:rStyle w:val="Emphasis"/>
          <w:rFonts w:ascii="Times New Roman" w:hAnsi="Times New Roman"/>
          <w:caps w:val="false"/>
          <w:smallCaps w:val="false"/>
          <w:sz w:val="20"/>
        </w:rPr>
        <w:t xml:space="preserve">December 31 </w:t>
      </w:r>
      <w:r>
        <w:rPr>
          <w:rFonts w:ascii="Times New Roman" w:hAnsi="Times New Roman"/>
          <w:caps w:val="false"/>
          <w:smallCaps w:val="false"/>
          <w:sz w:val="20"/>
        </w:rPr>
        <w:t xml:space="preserve">of each year or whenever events or changes in circumstances indicate the carrying value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During the last annual evaluation, the Company elected to perform a qualitative assessment to determine whether it was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the fair value of the reporting unit exceeded its carrying value, including goodwill.  In performing this assessment, management considered qualitative factors including macroeconomic conditions, industry and market trends, financial performance, and changes in the Company's stock price and market capitalization. Based on this assessment, management concluded that it was more likely than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the fair value of the reporting unit exceeded its carrying value, and therefore no impairment of goodwill was indicated.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Core deposit intangible (“CDI”) is evaluated for impairment whenever events or changes in circumstances indicate that its carrying amount </w:t>
      </w:r>
      <w:r>
        <w:rPr>
          <w:rStyle w:val="Emphasis"/>
          <w:rFonts w:ascii="Times New Roman" w:hAnsi="Times New Roman"/>
          <w:caps w:val="false"/>
          <w:smallCaps w:val="false"/>
          <w:sz w:val="20"/>
        </w:rPr>
        <w:t>may not</w:t>
      </w:r>
      <w:r>
        <w:rPr>
          <w:rFonts w:ascii="Times New Roman" w:hAnsi="Times New Roman"/>
          <w:caps w:val="false"/>
          <w:smallCaps w:val="false"/>
          <w:sz w:val="20"/>
        </w:rPr>
        <w:t xml:space="preserve"> be recoverable, with any changes in estimated useful life accounted for prospectively over the revised remaining life.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management believes that there have been no events or changes in the circumstances that would indicate a potential impairment of CDI.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following table summarizes the changes in the Company’s other intangible assets comprised solely of CDI for the year ended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and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w:t>
      </w:r>
    </w:p>
    <w:p>
      <w:pPr>
        <w:pStyle w:val="TextBody"/>
        <w:bidi w:val="0"/>
        <w:spacing w:before="0" w:after="0"/>
        <w:ind w:left="0" w:right="0" w:hanging="0"/>
        <w:jc w:val="left"/>
        <w:rPr/>
      </w:pPr>
      <w:r>
        <w:rPr/>
        <w:t> </w:t>
      </w:r>
    </w:p>
    <w:tbl>
      <w:tblPr>
        <w:tblW w:w="5256" w:type="dxa"/>
        <w:jc w:val="left"/>
        <w:tblInd w:w="0" w:type="dxa"/>
        <w:tblLayout w:type="fixed"/>
        <w:tblCellMar>
          <w:top w:w="0" w:type="dxa"/>
          <w:left w:w="0" w:type="dxa"/>
          <w:bottom w:w="0" w:type="dxa"/>
          <w:right w:w="0" w:type="dxa"/>
        </w:tblCellMar>
      </w:tblPr>
      <w:tblGrid>
        <w:gridCol w:w="2345"/>
        <w:gridCol w:w="23"/>
        <w:gridCol w:w="147"/>
        <w:gridCol w:w="697"/>
        <w:gridCol w:w="23"/>
        <w:gridCol w:w="23"/>
        <w:gridCol w:w="177"/>
        <w:gridCol w:w="923"/>
        <w:gridCol w:w="80"/>
        <w:gridCol w:w="23"/>
        <w:gridCol w:w="125"/>
        <w:gridCol w:w="590"/>
        <w:gridCol w:w="80"/>
      </w:tblGrid>
      <w:tr>
        <w:trPr/>
        <w:tc>
          <w:tcPr>
            <w:tcW w:w="23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0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Other Intangible Assets</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3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47" w:type="dxa"/>
            <w:tcBorders/>
            <w:vAlign w:val="center"/>
          </w:tcPr>
          <w:p>
            <w:pPr>
              <w:pStyle w:val="TableContents"/>
              <w:bidi w:val="0"/>
              <w:spacing w:before="0" w:after="0"/>
              <w:ind w:left="0" w:right="0" w:hanging="0"/>
              <w:jc w:val="left"/>
              <w:rPr/>
            </w:pPr>
            <w:r>
              <w:rPr/>
              <w:t>​</w:t>
            </w:r>
          </w:p>
        </w:tc>
        <w:tc>
          <w:tcPr>
            <w:tcW w:w="697"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0"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Accumulated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25" w:type="dxa"/>
            <w:tcBorders/>
            <w:vAlign w:val="center"/>
          </w:tcPr>
          <w:p>
            <w:pPr>
              <w:pStyle w:val="TableContents"/>
              <w:bidi w:val="0"/>
              <w:spacing w:before="0" w:after="0"/>
              <w:ind w:left="0" w:right="0" w:hanging="0"/>
              <w:jc w:val="left"/>
              <w:rPr/>
            </w:pPr>
            <w:r>
              <w:rPr/>
              <w:t>​</w:t>
            </w:r>
          </w:p>
        </w:tc>
        <w:tc>
          <w:tcPr>
            <w:tcW w:w="590"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r>
      <w:tr>
        <w:trPr/>
        <w:tc>
          <w:tcPr>
            <w:tcW w:w="234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8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Gross CDI</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Amortization</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Net CDI</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34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Balance, December 31, 2024</w:t>
            </w:r>
          </w:p>
        </w:tc>
        <w:tc>
          <w:tcPr>
            <w:tcW w:w="23"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24,928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(11,218</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13,710</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23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w:t>
            </w:r>
          </w:p>
        </w:tc>
        <w:tc>
          <w:tcPr>
            <w:tcW w:w="23" w:type="dxa"/>
            <w:tcBorders/>
            <w:shd w:fill="FFFFFF" w:val="clear"/>
            <w:vAlign w:val="center"/>
          </w:tcPr>
          <w:p>
            <w:pPr>
              <w:pStyle w:val="TableContents"/>
              <w:bidi w:val="0"/>
              <w:spacing w:before="0" w:after="0"/>
              <w:ind w:left="0" w:right="0" w:hanging="0"/>
              <w:jc w:val="left"/>
              <w:rPr/>
            </w:pPr>
            <w:r>
              <w:rPr/>
              <w:t>​</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34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Balance, December 31, 2025</w:t>
            </w:r>
          </w:p>
        </w:tc>
        <w:tc>
          <w:tcPr>
            <w:tcW w:w="23" w:type="dxa"/>
            <w:tcBorders/>
            <w:shd w:fill="CCEEFF" w:val="clear"/>
            <w:vAlign w:val="center"/>
          </w:tcPr>
          <w:p>
            <w:pPr>
              <w:pStyle w:val="TableContents"/>
              <w:bidi w:val="0"/>
              <w:spacing w:before="0" w:after="0"/>
              <w:ind w:left="0" w:right="0" w:hanging="0"/>
              <w:jc w:val="left"/>
              <w:rPr/>
            </w:pPr>
            <w:r>
              <w:rPr/>
              <w:t>​</w:t>
            </w:r>
          </w:p>
        </w:tc>
        <w:tc>
          <w:tcPr>
            <w:tcW w:w="147" w:type="dxa"/>
            <w:tcBorders/>
            <w:shd w:fill="CCEEFF" w:val="clear"/>
            <w:vAlign w:val="center"/>
          </w:tcPr>
          <w:p>
            <w:pPr>
              <w:pStyle w:val="TableContents"/>
              <w:bidi w:val="0"/>
              <w:spacing w:before="0" w:after="0"/>
              <w:ind w:left="0" w:right="0" w:hanging="0"/>
              <w:jc w:val="left"/>
              <w:rPr/>
            </w:pPr>
            <w:r>
              <w:rPr/>
              <w:t>​</w:t>
            </w:r>
          </w:p>
        </w:tc>
        <w:tc>
          <w:tcPr>
            <w:tcW w:w="69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24,928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7" w:type="dxa"/>
            <w:tcBorders/>
            <w:shd w:fill="CCEEFF" w:val="clear"/>
            <w:vAlign w:val="center"/>
          </w:tcPr>
          <w:p>
            <w:pPr>
              <w:pStyle w:val="TableContents"/>
              <w:bidi w:val="0"/>
              <w:spacing w:before="0" w:after="0"/>
              <w:ind w:left="0" w:right="0" w:hanging="0"/>
              <w:jc w:val="left"/>
              <w:rPr/>
            </w:pPr>
            <w:r>
              <w:rPr/>
              <w:t>​</w:t>
            </w:r>
          </w:p>
        </w:tc>
        <w:tc>
          <w:tcPr>
            <w:tcW w:w="92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(14,410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5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10,518</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234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Amortization</w:t>
            </w:r>
          </w:p>
        </w:tc>
        <w:tc>
          <w:tcPr>
            <w:tcW w:w="23" w:type="dxa"/>
            <w:tcBorders/>
            <w:shd w:fill="FFFFFF" w:val="clear"/>
            <w:vAlign w:val="center"/>
          </w:tcPr>
          <w:p>
            <w:pPr>
              <w:pStyle w:val="TableContents"/>
              <w:bidi w:val="0"/>
              <w:spacing w:before="0" w:after="0"/>
              <w:ind w:left="0" w:right="0" w:hanging="0"/>
              <w:jc w:val="left"/>
              <w:rPr/>
            </w:pPr>
            <w:r>
              <w:rPr/>
              <w:t>​</w:t>
            </w:r>
          </w:p>
        </w:tc>
        <w:tc>
          <w:tcPr>
            <w:tcW w:w="14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2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34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Balance, June 30, 2026</w:t>
            </w:r>
          </w:p>
        </w:tc>
        <w:tc>
          <w:tcPr>
            <w:tcW w:w="23" w:type="dxa"/>
            <w:tcBorders/>
            <w:shd w:fill="CCEEFF" w:val="clear"/>
            <w:vAlign w:val="center"/>
          </w:tcPr>
          <w:p>
            <w:pPr>
              <w:pStyle w:val="TableContents"/>
              <w:bidi w:val="0"/>
              <w:spacing w:before="0" w:after="0"/>
              <w:ind w:left="0" w:right="0" w:hanging="0"/>
              <w:jc w:val="left"/>
              <w:rPr/>
            </w:pPr>
            <w:r>
              <w:rPr/>
              <w:t>​</w:t>
            </w:r>
          </w:p>
        </w:tc>
        <w:tc>
          <w:tcPr>
            <w:tcW w:w="14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24,928</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2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(15,876</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9,052</w:t>
            </w:r>
          </w:p>
        </w:tc>
        <w:tc>
          <w:tcPr>
            <w:tcW w:w="8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CDI represents the fair value assigned to the intangible core deposit base acquired in business combinations. The CDI from the Branch Acquisition is being amortized on an accelerated basis over 10 years, while the CDI from the Anchor Bank acquisition (completed in </w:t>
      </w:r>
      <w:r>
        <w:rPr>
          <w:rStyle w:val="Emphasis"/>
          <w:rFonts w:ascii="Times New Roman" w:hAnsi="Times New Roman"/>
          <w:caps w:val="false"/>
          <w:smallCaps w:val="false"/>
          <w:sz w:val="20"/>
        </w:rPr>
        <w:t xml:space="preserve"> November 2018) </w:t>
      </w:r>
      <w:r>
        <w:rPr>
          <w:rFonts w:ascii="Times New Roman" w:hAnsi="Times New Roman"/>
          <w:caps w:val="false"/>
          <w:smallCaps w:val="false"/>
          <w:sz w:val="20"/>
        </w:rPr>
        <w:t xml:space="preserve">is being amortized on a straight-line basis over 10 years.  Amortization expense was $722,000 and $1.5 million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compared to $809,000 and $1.6 million for the same periods in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Amortization expense for CDI is expected to be as follows at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w:t>
      </w:r>
    </w:p>
    <w:p>
      <w:pPr>
        <w:pStyle w:val="TextBody"/>
        <w:bidi w:val="0"/>
        <w:spacing w:before="0" w:after="0"/>
        <w:ind w:left="0" w:right="0" w:hanging="0"/>
        <w:jc w:val="left"/>
        <w:rPr/>
      </w:pPr>
      <w:r>
        <w:rPr/>
        <w:t> </w:t>
      </w:r>
    </w:p>
    <w:tbl>
      <w:tblPr>
        <w:tblW w:w="2236" w:type="dxa"/>
        <w:jc w:val="left"/>
        <w:tblInd w:w="0" w:type="dxa"/>
        <w:tblLayout w:type="fixed"/>
        <w:tblCellMar>
          <w:top w:w="0" w:type="dxa"/>
          <w:left w:w="0" w:type="dxa"/>
          <w:bottom w:w="0" w:type="dxa"/>
          <w:right w:w="0" w:type="dxa"/>
        </w:tblCellMar>
      </w:tblPr>
      <w:tblGrid>
        <w:gridCol w:w="1580"/>
        <w:gridCol w:w="23"/>
        <w:gridCol w:w="125"/>
        <w:gridCol w:w="485"/>
        <w:gridCol w:w="23"/>
      </w:tblGrid>
      <w:tr>
        <w:trPr/>
        <w:tc>
          <w:tcPr>
            <w:tcW w:w="158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Remainder of 2026</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1,379</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158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2027</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2,500</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158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2028</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2,110</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158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2029</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48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1,283</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158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2030</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48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937</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158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Thereafter</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8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1580"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9,052</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b/>
          <w:sz w:val="20"/>
        </w:rPr>
        <w:t>NOTE</w:t>
      </w:r>
      <w:r>
        <w:rPr>
          <w:rFonts w:ascii="Times New Roman;Times;serif" w:hAnsi="Times New Roman;Times;serif"/>
          <w:sz w:val="20"/>
        </w:rPr>
        <w:t> </w:t>
      </w:r>
      <w:r>
        <w:rPr>
          <w:rStyle w:val="Emphasis"/>
          <w:rFonts w:ascii="Times New Roman;Times;serif" w:hAnsi="Times New Roman;Times;serif"/>
          <w:b/>
          <w:sz w:val="20"/>
        </w:rPr>
        <w:t>15</w:t>
      </w:r>
      <w:r>
        <w:rPr>
          <w:rFonts w:ascii="Times New Roman;Times;serif" w:hAnsi="Times New Roman;Times;serif"/>
          <w:b/>
          <w:sz w:val="20"/>
        </w:rPr>
        <w:t> </w:t>
      </w:r>
      <w:r>
        <w:rPr>
          <w:rFonts w:ascii="Times New Roman;Times;serif" w:hAnsi="Times New Roman;Times;serif"/>
          <w:sz w:val="20"/>
        </w:rPr>
        <w:t>– </w:t>
      </w:r>
      <w:r>
        <w:rPr>
          <w:rFonts w:ascii="Times New Roman;Times;serif" w:hAnsi="Times New Roman;Times;serif"/>
          <w:b/>
          <w:sz w:val="20"/>
        </w:rPr>
        <w:t>DEFINITIVE AGREEMENT</w:t>
      </w:r>
      <w:r>
        <w:rPr>
          <w:rFonts w:ascii="Times New Roman;Times;serif" w:hAnsi="Times New Roman;Times;serif"/>
          <w:sz w:val="20"/>
        </w:rPr>
        <w:t xml:space="preserve"> </w:t>
      </w:r>
    </w:p>
    <w:p>
      <w:pPr>
        <w:pStyle w:val="TextBody"/>
        <w:bidi w:val="0"/>
        <w:spacing w:before="0" w:after="0"/>
        <w:ind w:left="0" w:right="0" w:hanging="0"/>
        <w:jc w:val="both"/>
        <w:rPr/>
      </w:pPr>
      <w:r>
        <w:rPr/>
        <w:t> </w:t>
      </w:r>
    </w:p>
    <w:p>
      <w:pPr>
        <w:pStyle w:val="TextBody"/>
        <w:bidi w:val="0"/>
        <w:spacing w:before="0" w:after="0"/>
        <w:ind w:left="16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February 25, 2026, </w:t>
      </w:r>
      <w:r>
        <w:rPr>
          <w:rFonts w:ascii="Times New Roman" w:hAnsi="Times New Roman"/>
          <w:caps w:val="false"/>
          <w:smallCaps w:val="false"/>
          <w:sz w:val="20"/>
        </w:rPr>
        <w:t xml:space="preserve">the Company entered into a definitive agreement (the “Agreement”) with Pacific West, headquartered in West Linn, Oregon, pursuant to which Pacific West will be merged with and into the Company, and immediately thereafter Pacific West’s bank subsidiary, Pacific West Bank, will be merged with and into </w:t>
      </w:r>
      <w:r>
        <w:rPr>
          <w:rStyle w:val="Emphasis"/>
          <w:rFonts w:ascii="Times New Roman" w:hAnsi="Times New Roman"/>
          <w:caps w:val="false"/>
          <w:smallCaps w:val="false"/>
          <w:sz w:val="20"/>
        </w:rPr>
        <w:t>1st</w:t>
      </w:r>
      <w:r>
        <w:rPr>
          <w:rFonts w:ascii="Times New Roman" w:hAnsi="Times New Roman"/>
          <w:caps w:val="false"/>
          <w:smallCaps w:val="false"/>
          <w:sz w:val="20"/>
        </w:rPr>
        <w:t xml:space="preserve"> Security Bank of Washington.  Pacific West Bank primarily serves the Greater Portland, Oregon metropolitan area with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branch locations in Portland, Vancouver, West Linn, and Lake Oswego.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pPr>
      <w:r>
        <w:rPr>
          <w:rFonts w:ascii="Times New Roman" w:hAnsi="Times New Roman"/>
          <w:caps w:val="false"/>
          <w:smallCaps w:val="false"/>
          <w:sz w:val="20"/>
        </w:rPr>
        <w:t xml:space="preserve">Under the terms of the Agreement, the aggregate consideration will consist of 430,176 shares of FS Bancorp common stock and $16,832,742 in cash.  Pacific West shareholders will have the right to elect shares of FS Bancorp common stock or cash, subject to proration as provided in the Agreement.  Based on the closing price of FS Bancorp common stock of $41.26 on </w:t>
      </w:r>
      <w:r>
        <w:rPr>
          <w:rStyle w:val="Emphasis"/>
          <w:rFonts w:ascii="Times New Roman" w:hAnsi="Times New Roman"/>
          <w:caps w:val="false"/>
          <w:smallCaps w:val="false"/>
          <w:sz w:val="20"/>
        </w:rPr>
        <w:t xml:space="preserve">February 25, 2026, </w:t>
      </w:r>
      <w:r>
        <w:rPr>
          <w:rFonts w:ascii="Times New Roman" w:hAnsi="Times New Roman"/>
          <w:caps w:val="false"/>
          <w:smallCaps w:val="false"/>
          <w:sz w:val="20"/>
        </w:rPr>
        <w:t>the consideration value for Pacific West was $34.6 million, or approximately $12.52 per share.  Upon completion of the merger, Pacific West shareholders would hold, in aggregate, approximately 5.4% of FS Bancorp’s outstanding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pPr>
      <w:r>
        <w:rPr>
          <w:rFonts w:ascii="Times New Roman" w:hAnsi="Times New Roman"/>
          <w:caps w:val="false"/>
          <w:smallCaps w:val="false"/>
          <w:sz w:val="20"/>
        </w:rPr>
        <w:t xml:space="preserve">All of the directors of Pacific West have agreed to vote their shares of Pacific West common stock in favor of approval of the Agreement. The proposed transaction is subject to customary closing conditions, including the receipt of regulatory approvals and approval of the Agreement by the shareholders of Pacific West, and is expected to be completed in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both"/>
        <w:rPr/>
      </w:pPr>
      <w:r>
        <w:rPr>
          <w:rFonts w:ascii="Times New Roman" w:hAnsi="Times New Roman"/>
          <w:caps w:val="false"/>
          <w:smallCaps w:val="false"/>
          <w:sz w:val="20"/>
        </w:rPr>
        <w:t xml:space="preserve">At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Pacific West reported total assets of $386.0 million, total loans of $276.6 million and total deposits of $342.2 million.</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bookmarkStart w:id="12" w:name="mda"/>
      <w:bookmarkEnd w:id="12"/>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2. </w:t>
      </w:r>
      <w:r>
        <w:rPr>
          <w:rFonts w:ascii="Times New Roman" w:hAnsi="Times New Roman"/>
          <w:caps w:val="false"/>
          <w:smallCaps w:val="false"/>
          <w:sz w:val="20"/>
        </w:rPr>
        <w:t xml:space="preserve">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Forward</w:t>
      </w:r>
      <w:r>
        <w:rPr>
          <w:rFonts w:ascii="Times New Roman" w:hAnsi="Times New Roman"/>
          <w:caps w:val="false"/>
          <w:smallCaps w:val="false"/>
          <w:sz w:val="20"/>
        </w:rPr>
        <w:t>–</w:t>
      </w:r>
      <w:r>
        <w:rPr>
          <w:rFonts w:ascii="Times New Roman" w:hAnsi="Times New Roman"/>
          <w:b/>
          <w:caps w:val="false"/>
          <w:smallCaps w:val="false"/>
          <w:sz w:val="20"/>
        </w:rPr>
        <w:t>Looking Statements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report contains forward-looking statements, which can be identified by the use of words such as “believes,” “expects,” “anticipates,” “estimates,” “plans,” “intends,” “projects,” or similar expressions. Forward-looking statements include, but are not limited to:</w:t>
      </w:r>
    </w:p>
    <w:p>
      <w:pPr>
        <w:pStyle w:val="TextBody"/>
        <w:bidi w:val="0"/>
        <w:spacing w:before="0" w:after="0"/>
        <w:ind w:left="0" w:right="0" w:hanging="0"/>
        <w:jc w:val="left"/>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170"/>
        <w:gridCol w:w="6830"/>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statements regarding our goals, intentions, and expectations;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statements regarding our business plans, prospects, growth, and operating strategies;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statements regarding the quality of our loan and investment portfolios; and</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8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estimates of our risks and future costs and benefits.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forward-looking statements are subject to significant risks and uncertainties. Actual results may differ materially from those contemplated by the forward-looking statements due to, among other things, the following factors: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3"/>
        <w:gridCol w:w="10002"/>
      </w:tblGrid>
      <w:tr>
        <w:trPr/>
        <w:tc>
          <w:tcPr>
            <w:tcW w:w="203" w:type="dxa"/>
            <w:tcBorders/>
            <w:vAlign w:val="center"/>
          </w:tcPr>
          <w:p>
            <w:pPr>
              <w:pStyle w:val="TableContents"/>
              <w:bidi w:val="0"/>
              <w:spacing w:before="0" w:after="0"/>
              <w:jc w:val="left"/>
              <w:rPr/>
            </w:pPr>
            <w:r>
              <w:rPr/>
              <w:t xml:space="preserve">● </w:t>
            </w:r>
          </w:p>
        </w:tc>
        <w:tc>
          <w:tcPr>
            <w:tcW w:w="10002"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adverse impacts on economic conditions in our local markets or other markets where we have lending relationships; or to other aspects of the Company's business operations;</w:t>
            </w:r>
          </w:p>
        </w:tc>
      </w:tr>
      <w:tr>
        <w:trPr/>
        <w:tc>
          <w:tcPr>
            <w:tcW w:w="203" w:type="dxa"/>
            <w:tcBorders/>
            <w:vAlign w:val="center"/>
          </w:tcPr>
          <w:p>
            <w:pPr>
              <w:pStyle w:val="TableContents"/>
              <w:bidi w:val="0"/>
              <w:spacing w:before="0" w:after="0"/>
              <w:jc w:val="left"/>
              <w:rPr/>
            </w:pPr>
            <w:r>
              <w:rPr/>
              <w:t xml:space="preserve">● </w:t>
            </w:r>
          </w:p>
        </w:tc>
        <w:tc>
          <w:tcPr>
            <w:tcW w:w="1000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effects of employment levels, labor shortages, persistent inflation, recessionary pressures or slowed economic growth; </w:t>
            </w:r>
          </w:p>
        </w:tc>
      </w:tr>
      <w:tr>
        <w:trPr/>
        <w:tc>
          <w:tcPr>
            <w:tcW w:w="20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interest rate levels and volatility, and the timing and pace of such changes, including actions by the Board of Governors of the Federal Reserve System (“Federal Reserve”), which could adversely affect our revenues and expenses, the values of our assets and obligations, and the availability and cost of capital and liquidity;</w:t>
            </w:r>
          </w:p>
        </w:tc>
      </w:tr>
      <w:tr>
        <w:trPr/>
        <w:tc>
          <w:tcPr>
            <w:tcW w:w="20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impact of inflation and related monetary and fiscal policy responses thereto, and their impact on consumer and business behavior;</w:t>
            </w:r>
          </w:p>
        </w:tc>
      </w:tr>
      <w:tr>
        <w:trPr/>
        <w:tc>
          <w:tcPr>
            <w:tcW w:w="203" w:type="dxa"/>
            <w:tcBorders/>
            <w:vAlign w:val="center"/>
          </w:tcPr>
          <w:p>
            <w:pPr>
              <w:pStyle w:val="TableContents"/>
              <w:bidi w:val="0"/>
              <w:spacing w:before="0" w:after="0"/>
              <w:jc w:val="left"/>
              <w:rPr/>
            </w:pPr>
            <w:r>
              <w:rPr/>
              <w:t xml:space="preserve">● </w:t>
            </w:r>
          </w:p>
        </w:tc>
        <w:tc>
          <w:tcPr>
            <w:tcW w:w="10002" w:type="dxa"/>
            <w:tcBorders/>
            <w:vAlign w:val="center"/>
          </w:tcPr>
          <w:p>
            <w:pPr>
              <w:pStyle w:val="TableContents"/>
              <w:bidi w:val="0"/>
              <w:spacing w:before="0" w:after="0"/>
              <w:jc w:val="both"/>
              <w:rPr>
                <w:rFonts w:ascii="Times New Roman;Times;serif" w:hAnsi="Times New Roman;Times;serif"/>
                <w:sz w:val="20"/>
              </w:rPr>
            </w:pPr>
            <w:r>
              <w:rPr>
                <w:rFonts w:ascii="Times New Roman;Times;serif" w:hAnsi="Times New Roman;Times;serif"/>
                <w:sz w:val="20"/>
              </w:rPr>
              <w:t xml:space="preserve">geopolitical developments and international conflicts, or the imposition of new or increased tariffs and trade restrictions that may disrupt financial markets, global supply chains, commodity prices, or economic activity in specific industry sectors; </w:t>
            </w:r>
          </w:p>
        </w:tc>
      </w:tr>
      <w:tr>
        <w:trPr/>
        <w:tc>
          <w:tcPr>
            <w:tcW w:w="203" w:type="dxa"/>
            <w:tcBorders/>
            <w:vAlign w:val="center"/>
          </w:tcPr>
          <w:p>
            <w:pPr>
              <w:pStyle w:val="TableContents"/>
              <w:bidi w:val="0"/>
              <w:spacing w:before="0" w:after="0"/>
              <w:jc w:val="left"/>
              <w:rPr/>
            </w:pPr>
            <w:r>
              <w:rPr/>
              <w:t xml:space="preserve">● </w:t>
            </w:r>
          </w:p>
        </w:tc>
        <w:tc>
          <w:tcPr>
            <w:tcW w:w="1000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the effects of any government shutdown, debt ceiling standoff, or other fiscal policy uncertainty; </w:t>
            </w:r>
          </w:p>
        </w:tc>
      </w:tr>
      <w:tr>
        <w:trPr/>
        <w:tc>
          <w:tcPr>
            <w:tcW w:w="20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credit risks inherent in lending activities, including loan delinquencies, charge-offs, changes in our allowance for credit losses (“ACL”), and provisions for credit losses;</w:t>
            </w:r>
          </w:p>
        </w:tc>
      </w:tr>
      <w:tr>
        <w:trPr/>
        <w:tc>
          <w:tcPr>
            <w:tcW w:w="20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secondary market conditions and our ability to originate loans for sale and sell loans in the secondary market;</w:t>
            </w:r>
          </w:p>
        </w:tc>
      </w:tr>
      <w:tr>
        <w:trPr/>
        <w:tc>
          <w:tcPr>
            <w:tcW w:w="20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fluctuations in loan demand, unsold homes, and land and in property values;</w:t>
            </w:r>
          </w:p>
        </w:tc>
      </w:tr>
      <w:tr>
        <w:trPr/>
        <w:tc>
          <w:tcPr>
            <w:tcW w:w="20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staffing fluctuations arising from product demand or corporate strategies;</w:t>
            </w:r>
          </w:p>
        </w:tc>
      </w:tr>
      <w:tr>
        <w:trPr/>
        <w:tc>
          <w:tcPr>
            <w:tcW w:w="20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use of estimates in determining the fair value of assets, which may prove incorrect;</w:t>
            </w:r>
          </w:p>
        </w:tc>
      </w:tr>
      <w:tr>
        <w:trPr/>
        <w:tc>
          <w:tcPr>
            <w:tcW w:w="20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increased competitive pressures among financial services companies;</w:t>
            </w:r>
          </w:p>
        </w:tc>
      </w:tr>
      <w:tr>
        <w:trPr/>
        <w:tc>
          <w:tcPr>
            <w:tcW w:w="20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execute our plans to grow our residential construction lending, our home lending operations, our warehouse lending, and the geographic expansion of our indirect home improvement lending;</w:t>
            </w:r>
          </w:p>
        </w:tc>
      </w:tr>
      <w:tr>
        <w:trPr/>
        <w:tc>
          <w:tcPr>
            <w:tcW w:w="20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attract and retain deposits;</w:t>
            </w:r>
          </w:p>
        </w:tc>
      </w:tr>
      <w:tr>
        <w:trPr/>
        <w:tc>
          <w:tcPr>
            <w:tcW w:w="20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successfully integrate any assets, liabilities, customers, systems, and management personnel we may acquire in the future into our operations, to realize related revenue synergies and cost savings within expected time frames, and the potential for goodwill impairments;</w:t>
            </w:r>
          </w:p>
        </w:tc>
      </w:tr>
      <w:tr>
        <w:trPr/>
        <w:tc>
          <w:tcPr>
            <w:tcW w:w="20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control operating costs and expenses;</w:t>
            </w:r>
          </w:p>
        </w:tc>
      </w:tr>
      <w:tr>
        <w:trPr/>
        <w:tc>
          <w:tcPr>
            <w:tcW w:w="203" w:type="dxa"/>
            <w:tcBorders/>
            <w:vAlign w:val="center"/>
          </w:tcPr>
          <w:p>
            <w:pPr>
              <w:pStyle w:val="TableContents"/>
              <w:bidi w:val="0"/>
              <w:spacing w:before="0" w:after="0"/>
              <w:jc w:val="left"/>
              <w:rPr/>
            </w:pPr>
            <w:r>
              <w:rPr/>
              <w:t xml:space="preserve">● </w:t>
            </w:r>
          </w:p>
        </w:tc>
        <w:tc>
          <w:tcPr>
            <w:tcW w:w="1000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 xml:space="preserve">expectations regarding key growth initiatives and strategic priorities; </w:t>
            </w:r>
          </w:p>
        </w:tc>
      </w:tr>
      <w:tr>
        <w:trPr/>
        <w:tc>
          <w:tcPr>
            <w:tcW w:w="20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retention of key members of our senior management team;</w:t>
            </w:r>
          </w:p>
        </w:tc>
      </w:tr>
      <w:tr>
        <w:trPr/>
        <w:tc>
          <w:tcPr>
            <w:tcW w:w="20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consumer spending, borrowing, and savings habits;</w:t>
            </w:r>
          </w:p>
        </w:tc>
      </w:tr>
      <w:tr>
        <w:trPr/>
        <w:tc>
          <w:tcPr>
            <w:tcW w:w="20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successfully manage our growth;</w:t>
            </w:r>
          </w:p>
        </w:tc>
      </w:tr>
      <w:tr>
        <w:trPr/>
        <w:tc>
          <w:tcPr>
            <w:tcW w:w="20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bank failures or adverse developments at other banks and related negative publicity about the banking industry in general on investor and depositor sentiment;</w:t>
            </w:r>
          </w:p>
        </w:tc>
      </w:tr>
      <w:tr>
        <w:trPr/>
        <w:tc>
          <w:tcPr>
            <w:tcW w:w="203" w:type="dxa"/>
            <w:tcBorders/>
            <w:vAlign w:val="center"/>
          </w:tcPr>
          <w:p>
            <w:pPr>
              <w:pStyle w:val="TableContents"/>
              <w:bidi w:val="0"/>
              <w:spacing w:before="0" w:after="0"/>
              <w:ind w:left="0" w:right="0" w:hanging="0"/>
              <w:jc w:val="left"/>
              <w:rPr/>
            </w:pPr>
            <w:r>
              <w:rPr/>
              <w:t xml:space="preserve">● </w:t>
            </w:r>
          </w:p>
        </w:tc>
        <w:tc>
          <w:tcPr>
            <w:tcW w:w="100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the ability to adapt to rapid technological changes, including advancements related to artificial intelligence (“AI”), the use of AI models in credit decisioning, customer service, and operations, including risks of model error, bias, regulatory scrutiny under fair lending laws, and third-party AI dependencies, digital banking platforms, and cybersecurity; </w:t>
            </w:r>
          </w:p>
        </w:tc>
      </w:tr>
      <w:tr>
        <w:trPr/>
        <w:tc>
          <w:tcPr>
            <w:tcW w:w="20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risk associated with the evolving regulatory and market environment for digital assets and cryptocurrency, including potential impacts on customer behavior, deposit flows, and our ability to offer or support related products or services;</w:t>
            </w:r>
          </w:p>
        </w:tc>
      </w:tr>
      <w:tr>
        <w:trPr/>
        <w:tc>
          <w:tcPr>
            <w:tcW w:w="20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0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legislation or regulatory changes including, but not limited to shifts in capital requirements, banking regulation, tax laws, or consumer protection laws;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our ability to pay dividends on our common stock;</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quality and composition of our securities portfolio and the impact of adverse changes in the securities markets;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accounting policies and practices adopted by the bank regulatory agencies, the Public Company Accounting Oversight Board or the Financial Accounting Standards Board (“FASB”);</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costs and effects of litigation, including settlements and judgments;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vulnerabilities in our information systems or those of third-party service providers, including disruptions, breaches, or cyberattacks;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inability of key third-party vendors to perform their obligations to us;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effects of climate change, severe weather events, natural disasters, pandemics, epidemics and other public health crises, acts of war or terrorism, domestic political unrest, and other external events;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potential for new or increased tariffs, trade restrictions or geopolitical tensions that could affect economic activity or specific industry sectors;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environmental, social and governance goals and targets;</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economic, competitive, governmental, bank regulatory, consumer and technical factors affecting our operations, pricing, products and services; and</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other risks described elsewhere in this Form 10</w:t>
              <w:noBreakHyphen/>
              <w:t>Q and our other reports filed with or furnished to the SEC, including our Annual Report on Form 10-K for the year ended December 31, 2025 (the “2025 Form 10-K”).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Further, statements about the potential effects of the Company’s proposed merger with Pacific West Bancorp, headquartered in West Linn, Oregon (“Pacific West”) on the Company’s business, financial results, and condition may constitute forward-looking statements and are subject to the risk that the actual effects may differ, possibly materially, from what is reflected in the forward-looking statements due to factors and future developments which are uncertain, unpredictable, and in many cases, beyond the Company’s control, including the following: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expected cost savings, synergies and other financial benefits from the merger might not be realized within the expected time frames or at all;</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governmental approval of the merger may not be obtained, or adverse regulatory conditions may be imposed in connection with governmental approvals of the merger;</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conditions to the closing of the merger may not be satisfied; the shareholders of Pacific West may fail to approve the consummation of the merger;</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integration of the combined company, including personnel changes/retention, might not proceed as planned; and</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combined company might not perform as well as expected.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forward-looking statements in this Form 10</w:t>
        <w:noBreakHyphen/>
        <w:t>Q and in other public statements may prove to be inaccurate because of incorrect assumptions, the factors described above, or other factors that we cannot foresee. Forward-looking statements are based on management’s beliefs and assumptions as of the time they are made. The Company undertakes no obligation to update or revise any forward-looking statement included in this report or to update the reasons why actual results could differ from those contained in such statements, whether as a result of new information, future events or otherwise. In light of these risks, uncertainties and assumptions, the forward-looking statements in this report might not occur and you should not place undue reliance on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Overview</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1st Security Bank including the predecessor to Anchor Bank, one of its banking acquisitions, has been serving the Puget Sound area since 1907.  On July 9, 2012, the Bank converted from mutual to stock ownership, becoming the wholly owned subsidiary of FS Bancorp.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relationship-driven, delivering banking and financial services to families, businesses, and industry niches in suburban communities across the greater Puget Sound area, the Kennewick-Pasco-Richland metropolitan area (also known as the Tri-Cities), and the communities of Goldendale, Vancouver, and White Salmon, Washington, as well as Manzanita, Newport, Ontario, Tillamook and Waldport, Oregon.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its community banking presence, the Company maintains a long-standing indirect consumer lending platform operating primarily throughout the Western United States. Through active community involvement and a broad array of products and services, the Company emphasizes long-term relationships with the families and businesses it serves, working alongside them to meet their evolving financial needs.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strategic focus involves diversifying revenues, expanding lending channels, and enhancing the banking franchise. Management is committed to building varied revenue streams while thoughtfully managing credit, interest rate, and concentration risks. This commitment is reflected in the following priorities: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Growing and diversifying the loan portfolio;</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Maintaining strong asset quality;</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Emphasizing lower cost core deposits to reduce funding costs and support loan growth;</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Capturing customers’ complete relationships through a broad array of products and services, leveraging community involvement, and selectively emphasizing offerings aligned with customers’ banking needs; and</w:t>
            </w:r>
          </w:p>
        </w:tc>
      </w:tr>
      <w:tr>
        <w:trPr/>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00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Expanding into new markets.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diversified lender, the Company specializes in originating one-to-four-family residential loans, CRE mortgages, second mortgages, consumer loans, marine lending, and commercial business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June 30, 2026, the Company's loan portfolio consisted of the following major categories: CRE loans, residential real estate loans, consumer loans, and commercial business loans representing 37.8%, 29.8%, 21.5%, and 10.9% of the portfolio, respectively.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Indirect home improvement loans to finance window, gutter, siding replacement, solar panels, spas, and other improvement renovations represent a large segment of the consumer loan portfolio. These loans are sourced through a contractor/dealer network of 27 active fixture dealerships located throughout Washington, Oregon, California, Idaho, Colorado, Nevada, Arizona, Minnesota, Texas, Utah, Massachusetts, Montana, and New Hampshire. During the three months ended June 30, 2026, the Company originated 1,221 indirect home improvement loans with an aggregate total of $28.9 million. Five contractor/dealers accounted for 72.9% of the dollar volume funded in this category, and three states – Washington, Oregon, and California – represented nearly three-quarters of total loan originations at 33.9%, 25.3%, and 14.6%, respectively.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originates one-to-four-family residential mortgage loans through referrals from real estate agents, financial planners, builders, and existing customers, with retail banking customers also serving as an important source of loan originations. During the three months ended June 30, 2026, the Company originated $202.7 million of one-to-four-family loans (including loans held for sale, loans held for investment, and fixed seconds).  In addition, $2.6 million of loans were brokered to other institutions through the home lending segment. Of the loans originated, $156.1 million were sold to investors, of which $72.7 million were sold to the FNMA and FHLMC with servicing rights retained to maintain and further develop these customer relationships.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one-to-four-family loan originations and refinancing activity increased compared to the prior period, driven by changes in interest rates and economic conditions. Residential construction and development lending, while less common than other origination options, remains an important element of the total loan portfolio.  The Company continues to take a disciplined approach concentrating its efforts on loans to builders and developers in its known market areas. These short-term loans typically carry a maturity of six to 18 months, with disbursements not fully realized at origination, resulting in a short-term reduction in net loans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affected by prevailing economic conditions, as well as government policies and regulations concerning, among other things, monetary and fiscal affairs. Deposit flows are influenced by a number of factors, including interest rates paid on time deposits, other investments, account maturities, and the overall level of personal income and savings. Lending activities are influenced by the demand for funds, the number and quality of lenders, and regional economic cycles. Sources of funds for lending activities include primarily deposits, including brokered deposits, borrowings, payments on loans, and income provided from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earnings are primarily dependent upon net interest income, the difference between interest income and interest expense. Interest income is a function of the balances of loans and investments outstanding during a given period and the yield earned on these loans and investments. Interest expense is a function of the amount of deposits and borrowings outstanding during the same period and interest rates paid on these deposits and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earnings are also affected by fee income from mortgage banking activities, the provision for (reversal of) credit losses, service charges and fees, gains from sales of assets, operating expenses and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Critical Accounting Estimates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the Company’s critical accounting estimates as disclosed in the Company’s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Comparison of Financial Condition at June 30, 2026 and December 31, 2025</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Assets. </w:t>
      </w:r>
      <w:r>
        <w:rPr>
          <w:rFonts w:ascii="Times New Roman" w:hAnsi="Times New Roman"/>
          <w:caps w:val="false"/>
          <w:smallCaps w:val="false"/>
          <w:sz w:val="20"/>
        </w:rPr>
        <w:t>Total assets decreased $17.8 million to $3.18 billion at June 30, 2026, compared to $3.20 billion at December 31, 2025, primarily due to decreases of $19.2 million in securities available-for-sale, $13.2 million in loans held for sale, and $1.5 million in core deposit intangible, partially offset by increases of $6.4 million in FHLB stock, $5.8 million in loans receivable, net, $1.6 million in securities held-to-maturity, $1.5 million in total cash and cash equivalents, and $866,000 in operating lease right-of-use assets.  Loan growth was funded primarily by borrowings, which also replaced a decline in deposit funding during the period.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Loans receivable, net increased $5.8 million to $2.63 billion at June 30, 2026, compared to $2.62 billion at December 31,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80"/>
        <w:jc w:val="left"/>
        <w:rPr/>
      </w:pPr>
      <w:r>
        <w:rPr/>
        <w:t xml:space="preserve">● </w:t>
      </w:r>
      <w:r>
        <w:rPr>
          <w:rFonts w:ascii="Times New Roman" w:hAnsi="Times New Roman"/>
          <w:sz w:val="20"/>
        </w:rPr>
        <w:t>Commercial real estate (“CRE”) loans increased $35.5 million, primarily reflecting:</w:t>
      </w:r>
    </w:p>
    <w:p>
      <w:pPr>
        <w:pStyle w:val="TextBody"/>
        <w:bidi w:val="0"/>
        <w:spacing w:before="0" w:after="0"/>
        <w:ind w:left="0" w:right="0" w:firstLine="360"/>
        <w:jc w:val="left"/>
        <w:rPr/>
      </w:pPr>
      <w:r>
        <w:rPr/>
        <w:t xml:space="preserve">○ </w:t>
      </w:r>
      <w:r>
        <w:rPr>
          <w:rFonts w:ascii="Times New Roman" w:hAnsi="Times New Roman"/>
          <w:sz w:val="20"/>
        </w:rPr>
        <w:t>$16.3 million in commercial and speculative construction and development loans,</w:t>
      </w:r>
    </w:p>
    <w:p>
      <w:pPr>
        <w:pStyle w:val="TextBody"/>
        <w:bidi w:val="0"/>
        <w:spacing w:before="0" w:after="0"/>
        <w:ind w:left="0" w:right="0" w:firstLine="360"/>
        <w:jc w:val="left"/>
        <w:rPr/>
      </w:pPr>
      <w:r>
        <w:rPr/>
        <w:t xml:space="preserve">○ </w:t>
      </w:r>
      <w:r>
        <w:rPr>
          <w:rFonts w:ascii="Times New Roman" w:hAnsi="Times New Roman"/>
          <w:sz w:val="20"/>
        </w:rPr>
        <w:t>$11.1 million in CRE non-owner occupied loans, and </w:t>
      </w:r>
    </w:p>
    <w:p>
      <w:pPr>
        <w:pStyle w:val="TextBody"/>
        <w:bidi w:val="0"/>
        <w:spacing w:before="0" w:after="0"/>
        <w:ind w:left="0" w:right="0" w:firstLine="360"/>
        <w:jc w:val="left"/>
        <w:rPr/>
      </w:pPr>
      <w:r>
        <w:rPr/>
        <w:t xml:space="preserve">○ </w:t>
      </w:r>
      <w:r>
        <w:rPr>
          <w:rFonts w:ascii="Times New Roman" w:hAnsi="Times New Roman"/>
          <w:sz w:val="20"/>
        </w:rPr>
        <w:t>$8.1 million in CRE owner occupied loans.</w:t>
      </w:r>
    </w:p>
    <w:p>
      <w:pPr>
        <w:pStyle w:val="TextBody"/>
        <w:bidi w:val="0"/>
        <w:spacing w:before="0" w:after="0"/>
        <w:ind w:left="0" w:right="0" w:firstLine="360"/>
        <w:jc w:val="left"/>
        <w:rPr/>
      </w:pPr>
      <w:r>
        <w:rPr/>
        <w:t> </w:t>
      </w:r>
    </w:p>
    <w:p>
      <w:pPr>
        <w:pStyle w:val="TextBody"/>
        <w:bidi w:val="0"/>
        <w:spacing w:before="0" w:after="0"/>
        <w:ind w:left="0" w:right="0" w:firstLine="180"/>
        <w:jc w:val="left"/>
        <w:rPr/>
      </w:pPr>
      <w:r>
        <w:rPr/>
        <w:t xml:space="preserve">● </w:t>
      </w:r>
      <w:r>
        <w:rPr>
          <w:rFonts w:ascii="Times New Roman" w:hAnsi="Times New Roman"/>
          <w:sz w:val="20"/>
        </w:rPr>
        <w:t>Residential real estate loans increased $34.1 million, driven by:</w:t>
      </w:r>
    </w:p>
    <w:p>
      <w:pPr>
        <w:pStyle w:val="TextBody"/>
        <w:bidi w:val="0"/>
        <w:spacing w:before="0" w:after="0"/>
        <w:ind w:left="0" w:right="0" w:firstLine="360"/>
        <w:jc w:val="left"/>
        <w:rPr/>
      </w:pPr>
      <w:r>
        <w:rPr/>
        <w:t xml:space="preserve">○ </w:t>
      </w:r>
      <w:r>
        <w:rPr>
          <w:rFonts w:ascii="Times New Roman" w:hAnsi="Times New Roman"/>
          <w:sz w:val="20"/>
        </w:rPr>
        <w:t>$31.8 million in one-to-four-family loans (excluding loans held for sale), and</w:t>
      </w:r>
    </w:p>
    <w:p>
      <w:pPr>
        <w:pStyle w:val="TextBody"/>
        <w:bidi w:val="0"/>
        <w:spacing w:before="0" w:after="0"/>
        <w:ind w:left="0" w:right="0" w:firstLine="360"/>
        <w:jc w:val="left"/>
        <w:rPr/>
      </w:pPr>
      <w:r>
        <w:rPr/>
        <w:t xml:space="preserve">○ </w:t>
      </w:r>
      <w:r>
        <w:rPr>
          <w:rFonts w:ascii="Times New Roman" w:hAnsi="Times New Roman"/>
          <w:sz w:val="20"/>
        </w:rPr>
        <w:t>$2.4 million in residential custom construction loans.</w:t>
      </w:r>
    </w:p>
    <w:p>
      <w:pPr>
        <w:pStyle w:val="TextBody"/>
        <w:bidi w:val="0"/>
        <w:spacing w:before="0" w:after="0"/>
        <w:ind w:left="0" w:right="0" w:firstLine="360"/>
        <w:jc w:val="left"/>
        <w:rPr/>
      </w:pPr>
      <w:r>
        <w:rPr/>
        <w:t> </w:t>
      </w:r>
    </w:p>
    <w:p>
      <w:pPr>
        <w:pStyle w:val="TextBody"/>
        <w:bidi w:val="0"/>
        <w:spacing w:before="0" w:after="0"/>
        <w:ind w:left="360" w:right="0" w:hanging="180"/>
        <w:jc w:val="both"/>
        <w:rPr/>
      </w:pPr>
      <w:r>
        <w:rPr/>
        <w:t>●</w:t>
      </w:r>
      <w:r>
        <w:rPr>
          <w:rFonts w:ascii="Times New Roman" w:hAnsi="Times New Roman"/>
          <w:sz w:val="20"/>
        </w:rPr>
        <w:t>Commercial business loans decreased $40.8 million, reflecting a decrease of $20.9 million in warehouse lending and $19.9 million in commercial and industrial (“C&amp;I”) loans.</w:t>
      </w:r>
    </w:p>
    <w:p>
      <w:pPr>
        <w:pStyle w:val="TextBody"/>
        <w:bidi w:val="0"/>
        <w:spacing w:before="0" w:after="0"/>
        <w:ind w:left="360" w:right="0" w:hanging="180"/>
        <w:jc w:val="both"/>
        <w:rPr/>
      </w:pPr>
      <w:r>
        <w:rPr/>
        <w:t> </w:t>
      </w:r>
    </w:p>
    <w:p>
      <w:pPr>
        <w:pStyle w:val="TextBody"/>
        <w:bidi w:val="0"/>
        <w:spacing w:before="0" w:after="0"/>
        <w:ind w:left="0" w:right="0" w:firstLine="180"/>
        <w:jc w:val="both"/>
        <w:rPr/>
      </w:pPr>
      <w:r>
        <w:rPr/>
        <w:t xml:space="preserve">● </w:t>
      </w:r>
      <w:r>
        <w:rPr>
          <w:rFonts w:ascii="Times New Roman" w:hAnsi="Times New Roman"/>
          <w:sz w:val="20"/>
        </w:rPr>
        <w:t>Consumer loans decreased $23.8 million, primarily due to the decline of $23.7 million in indirect home improvement loans.</w:t>
      </w:r>
    </w:p>
    <w:p>
      <w:pPr>
        <w:pStyle w:val="TextBody"/>
        <w:bidi w:val="0"/>
        <w:spacing w:before="0" w:after="0"/>
        <w:ind w:left="0" w:right="0" w:firstLine="18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 summary, loan growth was concentrated in CRE and one-to-four-family residential lending, while consumer balances declined, driven primarily by a reduction in indirect home improvement loans, reflecting the impact of current economic conditions on consumer demand.</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Total undisbursed construction and development loan commitments decreased $19.9 million to $215.5 million at June 30, 2026, from $235.4 million at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Loans held for sale, consisting of one-to-four-family loans, decreased $13.2 million to $30.5 million at June 30, 2026, from $43.7 million at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one-to-four-family loan originations and refinancing activity increased, compared to the six months ended June 30, 2025, driven by improved mortgage rates. Refinance volume increased $56.6 million or 104.9%, and purchase originations increased $12.0 million or 4.1%, reflecting continued demand in the Company’s market areas.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Originations of one-to-four-family loans for the periods indicated were as follows:</w:t>
      </w:r>
    </w:p>
    <w:p>
      <w:pPr>
        <w:pStyle w:val="TextBody"/>
        <w:bidi w:val="0"/>
        <w:spacing w:before="0" w:after="0"/>
        <w:ind w:left="0" w:right="0" w:hanging="0"/>
        <w:jc w:val="left"/>
        <w:rPr>
          <w:caps w:val="false"/>
          <w:smallCaps w:val="false"/>
        </w:rPr>
      </w:pPr>
      <w:r>
        <w:rPr>
          <w:caps w:val="false"/>
          <w:smallCaps w:val="false"/>
        </w:rPr>
        <w:t> </w:t>
      </w:r>
    </w:p>
    <w:tbl>
      <w:tblPr>
        <w:tblW w:w="7107" w:type="dxa"/>
        <w:jc w:val="left"/>
        <w:tblInd w:w="0" w:type="dxa"/>
        <w:tblLayout w:type="fixed"/>
        <w:tblCellMar>
          <w:top w:w="0" w:type="dxa"/>
          <w:left w:w="0" w:type="dxa"/>
          <w:bottom w:w="0" w:type="dxa"/>
          <w:right w:w="0" w:type="dxa"/>
        </w:tblCellMar>
      </w:tblPr>
      <w:tblGrid>
        <w:gridCol w:w="1805"/>
        <w:gridCol w:w="23"/>
        <w:gridCol w:w="125"/>
        <w:gridCol w:w="695"/>
        <w:gridCol w:w="23"/>
        <w:gridCol w:w="23"/>
        <w:gridCol w:w="28"/>
        <w:gridCol w:w="592"/>
        <w:gridCol w:w="185"/>
        <w:gridCol w:w="23"/>
        <w:gridCol w:w="125"/>
        <w:gridCol w:w="695"/>
        <w:gridCol w:w="23"/>
        <w:gridCol w:w="23"/>
        <w:gridCol w:w="28"/>
        <w:gridCol w:w="592"/>
        <w:gridCol w:w="185"/>
        <w:gridCol w:w="23"/>
        <w:gridCol w:w="139"/>
        <w:gridCol w:w="661"/>
        <w:gridCol w:w="23"/>
        <w:gridCol w:w="23"/>
        <w:gridCol w:w="38"/>
        <w:gridCol w:w="822"/>
        <w:gridCol w:w="185"/>
      </w:tblGrid>
      <w:tr>
        <w:trPr/>
        <w:tc>
          <w:tcPr>
            <w:tcW w:w="1805" w:type="dxa"/>
            <w:tcBorders/>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23" w:type="dxa"/>
            <w:tcBorders/>
            <w:vAlign w:val="center"/>
          </w:tcPr>
          <w:p>
            <w:pPr>
              <w:pStyle w:val="TableContents"/>
              <w:bidi w:val="0"/>
              <w:spacing w:before="0" w:after="0"/>
              <w:ind w:left="0" w:right="0" w:hanging="0"/>
              <w:jc w:val="left"/>
              <w:rPr/>
            </w:pPr>
            <w:r>
              <w:rPr/>
              <w:t>​</w:t>
            </w:r>
          </w:p>
        </w:tc>
        <w:tc>
          <w:tcPr>
            <w:tcW w:w="3180"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Six Months Ended June 30,</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r>
      <w:tr>
        <w:trPr/>
        <w:tc>
          <w:tcPr>
            <w:tcW w:w="180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4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48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9" w:type="dxa"/>
            <w:tcBorders/>
            <w:vAlign w:val="center"/>
          </w:tcPr>
          <w:p>
            <w:pPr>
              <w:pStyle w:val="TableContents"/>
              <w:bidi w:val="0"/>
              <w:spacing w:before="0" w:after="0"/>
              <w:ind w:left="0" w:right="0" w:hanging="0"/>
              <w:jc w:val="left"/>
              <w:rPr/>
            </w:pPr>
            <w:r>
              <w:rPr/>
              <w:t>​</w:t>
            </w:r>
          </w:p>
        </w:tc>
        <w:tc>
          <w:tcPr>
            <w:tcW w:w="661" w:type="dxa"/>
            <w:tcBorders/>
            <w:vAlign w:val="center"/>
          </w:tcPr>
          <w:p>
            <w:pPr>
              <w:pStyle w:val="TableContents"/>
              <w:bidi w:val="0"/>
              <w:spacing w:before="0" w:after="0"/>
              <w:ind w:left="0" w:right="0" w:hanging="0"/>
              <w:jc w:val="center"/>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8" w:type="dxa"/>
            <w:tcBorders/>
            <w:vAlign w:val="center"/>
          </w:tcPr>
          <w:p>
            <w:pPr>
              <w:pStyle w:val="TableContents"/>
              <w:bidi w:val="0"/>
              <w:spacing w:before="0" w:after="0"/>
              <w:ind w:left="0" w:right="0" w:hanging="0"/>
              <w:jc w:val="left"/>
              <w:rPr/>
            </w:pPr>
            <w:r>
              <w:rPr/>
              <w:t>​</w:t>
            </w:r>
          </w:p>
        </w:tc>
        <w:tc>
          <w:tcPr>
            <w:tcW w:w="822"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r>
      <w:tr>
        <w:trPr/>
        <w:tc>
          <w:tcPr>
            <w:tcW w:w="180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Amount</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Percent</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180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Purchase</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302,726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59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73.2</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290,737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8" w:type="dxa"/>
            <w:tcBorders/>
            <w:shd w:fill="CCEEFF" w:val="clear"/>
            <w:vAlign w:val="center"/>
          </w:tcPr>
          <w:p>
            <w:pPr>
              <w:pStyle w:val="TableContents"/>
              <w:bidi w:val="0"/>
              <w:spacing w:before="0" w:after="0"/>
              <w:ind w:left="0" w:right="0" w:hanging="0"/>
              <w:jc w:val="left"/>
              <w:rPr/>
            </w:pPr>
            <w:r>
              <w:rPr/>
              <w:t>​</w:t>
            </w:r>
          </w:p>
        </w:tc>
        <w:tc>
          <w:tcPr>
            <w:tcW w:w="59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84.3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61"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11,989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80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Refinance</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110,605</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26.8</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53,983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9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6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56,622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82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104.9</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80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413,331</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344,720</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9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100.0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68,611</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82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the Company sold $310.8 million of one-to-four-family loans, compared to $219.0 million for the same period in 2025, reflecting higher refinance activity driven by more favorable interest rates.  The Company continues to manage loan production capacity in an effort to maintain a pipeline consistent with market demand.  Gross margin on home loan sales (defined as the margin on loans sold, excluding the impact of deferred loan costs) was 3.01% for the six months ended June 30, 2026, compared to 3.14% for the six months ended June 30, 2025. The compression in gross margin reflects competitive pricing pressure in the current mortgage market as the Company maintained production volume consistent with market demand.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The ACL on loans totaled $31.2 million, or 1.17%, of gross loans receivable (excluding loans held for sale), at June 30, 2026, compared to $31.9 million, or 1.20%, at December 31, 2025. The ACL on unfunded loan commitments decreased $39,000 to $1.7 million at June 30, 2026, from $1.8 million at December 31, 2025.  Total loans 30 days or more past due decreased to $16.6 million, or 0.62% of total loans, from $22.2 million, or 0.84%, at December 31, 2025, reflecting improved credit performance across the broader loan portfolio as the markets respond to current economic conditions and their impact on borrower cash flows.</w:t>
      </w:r>
    </w:p>
    <w:p>
      <w:pPr>
        <w:pStyle w:val="TextBody"/>
        <w:bidi w:val="0"/>
        <w:jc w:val="both"/>
        <w:rPr/>
      </w:pPr>
      <w:r>
        <w:rP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sz w:val="20"/>
        </w:rPr>
        <w:t>Nonperforming loans, consisting solely of nonaccrual loans, decreased $3.1 million to $15.6 million at June 30, 2026, from $18.7 million at December 31, 2025.  The decrease was primarily attributable to a $2.3 million charge-off on a nonperforming commercial construction loan, and a decrease of $1.4 million in nonperforming CRE owner occupied loans, primarily due to loan payoffs, partially offset by an increase of $500,000 in nonperforming indirect home improvement loans. The ratio of nonperforming loans to total gross loans reduced to 0.59% at June 30, 2026, from 0.71% at December 31, 2025.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sz w:val="20"/>
        </w:rPr>
        <w:t>Classified loans totaled $25.0 million at June 30, 2026, compared to $27.3 million at December 31, 2025. The coverage ratio of the ACL on loans to nonperforming loans was 199.2% at June 30, 2026, compared to 170.6% at December 31, 2025. The increase in the coverage ratio primarily reflects the decline in nonperforming loans relative to the ACL on loans.</w:t>
      </w:r>
    </w:p>
    <w:p>
      <w:pPr>
        <w:pStyle w:val="TextBody"/>
        <w:bidi w:val="0"/>
        <w:jc w:val="both"/>
        <w:rPr/>
      </w:pPr>
      <w:r>
        <w:rPr/>
        <w:t xml:space="preserve">  </w:t>
      </w:r>
    </w:p>
    <w:p>
      <w:pPr>
        <w:pStyle w:val="TextBody"/>
        <w:bidi w:val="0"/>
        <w:spacing w:before="0" w:after="0"/>
        <w:ind w:left="0" w:right="0" w:hanging="0"/>
        <w:jc w:val="both"/>
        <w:rPr>
          <w:rFonts w:ascii="Times New Roman" w:hAnsi="Times New Roman"/>
          <w:sz w:val="20"/>
        </w:rPr>
      </w:pPr>
      <w:r>
        <w:rPr>
          <w:rFonts w:ascii="Times New Roman" w:hAnsi="Times New Roman"/>
          <w:sz w:val="20"/>
        </w:rPr>
        <w:t>Overall, asset quality trends reflected improved delinquency and nonperforming loan metrics, continued growth in construction, CRE, and residential loan portfolios, ongoing elevated losses in certain consumer loan portfolios, and continued risk management and monitoring of nonperforming and substandard exposures.</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Liabilities.</w:t>
      </w:r>
      <w:r>
        <w:rPr>
          <w:rFonts w:ascii="Times New Roman" w:hAnsi="Times New Roman"/>
          <w:caps w:val="false"/>
          <w:smallCaps w:val="false"/>
          <w:sz w:val="20"/>
        </w:rPr>
        <w:t xml:space="preserve"> Total liabilities decreased $29.0 million to $2.86 billion at June 30, 2026, from $2.89 billion at December 31, 2025. The loan-to-deposit ratio was approximately 108.6% at June 30, 2026, compared to approximately 100.9% at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deposits decreased $224.8 million to $2.45 billion at June 30, 2026, from $2.67 billion at December 31, 2025, reflecting decreases in most of the deposit categories. Transactional accounts (noninterest-bearing checking, interest-bearing checking and escrow accounts) decreased $54.7 million to $938.8 million at June 30, 2026, from $993.6 million at December 31, 2025, primarily due to decreases of $38.5 million in interest-bearing checking, $17.4 million in noninterest-bearing checking, and an offsetting increase of $1.1 million in escrow accounts related to mortgages serviced, reflecting higher customer balances associated with mortgage servicing activities.  Money market and savings accounts increased $3.3 million to $553.0 million at June 30, 2026, from $549.7 million at December 31, 2025, primarily reflecting a $9.0 million increase in savings account balances, partially offset by a $5.8 million decrease in money market account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Certificates of deposit (“CDs”), which include both retail and non-retail CDs, decreased $173.3 million to $957.1 million at June 30, 2026, from $1.13 billion at December 31, 2025.  Retail CDs decreased $4.3 million to $917.4 million at June 30, 2026, from $921.7 million at December 31, 2025. Non-retail CDs, which include brokered CDs, online CDs and public funds CDs decreased $169.0 million to $39.7 million, compared to $208.7 million at December 31, 2025, primarily due to a decrease of $167.0 million in brokered CDs. Non-retail CDs represented 4.2% and 18.5% of total CDs at June 30, 2026 and December 31, 2025, respectively. The decrease in non-retail CDs reflects the Company’s funding strategy of replacing certain brokered deposits with lower-cost FHLB and FRB borrowings, while continuing to manage liquidity and interest rate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Deposits are summarized as follows at the dates indicated:</w:t>
      </w:r>
    </w:p>
    <w:p>
      <w:pPr>
        <w:pStyle w:val="TextBody"/>
        <w:bidi w:val="0"/>
        <w:spacing w:before="0" w:after="0"/>
        <w:ind w:left="0" w:right="0" w:hanging="0"/>
        <w:jc w:val="left"/>
        <w:rPr/>
      </w:pPr>
      <w:r>
        <w:rPr/>
        <w:t> </w:t>
      </w:r>
    </w:p>
    <w:tbl>
      <w:tblPr>
        <w:tblW w:w="6546" w:type="dxa"/>
        <w:jc w:val="left"/>
        <w:tblInd w:w="0" w:type="dxa"/>
        <w:tblLayout w:type="fixed"/>
        <w:tblCellMar>
          <w:top w:w="0" w:type="dxa"/>
          <w:left w:w="0" w:type="dxa"/>
          <w:bottom w:w="0" w:type="dxa"/>
          <w:right w:w="0" w:type="dxa"/>
        </w:tblCellMar>
      </w:tblPr>
      <w:tblGrid>
        <w:gridCol w:w="4355"/>
        <w:gridCol w:w="23"/>
        <w:gridCol w:w="125"/>
        <w:gridCol w:w="845"/>
        <w:gridCol w:w="23"/>
        <w:gridCol w:w="23"/>
        <w:gridCol w:w="145"/>
        <w:gridCol w:w="984"/>
        <w:gridCol w:w="23"/>
      </w:tblGrid>
      <w:tr>
        <w:trPr/>
        <w:tc>
          <w:tcPr>
            <w:tcW w:w="4355" w:type="dxa"/>
            <w:tcBorders/>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December 31,</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35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Noninterest-bearing checking</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629,799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647,197</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 xml:space="preserve">Interest-bearing checking </w:t>
            </w:r>
            <w:r>
              <w:rPr>
                <w:rFonts w:ascii="Times New Roman" w:hAnsi="Times New Roman"/>
                <w:caps w:val="false"/>
                <w:smallCaps w:val="false"/>
                <w:position w:val="7"/>
                <w:sz w:val="16"/>
                <w:sz w:val="20"/>
              </w:rPr>
              <w:t>(1)</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296,988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335,449</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Savings</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173,091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164,056</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Money market</w:t>
            </w:r>
            <w:r>
              <w:rPr>
                <w:rFonts w:ascii="Times New Roman" w:hAnsi="Times New Roman"/>
                <w:caps w:val="false"/>
                <w:smallCaps w:val="false"/>
                <w:position w:val="7"/>
                <w:sz w:val="16"/>
                <w:sz w:val="20"/>
              </w:rPr>
              <w:t xml:space="preserve"> (2)</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379,860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385,618</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 xml:space="preserve">Certificates of deposit less than $100,000 </w:t>
            </w:r>
            <w:r>
              <w:rPr>
                <w:rFonts w:ascii="Times New Roman" w:hAnsi="Times New Roman"/>
                <w:caps w:val="false"/>
                <w:smallCaps w:val="false"/>
                <w:position w:val="7"/>
                <w:sz w:val="16"/>
                <w:sz w:val="20"/>
              </w:rPr>
              <w:t>(3)</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348,577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512,808</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Certificates of deposit of $100,000 through $250,000</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448,207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9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452,666</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 xml:space="preserve">Certificates of deposit greater than $250,000 </w:t>
            </w:r>
            <w:r>
              <w:rPr>
                <w:rFonts w:ascii="Times New Roman" w:hAnsi="Times New Roman"/>
                <w:caps w:val="false"/>
                <w:smallCaps w:val="false"/>
                <w:position w:val="7"/>
                <w:sz w:val="16"/>
                <w:sz w:val="20"/>
              </w:rPr>
              <w:t>(4)</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160,303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9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164,922</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35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 xml:space="preserve">Escrow accounts related to mortgages serviced </w:t>
            </w:r>
            <w:r>
              <w:rPr>
                <w:rFonts w:ascii="Times New Roman" w:hAnsi="Times New Roman"/>
                <w:caps w:val="false"/>
                <w:smallCaps w:val="false"/>
                <w:position w:val="7"/>
                <w:sz w:val="16"/>
                <w:sz w:val="20"/>
              </w:rPr>
              <w:t>(5)</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12,057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10,926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r>
      <w:tr>
        <w:trPr/>
        <w:tc>
          <w:tcPr>
            <w:tcW w:w="4355"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Total</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2,448,882</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2,673,642</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r>
    </w:tbl>
    <w:p>
      <w:pPr>
        <w:pStyle w:val="HorizontalLine"/>
        <w:pBdr>
          <w:bottom w:val="double" w:sz="2" w:space="0" w:color="808080"/>
        </w:pBdr>
        <w:bidi w:val="0"/>
        <w:spacing w:before="0" w:after="283"/>
        <w:jc w:val="left"/>
        <w:rPr/>
      </w:pPr>
      <w:r>
        <w:rPr/>
      </w:r>
    </w:p>
    <w:tbl>
      <w:tblPr>
        <w:tblW w:w="9880" w:type="dxa"/>
        <w:jc w:val="left"/>
        <w:tblInd w:w="0" w:type="dxa"/>
        <w:tblLayout w:type="fixed"/>
        <w:tblCellMar>
          <w:top w:w="0" w:type="dxa"/>
          <w:left w:w="0" w:type="dxa"/>
          <w:bottom w:w="0" w:type="dxa"/>
          <w:right w:w="0" w:type="dxa"/>
        </w:tblCellMar>
      </w:tblPr>
      <w:tblGrid>
        <w:gridCol w:w="245"/>
        <w:gridCol w:w="963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6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$87.3 million and $140.2 million of brokered deposits at June 30, 2026 and December 31, 2025, respectively.</w:t>
            </w:r>
          </w:p>
        </w:tc>
      </w:tr>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6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Includes $4.0 million and $20.3 million of brokered deposits at June 30, 2026 and December 31, 2025, respectively.</w:t>
            </w:r>
          </w:p>
        </w:tc>
      </w:tr>
      <w:tr>
        <w:trPr/>
        <w:tc>
          <w:tcPr>
            <w:tcW w:w="245" w:type="dxa"/>
            <w:tcBorders/>
            <w:vAlign w:val="center"/>
          </w:tcPr>
          <w:p>
            <w:pPr>
              <w:pStyle w:val="TableContents"/>
              <w:bidi w:val="0"/>
              <w:spacing w:before="0" w:after="283"/>
              <w:jc w:val="left"/>
              <w:rPr>
                <w:sz w:val="20"/>
              </w:rPr>
            </w:pPr>
            <w:r>
              <w:rPr>
                <w:sz w:val="20"/>
              </w:rPr>
              <w:t>(3)</w:t>
            </w:r>
          </w:p>
        </w:tc>
        <w:tc>
          <w:tcPr>
            <w:tcW w:w="9635" w:type="dxa"/>
            <w:tcBorders/>
            <w:vAlign w:val="center"/>
          </w:tcPr>
          <w:p>
            <w:pPr>
              <w:pStyle w:val="TableContents"/>
              <w:bidi w:val="0"/>
              <w:spacing w:before="0" w:after="283"/>
              <w:jc w:val="left"/>
              <w:rPr>
                <w:sz w:val="20"/>
              </w:rPr>
            </w:pPr>
            <w:r>
              <w:rPr>
                <w:sz w:val="20"/>
              </w:rPr>
              <w:t>Includes $35.1 million and $202.1 million of brokered deposits at June 30, 2026 and December 31, 2025, respectively.</w:t>
            </w:r>
          </w:p>
        </w:tc>
      </w:tr>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96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CDs that meet or exceed the FDIC insurance limit.</w:t>
            </w:r>
          </w:p>
        </w:tc>
      </w:tr>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96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Noninterest-bearing checking.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 had uninsured deposits of approximately $719.5 million or 29.4% of total deposits, at June 30, 2026, compared to approximately $718.1 million or 26.9% of total deposits at December 31, 2025. The uninsured amounts are estimates based on the methodologies and assumptions used for the Bank’s regulatory reporting requirements.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Borrowings increased $195.2 million to $324.5 million at June 30, 2026, from $129.3 million at December 31, 2025.  The increase reflects a shift toward FHLB and FRB borrowings, which offered more competitive rates than brokered deposits during the period, consistent with the Company's funding strategy.  At June 30, 2026, borrowings were comprised of FHLB and FRB advances.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i/>
          <w:caps w:val="false"/>
          <w:smallCaps w:val="false"/>
          <w:sz w:val="20"/>
        </w:rPr>
        <w:t>Stockholders</w:t>
      </w:r>
      <w:r>
        <w:rPr>
          <w:rFonts w:ascii="Times New Roman;Times;serif" w:hAnsi="Times New Roman;Times;serif"/>
          <w:caps w:val="false"/>
          <w:smallCaps w:val="false"/>
          <w:sz w:val="20"/>
        </w:rPr>
        <w:t xml:space="preserve">’ </w:t>
      </w:r>
      <w:r>
        <w:rPr>
          <w:rFonts w:ascii="Times New Roman;Times;serif" w:hAnsi="Times New Roman;Times;serif"/>
          <w:b/>
          <w:i/>
          <w:caps w:val="false"/>
          <w:smallCaps w:val="false"/>
          <w:sz w:val="20"/>
        </w:rPr>
        <w:t>Equity.</w:t>
      </w:r>
      <w:r>
        <w:rPr>
          <w:rFonts w:ascii="Times New Roman;Times;serif" w:hAnsi="Times New Roman;Times;serif"/>
          <w:caps w:val="false"/>
          <w:smallCaps w:val="false"/>
          <w:sz w:val="20"/>
        </w:rPr>
        <w:t xml:space="preserve"> Total stockholders’ equity increased $11.3 million to $319.0 million at June 30, 2026, from $307.7 million at December 31, 2025.  The increase primarily reflects net income of $15.8 million. Declines in the fair value of available-for-sale securities recorded in accumulated other comprehensive income (“AOCI”) were largely offset by improvements in the fair value of interest rate swap cash flow hedges, resulting in a net improvement of $4.1 million, net of tax.  Gains and losses in fair value reflect changes in market interest rates during the periods.  The increase in shareholders’ equity was partially offset by cash dividends paid totaling $4.3 million, and share repurchases of $4.3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Book value per common share was $43.57 at June 30, 2026, compared to $41.55 at December 31, 2025.  The calculation of book value per share at June 30, 2026, was based on 7,320,801 common shares, derived by subtracting 102,971 of unvested restricted stock shares from the 7,423,772 reported common shares outstanding as of that date. Similarly, the book value per share at December 31, 2025, was calculated based on 7,404,548 common shares, after deducting 102,971 of unvested restricted stock shares from the 7,507,519 reported common shares outstanding as of that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Comparison of Results of Operations for the Three Months Ended June 30, 2026 and 2025</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General. </w:t>
      </w:r>
      <w:r>
        <w:rPr>
          <w:rFonts w:ascii="Times New Roman" w:hAnsi="Times New Roman"/>
          <w:caps w:val="false"/>
          <w:smallCaps w:val="false"/>
          <w:sz w:val="20"/>
        </w:rPr>
        <w:t>Net income was $7.9 million for the three months ended June 30, 2026, compared to $7.7 million for the three months ended June 30, 2025. The increase was primarily due to a $980,000, or 19.0%, increase in total noninterest income and a $536,000 increase in net interest income, partially offset by a $620,000 increase in provision for credit losses, a $602,000, or 2.4%, increase in total noninterest expense and an $86,000 increase in provision for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Average Balances, Interest and Average Yields/Cost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for the periods indicated, information regarding average balances of assets and liabilities, as well as the total dollar amounts of interest income from average interest-earning assets and interest expense on average interest-bearing liabilities, resultant yields, interest rate spread, net interest margin (otherwise known as net yield on interest-earning assets), and the ratio of average interest-earning assets to average interest-bearing liabilities. Also presented is the weighted average yield on interest-earning assets, rates paid on interest-bearing liabilities and the resultant spread at for the periods presented. Average balances are daily average balances. The yields on tax-exempt municipal bonds have not been computed on a tax equivalent basis.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961"/>
        <w:gridCol w:w="23"/>
        <w:gridCol w:w="189"/>
        <w:gridCol w:w="1283"/>
        <w:gridCol w:w="185"/>
        <w:gridCol w:w="23"/>
        <w:gridCol w:w="179"/>
        <w:gridCol w:w="845"/>
        <w:gridCol w:w="23"/>
        <w:gridCol w:w="23"/>
        <w:gridCol w:w="37"/>
        <w:gridCol w:w="624"/>
        <w:gridCol w:w="185"/>
        <w:gridCol w:w="23"/>
        <w:gridCol w:w="189"/>
        <w:gridCol w:w="1283"/>
        <w:gridCol w:w="185"/>
        <w:gridCol w:w="23"/>
        <w:gridCol w:w="179"/>
        <w:gridCol w:w="845"/>
        <w:gridCol w:w="23"/>
        <w:gridCol w:w="23"/>
        <w:gridCol w:w="37"/>
        <w:gridCol w:w="624"/>
        <w:gridCol w:w="191"/>
      </w:tblGrid>
      <w:tr>
        <w:trPr/>
        <w:tc>
          <w:tcPr>
            <w:tcW w:w="2961" w:type="dxa"/>
            <w:tcBorders/>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23" w:type="dxa"/>
            <w:tcBorders/>
            <w:vAlign w:val="center"/>
          </w:tcPr>
          <w:p>
            <w:pPr>
              <w:pStyle w:val="TableContents"/>
              <w:bidi w:val="0"/>
              <w:spacing w:before="0" w:after="0"/>
              <w:ind w:left="0" w:right="0" w:hanging="0"/>
              <w:jc w:val="left"/>
              <w:rPr/>
            </w:pPr>
            <w:r>
              <w:rPr/>
              <w:t>​</w:t>
            </w:r>
          </w:p>
        </w:tc>
        <w:tc>
          <w:tcPr>
            <w:tcW w:w="7030"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Three Months Ended</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961"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341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2026</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411"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June 30, 2025</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961" w:type="dxa"/>
            <w:tcBorders/>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Average Balances</w:t>
            </w:r>
          </w:p>
        </w:tc>
        <w:tc>
          <w:tcPr>
            <w:tcW w:w="23" w:type="dxa"/>
            <w:tcBorders/>
            <w:vAlign w:val="center"/>
          </w:tcPr>
          <w:p>
            <w:pPr>
              <w:pStyle w:val="TableContents"/>
              <w:bidi w:val="0"/>
              <w:spacing w:before="0" w:after="0"/>
              <w:ind w:left="0" w:right="0" w:hanging="0"/>
              <w:jc w:val="left"/>
              <w:rPr/>
            </w:pPr>
            <w:r>
              <w:rPr/>
              <w:t>​</w:t>
            </w:r>
          </w:p>
        </w:tc>
        <w:tc>
          <w:tcPr>
            <w:tcW w:w="14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 Balance Outstanding</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Interest Earned/ Paid</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Yield/ Rate</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4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 Balance Outstanding</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Interest Earned/ Paid</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Yield/ Rate</w:t>
            </w:r>
          </w:p>
        </w:tc>
        <w:tc>
          <w:tcPr>
            <w:tcW w:w="191"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96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ASSETS</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lef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lef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6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 xml:space="preserve">Loans receivable, net and loans held for sale </w:t>
            </w:r>
            <w:r>
              <w:rPr>
                <w:rFonts w:ascii="Times New Roman" w:hAnsi="Times New Roman"/>
                <w:caps w:val="false"/>
                <w:smallCaps w:val="false"/>
                <w:position w:val="7"/>
                <w:sz w:val="16"/>
                <w:sz w:val="20"/>
              </w:rPr>
              <w:t>(1) (2)</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2,695,907</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46,202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6.87</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2,613,121</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45,038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6.91</w:t>
            </w:r>
          </w:p>
        </w:tc>
        <w:tc>
          <w:tcPr>
            <w:tcW w:w="1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6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 xml:space="preserve">Taxable investment securities </w:t>
            </w:r>
            <w:r>
              <w:rPr>
                <w:rFonts w:ascii="Times New Roman" w:hAnsi="Times New Roman"/>
                <w:caps w:val="false"/>
                <w:smallCaps w:val="false"/>
                <w:position w:val="7"/>
                <w:sz w:val="16"/>
                <w:sz w:val="20"/>
              </w:rPr>
              <w:t>(3)(4)</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245,713</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2,639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275,951</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4.10</w:t>
            </w:r>
          </w:p>
        </w:tc>
        <w:tc>
          <w:tcPr>
            <w:tcW w:w="1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6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 xml:space="preserve">Tax exempt securities </w:t>
            </w:r>
            <w:r>
              <w:rPr>
                <w:rFonts w:ascii="Times New Roman" w:hAnsi="Times New Roman"/>
                <w:caps w:val="false"/>
                <w:smallCaps w:val="false"/>
                <w:position w:val="7"/>
                <w:sz w:val="16"/>
                <w:sz w:val="20"/>
              </w:rPr>
              <w:t>(3)</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pPr>
            <w:r>
              <w:rPr/>
              <w:t>​</w:t>
            </w:r>
          </w:p>
        </w:tc>
        <w:tc>
          <w:tcPr>
            <w:tcW w:w="12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77,460</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2.32</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pPr>
            <w:r>
              <w:rPr/>
              <w:t>​</w:t>
            </w:r>
          </w:p>
        </w:tc>
        <w:tc>
          <w:tcPr>
            <w:tcW w:w="12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78,155</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w:t>
            </w:r>
          </w:p>
        </w:tc>
        <w:tc>
          <w:tcPr>
            <w:tcW w:w="1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6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FHLB stock</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11,323</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8,775</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9.23</w:t>
            </w:r>
          </w:p>
        </w:tc>
        <w:tc>
          <w:tcPr>
            <w:tcW w:w="1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6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Interest-bearing deposits at other financial institutions</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13,806</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3.37</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19,502</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203</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4.18</w:t>
            </w:r>
          </w:p>
        </w:tc>
        <w:tc>
          <w:tcPr>
            <w:tcW w:w="1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6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interest-earning assets</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3,044,209</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49,662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6.54</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2,995,504</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48,703</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6.52</w:t>
            </w:r>
          </w:p>
        </w:tc>
        <w:tc>
          <w:tcPr>
            <w:tcW w:w="1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6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Noninterest-earning assets</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136,315</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120,856</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pPr>
            <w:r>
              <w:rPr/>
              <w:t>​</w:t>
            </w:r>
          </w:p>
        </w:tc>
        <w:tc>
          <w:tcPr>
            <w:tcW w:w="191" w:type="dxa"/>
            <w:tcBorders/>
            <w:shd w:fill="FFFFFF" w:val="clear"/>
            <w:vAlign w:val="center"/>
          </w:tcPr>
          <w:p>
            <w:pPr>
              <w:pStyle w:val="TableContents"/>
              <w:bidi w:val="0"/>
              <w:spacing w:before="0" w:after="0"/>
              <w:ind w:left="0" w:right="0" w:hanging="0"/>
              <w:jc w:val="left"/>
              <w:rPr/>
            </w:pPr>
            <w:r>
              <w:rPr/>
              <w:t>​</w:t>
            </w:r>
          </w:p>
        </w:tc>
      </w:tr>
      <w:tr>
        <w:trPr/>
        <w:tc>
          <w:tcPr>
            <w:tcW w:w="2961"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3,180,524</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3,116,360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61"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pPr>
            <w:r>
              <w:rPr/>
              <w:t>​</w:t>
            </w:r>
          </w:p>
        </w:tc>
        <w:tc>
          <w:tcPr>
            <w:tcW w:w="1283" w:type="dxa"/>
            <w:tcBorders/>
            <w:shd w:fill="FFFFFF" w:val="clear"/>
            <w:vAlign w:val="center"/>
          </w:tcPr>
          <w:p>
            <w:pPr>
              <w:pStyle w:val="TableContents"/>
              <w:bidi w:val="0"/>
              <w:spacing w:before="0" w:after="0"/>
              <w:ind w:left="0" w:right="0" w:hanging="0"/>
              <w:jc w:val="left"/>
              <w:rPr/>
            </w:pPr>
            <w:r>
              <w:rPr/>
              <w:t>​</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left"/>
              <w:rPr/>
            </w:pPr>
            <w:r>
              <w:rPr/>
              <w:t>​</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pPr>
            <w:r>
              <w:rPr/>
              <w:t>​</w:t>
            </w:r>
          </w:p>
        </w:tc>
        <w:tc>
          <w:tcPr>
            <w:tcW w:w="1283" w:type="dxa"/>
            <w:tcBorders/>
            <w:shd w:fill="FFFFFF" w:val="clear"/>
            <w:vAlign w:val="center"/>
          </w:tcPr>
          <w:p>
            <w:pPr>
              <w:pStyle w:val="TableContents"/>
              <w:bidi w:val="0"/>
              <w:spacing w:before="0" w:after="0"/>
              <w:ind w:left="0" w:right="0" w:hanging="0"/>
              <w:jc w:val="left"/>
              <w:rPr/>
            </w:pPr>
            <w:r>
              <w:rPr/>
              <w:t>​</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left"/>
              <w:rPr/>
            </w:pPr>
            <w:r>
              <w:rPr/>
              <w:t>​</w:t>
            </w:r>
          </w:p>
        </w:tc>
        <w:tc>
          <w:tcPr>
            <w:tcW w:w="191" w:type="dxa"/>
            <w:tcBorders/>
            <w:shd w:fill="FFFFFF" w:val="clear"/>
            <w:vAlign w:val="center"/>
          </w:tcPr>
          <w:p>
            <w:pPr>
              <w:pStyle w:val="TableContents"/>
              <w:bidi w:val="0"/>
              <w:spacing w:before="0" w:after="0"/>
              <w:ind w:left="0" w:right="0" w:hanging="0"/>
              <w:jc w:val="left"/>
              <w:rPr/>
            </w:pPr>
            <w:r>
              <w:rPr/>
              <w:t>​</w:t>
            </w:r>
          </w:p>
        </w:tc>
      </w:tr>
      <w:tr>
        <w:trPr/>
        <w:tc>
          <w:tcPr>
            <w:tcW w:w="296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Savings and money market</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553,563</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2,364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504,155</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w:t>
            </w:r>
          </w:p>
        </w:tc>
        <w:tc>
          <w:tcPr>
            <w:tcW w:w="1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6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Interest-bearing checking</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pPr>
            <w:r>
              <w:rPr/>
              <w:t>​</w:t>
            </w:r>
          </w:p>
        </w:tc>
        <w:tc>
          <w:tcPr>
            <w:tcW w:w="12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314,839</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2.54</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pPr>
            <w:r>
              <w:rPr/>
              <w:t>​</w:t>
            </w:r>
          </w:p>
        </w:tc>
        <w:tc>
          <w:tcPr>
            <w:tcW w:w="12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199,178</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w:t>
            </w:r>
          </w:p>
        </w:tc>
        <w:tc>
          <w:tcPr>
            <w:tcW w:w="1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6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Certificates of deposit</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1,042,651</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9,550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1,221,253</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11,620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3.82</w:t>
            </w:r>
          </w:p>
        </w:tc>
        <w:tc>
          <w:tcPr>
            <w:tcW w:w="1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6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Borrowings</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pPr>
            <w:r>
              <w:rPr/>
              <w:t>​</w:t>
            </w:r>
          </w:p>
        </w:tc>
        <w:tc>
          <w:tcPr>
            <w:tcW w:w="12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224,176</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2,197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3.93</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pPr>
            <w:r>
              <w:rPr/>
              <w:t>​</w:t>
            </w:r>
          </w:p>
        </w:tc>
        <w:tc>
          <w:tcPr>
            <w:tcW w:w="12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150,492</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4.22</w:t>
            </w:r>
          </w:p>
        </w:tc>
        <w:tc>
          <w:tcPr>
            <w:tcW w:w="1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6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Subordinated notes</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49,683</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909</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7.34</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49,617</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3.93</w:t>
            </w:r>
          </w:p>
        </w:tc>
        <w:tc>
          <w:tcPr>
            <w:tcW w:w="191"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61"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interest-bearing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pPr>
            <w:r>
              <w:rPr/>
              <w:t>​</w:t>
            </w:r>
          </w:p>
        </w:tc>
        <w:tc>
          <w:tcPr>
            <w:tcW w:w="12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2,184,912</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17,014</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3.12</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pPr>
            <w:r>
              <w:rPr/>
              <w:t>​</w:t>
            </w:r>
          </w:p>
        </w:tc>
        <w:tc>
          <w:tcPr>
            <w:tcW w:w="12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2,124,695</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4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16,591</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3.13</w:t>
            </w:r>
          </w:p>
        </w:tc>
        <w:tc>
          <w:tcPr>
            <w:tcW w:w="1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61"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Noninterest-bearing accounts</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644,215</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657,820</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61"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Other noninterest-bearing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31,061</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28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32,700</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pPr>
            <w:r>
              <w:rPr/>
              <w:t>​</w:t>
            </w:r>
          </w:p>
        </w:tc>
        <w:tc>
          <w:tcPr>
            <w:tcW w:w="191" w:type="dxa"/>
            <w:tcBorders/>
            <w:shd w:fill="FFFFFF" w:val="clear"/>
            <w:vAlign w:val="center"/>
          </w:tcPr>
          <w:p>
            <w:pPr>
              <w:pStyle w:val="TableContents"/>
              <w:bidi w:val="0"/>
              <w:spacing w:before="0" w:after="0"/>
              <w:ind w:left="0" w:right="0" w:hanging="0"/>
              <w:jc w:val="left"/>
              <w:rPr/>
            </w:pPr>
            <w:r>
              <w:rPr/>
              <w:t>​</w:t>
            </w:r>
          </w:p>
        </w:tc>
      </w:tr>
      <w:tr>
        <w:trPr/>
        <w:tc>
          <w:tcPr>
            <w:tcW w:w="2961"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Total liabilities</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2,860,188</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8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2,815,215</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shd w:fill="CCEEFF" w:val="clear"/>
            <w:vAlign w:val="center"/>
          </w:tcPr>
          <w:p>
            <w:pPr>
              <w:pStyle w:val="TableContents"/>
              <w:bidi w:val="0"/>
              <w:spacing w:before="0" w:after="0"/>
              <w:ind w:left="0" w:right="0" w:hanging="0"/>
              <w:jc w:val="left"/>
              <w:rPr/>
            </w:pPr>
            <w:r>
              <w:rPr/>
              <w:t>​</w:t>
            </w:r>
          </w:p>
        </w:tc>
        <w:tc>
          <w:tcPr>
            <w:tcW w:w="624" w:type="dxa"/>
            <w:tcBorders/>
            <w:shd w:fill="CCEEFF" w:val="clear"/>
            <w:vAlign w:val="center"/>
          </w:tcPr>
          <w:p>
            <w:pPr>
              <w:pStyle w:val="TableContents"/>
              <w:bidi w:val="0"/>
              <w:spacing w:before="0" w:after="0"/>
              <w:ind w:left="0" w:right="0" w:hanging="0"/>
              <w:jc w:val="right"/>
              <w:rPr/>
            </w:pPr>
            <w:r>
              <w:rPr/>
              <w:t>​</w:t>
            </w:r>
          </w:p>
        </w:tc>
        <w:tc>
          <w:tcPr>
            <w:tcW w:w="191" w:type="dxa"/>
            <w:tcBorders/>
            <w:shd w:fill="CCEEFF" w:val="clear"/>
            <w:vAlign w:val="center"/>
          </w:tcPr>
          <w:p>
            <w:pPr>
              <w:pStyle w:val="TableContents"/>
              <w:bidi w:val="0"/>
              <w:spacing w:before="0" w:after="0"/>
              <w:ind w:left="0" w:right="0" w:hanging="0"/>
              <w:jc w:val="left"/>
              <w:rPr/>
            </w:pPr>
            <w:r>
              <w:rPr/>
              <w:t>​</w:t>
            </w:r>
          </w:p>
        </w:tc>
      </w:tr>
      <w:tr>
        <w:trPr/>
        <w:tc>
          <w:tcPr>
            <w:tcW w:w="2961"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interest income</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pPr>
            <w:r>
              <w:rPr/>
              <w:t>​</w:t>
            </w:r>
          </w:p>
        </w:tc>
        <w:tc>
          <w:tcPr>
            <w:tcW w:w="1283" w:type="dxa"/>
            <w:tcBorders/>
            <w:shd w:fill="FFFFFF" w:val="cle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32,648</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pPr>
            <w:r>
              <w:rPr/>
              <w:t>​</w:t>
            </w:r>
          </w:p>
        </w:tc>
        <w:tc>
          <w:tcPr>
            <w:tcW w:w="1283" w:type="dxa"/>
            <w:tcBorders/>
            <w:shd w:fill="FFFFFF" w:val="cle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32,112</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pPr>
            <w:r>
              <w:rPr/>
              <w:t>​</w:t>
            </w:r>
          </w:p>
        </w:tc>
        <w:tc>
          <w:tcPr>
            <w:tcW w:w="191" w:type="dxa"/>
            <w:tcBorders/>
            <w:shd w:fill="FFFFFF" w:val="clear"/>
            <w:vAlign w:val="center"/>
          </w:tcPr>
          <w:p>
            <w:pPr>
              <w:pStyle w:val="TableContents"/>
              <w:bidi w:val="0"/>
              <w:spacing w:before="0" w:after="0"/>
              <w:ind w:left="0" w:right="0" w:hanging="0"/>
              <w:jc w:val="left"/>
              <w:rPr/>
            </w:pPr>
            <w:r>
              <w:rPr/>
              <w:t>​</w:t>
            </w:r>
          </w:p>
        </w:tc>
      </w:tr>
      <w:tr>
        <w:trPr/>
        <w:tc>
          <w:tcPr>
            <w:tcW w:w="296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interest rate spread</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3.42</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3.39</w:t>
            </w:r>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61"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earning assets</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8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859,297</w:t>
            </w:r>
          </w:p>
        </w:tc>
        <w:tc>
          <w:tcPr>
            <w:tcW w:w="18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8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870,809</w:t>
            </w:r>
          </w:p>
        </w:tc>
        <w:tc>
          <w:tcPr>
            <w:tcW w:w="18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pPr>
            <w:r>
              <w:rPr/>
              <w:t>​</w:t>
            </w:r>
          </w:p>
        </w:tc>
        <w:tc>
          <w:tcPr>
            <w:tcW w:w="191" w:type="dxa"/>
            <w:tcBorders/>
            <w:shd w:fill="FFFFFF" w:val="clear"/>
            <w:vAlign w:val="center"/>
          </w:tcPr>
          <w:p>
            <w:pPr>
              <w:pStyle w:val="TableContents"/>
              <w:bidi w:val="0"/>
              <w:spacing w:before="0" w:after="0"/>
              <w:ind w:left="0" w:right="0" w:hanging="0"/>
              <w:jc w:val="left"/>
              <w:rPr/>
            </w:pPr>
            <w:r>
              <w:rPr/>
              <w:t>​</w:t>
            </w:r>
          </w:p>
        </w:tc>
      </w:tr>
      <w:tr>
        <w:trPr/>
        <w:tc>
          <w:tcPr>
            <w:tcW w:w="2961" w:type="dxa"/>
            <w:tcBorders/>
            <w:shd w:fill="CCEE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Net interest margin</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4.30</w:t>
            </w:r>
          </w:p>
        </w:tc>
        <w:tc>
          <w:tcPr>
            <w:tcW w:w="18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vAlign w:val="center"/>
          </w:tcPr>
          <w:p>
            <w:pPr>
              <w:pStyle w:val="TableContents"/>
              <w:bidi w:val="0"/>
              <w:spacing w:before="0" w:after="0"/>
              <w:ind w:left="0" w:right="0" w:hanging="0"/>
              <w:jc w:val="left"/>
              <w:rPr/>
            </w:pPr>
            <w:r>
              <w:rPr/>
              <w:t>​</w:t>
            </w:r>
          </w:p>
        </w:tc>
        <w:tc>
          <w:tcPr>
            <w:tcW w:w="1283" w:type="dxa"/>
            <w:tcBorders/>
            <w:shd w:fill="CCEEFF" w:val="clear"/>
            <w:vAlign w:val="center"/>
          </w:tcPr>
          <w:p>
            <w:pPr>
              <w:pStyle w:val="TableContents"/>
              <w:bidi w:val="0"/>
              <w:spacing w:before="0" w:after="0"/>
              <w:ind w:left="0" w:right="0" w:hanging="0"/>
              <w:jc w:val="right"/>
              <w:rPr/>
            </w:pPr>
            <w:r>
              <w:rPr/>
              <w:t>​</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9" w:type="dxa"/>
            <w:tcBorders/>
            <w:shd w:fill="CCEEFF" w:val="clear"/>
            <w:vAlign w:val="center"/>
          </w:tcPr>
          <w:p>
            <w:pPr>
              <w:pStyle w:val="TableContents"/>
              <w:bidi w:val="0"/>
              <w:spacing w:before="0" w:after="0"/>
              <w:ind w:left="0" w:right="0" w:hanging="0"/>
              <w:jc w:val="left"/>
              <w:rPr/>
            </w:pPr>
            <w:r>
              <w:rPr/>
              <w:t>​</w:t>
            </w:r>
          </w:p>
        </w:tc>
        <w:tc>
          <w:tcPr>
            <w:tcW w:w="84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2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4.30</w:t>
            </w:r>
          </w:p>
        </w:tc>
        <w:tc>
          <w:tcPr>
            <w:tcW w:w="19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61" w:type="dxa"/>
            <w:tcBorders/>
            <w:shd w:fill="FFFFFF" w:val="clear"/>
            <w:vAlign w:val="center"/>
          </w:tcPr>
          <w:p>
            <w:pPr>
              <w:pStyle w:val="TableContents"/>
              <w:bidi w:val="0"/>
              <w:spacing w:before="0" w:after="0"/>
              <w:jc w:val="left"/>
              <w:rPr>
                <w:rFonts w:ascii="Times New Roman" w:hAnsi="Times New Roman"/>
                <w:b/>
                <w:caps w:val="false"/>
                <w:smallCaps w:val="false"/>
                <w:sz w:val="20"/>
              </w:rPr>
            </w:pPr>
            <w:r>
              <w:rPr>
                <w:rFonts w:ascii="Times New Roman" w:hAnsi="Times New Roman"/>
                <w:b/>
                <w:caps w:val="false"/>
                <w:smallCaps w:val="false"/>
                <w:sz w:val="20"/>
              </w:rPr>
              <w:t>Average interest-earning assets to average interest-bearing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pPr>
            <w:r>
              <w:rPr/>
              <w:t>​</w:t>
            </w:r>
          </w:p>
        </w:tc>
        <w:tc>
          <w:tcPr>
            <w:tcW w:w="12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139.33</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pPr>
            <w:r>
              <w:rPr/>
              <w:t>​</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vAlign w:val="center"/>
          </w:tcPr>
          <w:p>
            <w:pPr>
              <w:pStyle w:val="TableContents"/>
              <w:bidi w:val="0"/>
              <w:spacing w:before="0" w:after="0"/>
              <w:ind w:left="0" w:right="0" w:hanging="0"/>
              <w:jc w:val="left"/>
              <w:rPr/>
            </w:pPr>
            <w:r>
              <w:rPr/>
              <w:t>​</w:t>
            </w:r>
          </w:p>
        </w:tc>
        <w:tc>
          <w:tcPr>
            <w:tcW w:w="128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140.99</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9" w:type="dxa"/>
            <w:tcBorders/>
            <w:shd w:fill="FFFFFF" w:val="clear"/>
            <w:vAlign w:val="center"/>
          </w:tcPr>
          <w:p>
            <w:pPr>
              <w:pStyle w:val="TableContents"/>
              <w:bidi w:val="0"/>
              <w:spacing w:before="0" w:after="0"/>
              <w:ind w:left="0" w:right="0" w:hanging="0"/>
              <w:jc w:val="left"/>
              <w:rPr/>
            </w:pPr>
            <w:r>
              <w:rPr/>
              <w:t>​</w:t>
            </w:r>
          </w:p>
        </w:tc>
        <w:tc>
          <w:tcPr>
            <w:tcW w:w="84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7" w:type="dxa"/>
            <w:tcBorders/>
            <w:shd w:fill="FFFFFF" w:val="clear"/>
            <w:vAlign w:val="center"/>
          </w:tcPr>
          <w:p>
            <w:pPr>
              <w:pStyle w:val="TableContents"/>
              <w:bidi w:val="0"/>
              <w:spacing w:before="0" w:after="0"/>
              <w:ind w:left="0" w:right="0" w:hanging="0"/>
              <w:jc w:val="left"/>
              <w:rPr/>
            </w:pPr>
            <w:r>
              <w:rPr/>
              <w:t>​</w:t>
            </w:r>
          </w:p>
        </w:tc>
        <w:tc>
          <w:tcPr>
            <w:tcW w:w="624" w:type="dxa"/>
            <w:tcBorders/>
            <w:shd w:fill="FFFFFF" w:val="clear"/>
            <w:vAlign w:val="center"/>
          </w:tcPr>
          <w:p>
            <w:pPr>
              <w:pStyle w:val="TableContents"/>
              <w:bidi w:val="0"/>
              <w:spacing w:before="0" w:after="0"/>
              <w:ind w:left="0" w:right="0" w:hanging="0"/>
              <w:jc w:val="right"/>
              <w:rPr/>
            </w:pPr>
            <w:r>
              <w:rPr/>
              <w:t>​</w:t>
            </w:r>
          </w:p>
        </w:tc>
        <w:tc>
          <w:tcPr>
            <w:tcW w:w="191"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average loans receivable, net balances include nonaccrual loans carrying a zero yield.</w:t>
            </w:r>
          </w:p>
        </w:tc>
      </w:tr>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net deferred fee recognition of $1.5 million and $1.5 million for the three months ended June 30, 2026 and 2025, respectively.</w:t>
            </w:r>
          </w:p>
        </w:tc>
      </w:tr>
      <w:tr>
        <w:trPr/>
        <w:tc>
          <w:tcPr>
            <w:tcW w:w="2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Shown at amortized cost.</w:t>
            </w:r>
          </w:p>
        </w:tc>
      </w:tr>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income from fair value hedges of $163,000 and $245,000 for the three months ended June 30, 2026 and 2025,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Net Interest Income. </w:t>
      </w:r>
      <w:r>
        <w:rPr>
          <w:rFonts w:ascii="Times New Roman" w:hAnsi="Times New Roman"/>
          <w:caps w:val="false"/>
          <w:smallCaps w:val="false"/>
          <w:sz w:val="20"/>
        </w:rPr>
        <w:t>Net interest income increased $536,000 to $32.6 million for the three months ended June 30, 2026, from $32.1 million for the three months ended June 30, 2025, primarily due to an increase in total interest income of $959,000, partially offset by an increase in total interest expense of $423,000. The $959,000 increase in total interest income was primarily due to an increase of $1.2 million in interest income on loans receivable, including fees, resulting from net loan growth. The $423,000 increase in total interest expense reflected a $612,000 increase in interest expense on borrowings resulting from higher average borrowing balances and a $423,000 increase in interest expense on the subordinated note following its repricing to a higher interest rate in 2026, partially offset by a $612,000 decrease in interest expense on deposits.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interest margin (“NIM”) (annualized) was unchanged at 4.30% for the three months ended June 30, 2026, compared to the same period in the prior year. NIM remained relatively stable during the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Interest Income. </w:t>
      </w:r>
      <w:r>
        <w:rPr>
          <w:rFonts w:ascii="Times New Roman" w:hAnsi="Times New Roman"/>
          <w:caps w:val="false"/>
          <w:smallCaps w:val="false"/>
          <w:sz w:val="20"/>
        </w:rPr>
        <w:t>Total interest income for the three months ended June 30, 2026, increased $959,000 to $49.7 million, from $48.7 million for the three months ended June 30, 2025. The increase was primarily due to a $1.2 million increase in interest income on loans receivable, including fees, as a result of higher average loan balances, partially offset by a lower average yield.  Offsetting this growth were decreases in interest income on investment securities and interest-bearing deposits at other financial institutions, collectively totaling $266,000, primarily reflecting lower average balances and lower yields on interest-bearing deposits at other financial institutions.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compares average interest-earning asset balances, associated yields, and resulting changes in interest income for the three months ended June 30, 2026 and 2025:</w:t>
      </w:r>
    </w:p>
    <w:p>
      <w:pPr>
        <w:pStyle w:val="TextBody"/>
        <w:bidi w:val="0"/>
        <w:spacing w:before="0" w:after="0"/>
        <w:ind w:left="0" w:right="0" w:hanging="0"/>
        <w:jc w:val="left"/>
        <w:rPr/>
      </w:pPr>
      <w:r>
        <w:rPr/>
        <w:t> </w:t>
      </w:r>
    </w:p>
    <w:tbl>
      <w:tblPr>
        <w:tblW w:w="8845" w:type="dxa"/>
        <w:jc w:val="left"/>
        <w:tblInd w:w="0" w:type="dxa"/>
        <w:tblLayout w:type="fixed"/>
        <w:tblCellMar>
          <w:top w:w="0" w:type="dxa"/>
          <w:left w:w="0" w:type="dxa"/>
          <w:bottom w:w="0" w:type="dxa"/>
          <w:right w:w="0" w:type="dxa"/>
        </w:tblCellMar>
      </w:tblPr>
      <w:tblGrid>
        <w:gridCol w:w="4415"/>
        <w:gridCol w:w="23"/>
        <w:gridCol w:w="132"/>
        <w:gridCol w:w="893"/>
        <w:gridCol w:w="23"/>
        <w:gridCol w:w="23"/>
        <w:gridCol w:w="26"/>
        <w:gridCol w:w="444"/>
        <w:gridCol w:w="185"/>
        <w:gridCol w:w="23"/>
        <w:gridCol w:w="132"/>
        <w:gridCol w:w="893"/>
        <w:gridCol w:w="23"/>
        <w:gridCol w:w="23"/>
        <w:gridCol w:w="26"/>
        <w:gridCol w:w="444"/>
        <w:gridCol w:w="185"/>
        <w:gridCol w:w="23"/>
        <w:gridCol w:w="169"/>
        <w:gridCol w:w="660"/>
        <w:gridCol w:w="80"/>
      </w:tblGrid>
      <w:tr>
        <w:trPr/>
        <w:tc>
          <w:tcPr>
            <w:tcW w:w="4415" w:type="dxa"/>
            <w:tcBorders/>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23" w:type="dxa"/>
            <w:tcBorders/>
            <w:vAlign w:val="center"/>
          </w:tcPr>
          <w:p>
            <w:pPr>
              <w:pStyle w:val="TableContents"/>
              <w:bidi w:val="0"/>
              <w:spacing w:before="0" w:after="0"/>
              <w:ind w:left="0" w:right="0" w:hanging="0"/>
              <w:jc w:val="left"/>
              <w:rPr/>
            </w:pPr>
            <w:r>
              <w:rPr/>
              <w:t>​</w:t>
            </w:r>
          </w:p>
        </w:tc>
        <w:tc>
          <w:tcPr>
            <w:tcW w:w="4327"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1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69"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r>
      <w:tr>
        <w:trPr/>
        <w:tc>
          <w:tcPr>
            <w:tcW w:w="441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6" w:type="dxa"/>
            <w:tcBorders/>
            <w:vAlign w:val="center"/>
          </w:tcPr>
          <w:p>
            <w:pPr>
              <w:pStyle w:val="TableContents"/>
              <w:bidi w:val="0"/>
              <w:spacing w:before="0" w:after="0"/>
              <w:ind w:left="0" w:right="0" w:hanging="0"/>
              <w:jc w:val="left"/>
              <w:rPr/>
            </w:pPr>
            <w:r>
              <w:rPr/>
              <w:t>​</w:t>
            </w:r>
          </w:p>
        </w:tc>
        <w:tc>
          <w:tcPr>
            <w:tcW w:w="444"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6" w:type="dxa"/>
            <w:tcBorders/>
            <w:vAlign w:val="center"/>
          </w:tcPr>
          <w:p>
            <w:pPr>
              <w:pStyle w:val="TableContents"/>
              <w:bidi w:val="0"/>
              <w:spacing w:before="0" w:after="0"/>
              <w:ind w:left="0" w:right="0" w:hanging="0"/>
              <w:jc w:val="left"/>
              <w:rPr/>
            </w:pPr>
            <w:r>
              <w:rPr/>
              <w:t>​</w:t>
            </w:r>
          </w:p>
        </w:tc>
        <w:tc>
          <w:tcPr>
            <w:tcW w:w="444"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80" w:type="dxa"/>
            <w:tcBorders/>
            <w:vAlign w:val="center"/>
          </w:tcPr>
          <w:p>
            <w:pPr>
              <w:pStyle w:val="TableContents"/>
              <w:bidi w:val="0"/>
              <w:spacing w:before="0" w:after="0"/>
              <w:ind w:left="0" w:right="0" w:hanging="0"/>
              <w:jc w:val="left"/>
              <w:rPr/>
            </w:pPr>
            <w:r>
              <w:rPr/>
              <w:t>​</w:t>
            </w:r>
          </w:p>
        </w:tc>
      </w:tr>
      <w:tr>
        <w:trPr/>
        <w:tc>
          <w:tcPr>
            <w:tcW w:w="441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Balance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6" w:type="dxa"/>
            <w:tcBorders/>
            <w:vAlign w:val="center"/>
          </w:tcPr>
          <w:p>
            <w:pPr>
              <w:pStyle w:val="TableContents"/>
              <w:bidi w:val="0"/>
              <w:spacing w:before="0" w:after="0"/>
              <w:ind w:left="0" w:right="0" w:hanging="0"/>
              <w:jc w:val="left"/>
              <w:rPr/>
            </w:pPr>
            <w:r>
              <w:rPr/>
              <w:t>​</w:t>
            </w:r>
          </w:p>
        </w:tc>
        <w:tc>
          <w:tcPr>
            <w:tcW w:w="444"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Balance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6" w:type="dxa"/>
            <w:tcBorders/>
            <w:vAlign w:val="center"/>
          </w:tcPr>
          <w:p>
            <w:pPr>
              <w:pStyle w:val="TableContents"/>
              <w:bidi w:val="0"/>
              <w:spacing w:before="0" w:after="0"/>
              <w:ind w:left="0" w:right="0" w:hanging="0"/>
              <w:jc w:val="left"/>
              <w:rPr/>
            </w:pPr>
            <w:r>
              <w:rPr/>
              <w:t>​</w:t>
            </w:r>
          </w:p>
        </w:tc>
        <w:tc>
          <w:tcPr>
            <w:tcW w:w="444"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Interest</w:t>
            </w:r>
          </w:p>
        </w:tc>
        <w:tc>
          <w:tcPr>
            <w:tcW w:w="80" w:type="dxa"/>
            <w:tcBorders/>
            <w:vAlign w:val="center"/>
          </w:tcPr>
          <w:p>
            <w:pPr>
              <w:pStyle w:val="TableContents"/>
              <w:bidi w:val="0"/>
              <w:spacing w:before="0" w:after="0"/>
              <w:ind w:left="0" w:right="0" w:hanging="0"/>
              <w:jc w:val="left"/>
              <w:rPr/>
            </w:pPr>
            <w:r>
              <w:rPr/>
              <w:t>​</w:t>
            </w:r>
          </w:p>
        </w:tc>
      </w:tr>
      <w:tr>
        <w:trPr/>
        <w:tc>
          <w:tcPr>
            <w:tcW w:w="441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Outstanding</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Yield</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Outstanding</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Yield</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Income</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1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Loans receivable, net and loans held for sale (1)(2)</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2,695,907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6.87</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2,613,121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1,164</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1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Investment securities – taxable (3)(4)</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8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245,713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4.31</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8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275,951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4.10</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9" w:type="dxa"/>
            <w:tcBorders/>
            <w:shd w:fill="FFFFFF" w:val="clear"/>
            <w:vAlign w:val="center"/>
          </w:tcPr>
          <w:p>
            <w:pPr>
              <w:pStyle w:val="TableContents"/>
              <w:bidi w:val="0"/>
              <w:spacing w:before="0" w:after="0"/>
              <w:ind w:left="0" w:right="0" w:hanging="0"/>
              <w:jc w:val="left"/>
              <w:rPr/>
            </w:pPr>
            <w:r>
              <w:rPr/>
              <w:t>​</w:t>
            </w:r>
          </w:p>
        </w:tc>
        <w:tc>
          <w:tcPr>
            <w:tcW w:w="6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41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Investment securities – nontaxable</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77,460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2.32</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78,155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9"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1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FHLB stock</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8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11,323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9.10</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8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8,775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9.23</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9" w:type="dxa"/>
            <w:tcBorders/>
            <w:shd w:fill="FFFFFF" w:val="clear"/>
            <w:vAlign w:val="center"/>
          </w:tcPr>
          <w:p>
            <w:pPr>
              <w:pStyle w:val="TableContents"/>
              <w:bidi w:val="0"/>
              <w:spacing w:before="0" w:after="0"/>
              <w:ind w:left="0" w:right="0" w:hanging="0"/>
              <w:jc w:val="left"/>
              <w:rPr/>
            </w:pPr>
            <w:r>
              <w:rPr/>
              <w:t>​</w:t>
            </w:r>
          </w:p>
        </w:tc>
        <w:tc>
          <w:tcPr>
            <w:tcW w:w="6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441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Interest-bearing deposits at other financial institutions</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13,806</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3.37</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19,502</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4.18</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4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interest-earning assets</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3,044,209</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6.54</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2,995,504</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6.52</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959</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average loans receivable, net balances include nonaccrual loans carrying a zero yield.</w:t>
            </w:r>
          </w:p>
        </w:tc>
      </w:tr>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net deferred fee recognition of $1.5 million and $1.5 million for the three months ended June 30, 2026 and 2025, respectively.</w:t>
            </w:r>
          </w:p>
        </w:tc>
      </w:tr>
      <w:tr>
        <w:trPr/>
        <w:tc>
          <w:tcPr>
            <w:tcW w:w="2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67"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Shown at amortized cost.</w:t>
            </w:r>
          </w:p>
        </w:tc>
      </w:tr>
      <w:tr>
        <w:trPr/>
        <w:tc>
          <w:tcPr>
            <w:tcW w:w="23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income from fair value hedges of $163,000 and $245,000 for the three months ended June 30, 2026 and 2025,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Interest Expense. </w:t>
      </w:r>
      <w:r>
        <w:rPr>
          <w:rFonts w:ascii="Times New Roman" w:hAnsi="Times New Roman"/>
          <w:caps w:val="false"/>
          <w:smallCaps w:val="false"/>
          <w:sz w:val="20"/>
        </w:rPr>
        <w:t>Total interest expense increased $423,000 to $17.0 million for the three months ended June 30, 2026, from $16.6 million for the comparable quarter in 2025, due to an increase of $612,000 in interest expense on borrowings resulting from higher average borrowing balances, which was fully offset by a decrease in interest expense on deposits for the same amount, reflecting primarily a shift from brokered deposits to borrowings, and a $423,000 increase in interest expense on the subordinated note following its repricing to a higher interest rate in 2026.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average cost of total interest-bearing deposits decreased 11-basis points to 2.92% for the three months ended June 30, 2026, compared to 3.03% for the three months ended June 30, 2025, primarily reflecting lower rates paid on CDs, which more than offset higher rates on interest-bearing checking and savings and money market accounts. The average balance of total interest-bearing deposits decreased $13.5 million to $1.91 billion for the three months ended June 30, 2026, compared to $1.92 billion for the three months ended June 30, 2025, driven primarily by a decrease in CDs, partially offset by increases in interest-bearing checking and savings and money market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average cost of total interest-bearing liabilities decreased one-basis point to 3.12%, reflecting the benefit of the lower CD cost, partially offset by the higher cost of the subordinated note following its repricing. The average cost of funds, which includes noninterest-bearing checking, increased two- basis points to 2.41%, from 2.39% for the three months ended June 30, 2025, primarily attributable to the repricing of the subordinated note to a higher interest rate.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details average balances of interest-bearing liabilities, associated rates, and resulting change in interest expense for the three months ended June 30, 2026 and 2025:</w:t>
      </w:r>
    </w:p>
    <w:p>
      <w:pPr>
        <w:pStyle w:val="TextBody"/>
        <w:bidi w:val="0"/>
        <w:spacing w:before="0" w:after="0"/>
        <w:ind w:left="0" w:right="0" w:hanging="0"/>
        <w:jc w:val="left"/>
        <w:rPr/>
      </w:pPr>
      <w:r>
        <w:rPr/>
        <w:t> </w:t>
      </w:r>
    </w:p>
    <w:tbl>
      <w:tblPr>
        <w:tblW w:w="6896" w:type="dxa"/>
        <w:jc w:val="left"/>
        <w:tblInd w:w="0" w:type="dxa"/>
        <w:tblLayout w:type="fixed"/>
        <w:tblCellMar>
          <w:top w:w="0" w:type="dxa"/>
          <w:left w:w="0" w:type="dxa"/>
          <w:bottom w:w="0" w:type="dxa"/>
          <w:right w:w="0" w:type="dxa"/>
        </w:tblCellMar>
      </w:tblPr>
      <w:tblGrid>
        <w:gridCol w:w="2600"/>
        <w:gridCol w:w="23"/>
        <w:gridCol w:w="132"/>
        <w:gridCol w:w="893"/>
        <w:gridCol w:w="23"/>
        <w:gridCol w:w="23"/>
        <w:gridCol w:w="23"/>
        <w:gridCol w:w="380"/>
        <w:gridCol w:w="185"/>
        <w:gridCol w:w="23"/>
        <w:gridCol w:w="132"/>
        <w:gridCol w:w="893"/>
        <w:gridCol w:w="23"/>
        <w:gridCol w:w="23"/>
        <w:gridCol w:w="23"/>
        <w:gridCol w:w="380"/>
        <w:gridCol w:w="185"/>
        <w:gridCol w:w="23"/>
        <w:gridCol w:w="154"/>
        <w:gridCol w:w="675"/>
        <w:gridCol w:w="80"/>
      </w:tblGrid>
      <w:tr>
        <w:trPr/>
        <w:tc>
          <w:tcPr>
            <w:tcW w:w="2600" w:type="dxa"/>
            <w:tcBorders/>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23" w:type="dxa"/>
            <w:tcBorders/>
            <w:vAlign w:val="center"/>
          </w:tcPr>
          <w:p>
            <w:pPr>
              <w:pStyle w:val="TableContents"/>
              <w:bidi w:val="0"/>
              <w:spacing w:before="0" w:after="0"/>
              <w:ind w:left="0" w:right="0" w:hanging="0"/>
              <w:jc w:val="left"/>
              <w:rPr/>
            </w:pPr>
            <w:r>
              <w:rPr/>
              <w:t>​</w:t>
            </w:r>
          </w:p>
        </w:tc>
        <w:tc>
          <w:tcPr>
            <w:tcW w:w="4193"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Three Months Ended June 30,</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0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47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47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r>
      <w:tr>
        <w:trPr/>
        <w:tc>
          <w:tcPr>
            <w:tcW w:w="260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80" w:type="dxa"/>
            <w:tcBorders/>
            <w:vAlign w:val="center"/>
          </w:tcPr>
          <w:p>
            <w:pPr>
              <w:pStyle w:val="TableContents"/>
              <w:bidi w:val="0"/>
              <w:spacing w:before="0" w:after="0"/>
              <w:ind w:left="0" w:right="0" w:hanging="0"/>
              <w:jc w:val="left"/>
              <w:rPr/>
            </w:pPr>
            <w:r>
              <w:rPr/>
              <w:t>​</w:t>
            </w:r>
          </w:p>
        </w:tc>
      </w:tr>
      <w:tr>
        <w:trPr/>
        <w:tc>
          <w:tcPr>
            <w:tcW w:w="260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Balance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Balance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Interest</w:t>
            </w:r>
          </w:p>
        </w:tc>
        <w:tc>
          <w:tcPr>
            <w:tcW w:w="80" w:type="dxa"/>
            <w:tcBorders/>
            <w:vAlign w:val="center"/>
          </w:tcPr>
          <w:p>
            <w:pPr>
              <w:pStyle w:val="TableContents"/>
              <w:bidi w:val="0"/>
              <w:spacing w:before="0" w:after="0"/>
              <w:ind w:left="0" w:right="0" w:hanging="0"/>
              <w:jc w:val="left"/>
              <w:rPr/>
            </w:pPr>
            <w:r>
              <w:rPr/>
              <w:t>​</w:t>
            </w:r>
          </w:p>
        </w:tc>
      </w:tr>
      <w:tr>
        <w:trPr/>
        <w:tc>
          <w:tcPr>
            <w:tcW w:w="260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Outstanding</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Rate</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Outstanding</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Rate</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Expense</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0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Savings and money market</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553,563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504,155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7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260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Interest-bearing checking</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8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314,839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2.54</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8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199,178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67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1,139</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260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Certificates of deposit</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1,042,651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3.67</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1,221,253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3.82</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60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Borrowings</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8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224,176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3.93</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8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150,492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4.22</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67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612</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260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Subordinated note</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49,683</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7.34</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49,617</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3.93</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423</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260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interest-bearing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2,184,912</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3.12</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2,124,695</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3.13</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7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423</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Provision for Credit Losses.</w:t>
      </w:r>
      <w:r>
        <w:rPr>
          <w:rFonts w:ascii="Times New Roman" w:hAnsi="Times New Roman"/>
          <w:caps w:val="false"/>
          <w:smallCaps w:val="false"/>
          <w:sz w:val="20"/>
        </w:rPr>
        <w:t xml:space="preserve"> For the three months ended June 30, 2026, the provision for credit losses was $2.6 million, consisting of a $2.6 million provision for credit losses on loans and an $82,000 provision on credit losses on unfunded loan commitments. This compares to a $2.0 million provision for credit losses for the three months ended June 30, 2025, which consisted of a $1.7 million provision for credit losses on loans, a $154,000 provision for held-to-maturity securities, and a $151,000 provision for credit losses on unfunded loan commitments. The increase in the provision for credit losses on loans primarily reflects higher net charge</w:t>
        <w:noBreakHyphen/>
        <w:t>offs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loan charge-offs totaled $3.8 million for the three months ended June 30, 2026, compared to $1.2 million during the three months ended June 30, 2025. The increase was primarily attributable to a further charge-off on an existing commercial construction loan relationship that was previously partially charged off in 2024, as well as higher net charge-offs within the indirect home improvement portfolio. The additional charge-off reflects leasing uncertainty and updated appraised values for the underlying property, as well as continued pressure on commercial real estate values in the surrounding market.  Management expects final resolution of the relationship during the second half of 2026.  The increase in indirect home improvement loan net charge-offs primarily reflects elevated delinquency levels within portions of the portfolio.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Noninterest Income. </w:t>
      </w:r>
      <w:r>
        <w:rPr>
          <w:rFonts w:ascii="Times New Roman" w:hAnsi="Times New Roman"/>
          <w:caps w:val="false"/>
          <w:smallCaps w:val="false"/>
          <w:sz w:val="20"/>
        </w:rPr>
        <w:t>Noninterest income increased $980,000 to $6.2 million for the three months ended June 30, 2026, from $5.2 million for the three months ended June 30, 2025.  The increase primarily reflects a $609,000 increase in gain on sale of loans and a $404,000 increase in other noninterest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Noninterest Expense. </w:t>
      </w:r>
      <w:r>
        <w:rPr>
          <w:rFonts w:ascii="Times New Roman" w:hAnsi="Times New Roman"/>
          <w:caps w:val="false"/>
          <w:smallCaps w:val="false"/>
          <w:sz w:val="20"/>
        </w:rPr>
        <w:t>Noninterest expense increased $602,000 to $26.1 million for the three months ended June 30, 2026, compared to $25.5 million for the three months ended June 30, 2025. The $602,000 increase was primarily attributable to a $1.5 million increase in salaries and benefits expense resulting from annual compensation adjustments implemented during the second quarter as part of the Company's annual compensation review process, as well as higher benefit costs.  In addition, the Company recorded $417,000 in acquisition-related costs associated with the previously announced merger with Pacific West. These increases were partially offset by a $1.1 million reduction in operations expense, primarily due to an $800,000 decrease in the mortgage purchase reserve for estimated losses to mortgage loan repurchase obligations. The reduction reflects the seasoning of loans originated during the high-volume production years of 2020 and 2021, which has reduced the expected level of future repurchase-related losses.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efficiency ratio, which is calculated by dividing noninterest expense by the sum of net interest income and noninterest income, improved to 67.28% for the three months ended June 30, 2026, compared to 68.40% for the three months ended June 30, 2025, due to revenue growth outpacing noninterest expense.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Provision for Income Taxes.</w:t>
      </w:r>
      <w:r>
        <w:rPr>
          <w:rFonts w:ascii="Times New Roman;Times;serif" w:hAnsi="Times New Roman;Times;serif"/>
          <w:i/>
          <w:sz w:val="20"/>
        </w:rPr>
        <w:t xml:space="preserve"> </w:t>
      </w:r>
      <w:r>
        <w:rPr>
          <w:rFonts w:ascii="Times New Roman;Times;serif" w:hAnsi="Times New Roman;Times;serif"/>
          <w:sz w:val="20"/>
        </w:rPr>
        <w:t>For the three months ended June 30, 2026, the Company recorded a provision for income taxes of $2.1 million, compared to $2.0 million for the three months ended June 30, 2025.  The effective corporate income tax rates for the three months ended June 30, 2026 and 2025, were 21.1% and 20.8%, respectively. The increase in both the provision and effective tax rate was primarily attributable to the absence of alternative energy tax credits under the Inflation Reduction Act of 2022, which benefited the comparable prior year period.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Comparison of Results of Operations for the Six Months Ended June 30, 2026 and 2025</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General. </w:t>
      </w:r>
      <w:r>
        <w:rPr>
          <w:rFonts w:ascii="Times New Roman" w:hAnsi="Times New Roman"/>
          <w:caps w:val="false"/>
          <w:smallCaps w:val="false"/>
          <w:sz w:val="20"/>
        </w:rPr>
        <w:t>Net income was $15.8 million for the six months ended June 30, 2026, compared to $15.7 million for the six months ended June 30, 2025. The increase was primarily due to a $2.1 million, or 3.3%, increase in net interest income and a $1.3 million, or 12.2%, increase in total noninterest income, partially offset by a $1.6 million, or 43.1%, increase in provision for credit losses, and a $1.1 million, or 2.1%, increase in total noninterest expense.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Average Balances, Interest and Average Yields/Cost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sets forth for the periods indicated, information regarding average balances of assets and liabilities, as well as the total dollar amounts of interest income from average interest-earning assets and interest expense on average interest-bearing liabilities, resultant yields, interest rate spread, net interest margin (otherwise known as net yield on interest-earning assets), and the ratio of average interest-earning assets to average interest-bearing liabilities. Also presented are the weighted average yield on interest-earning assets, rates paid on interest-bearing liabilities and the resultant spread for the periods presented. Average balances are daily average balances. The yields on tax-exempt municipal bonds have not been computed on a tax equivalent basis.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182"/>
        <w:gridCol w:w="23"/>
        <w:gridCol w:w="188"/>
        <w:gridCol w:w="1272"/>
        <w:gridCol w:w="155"/>
        <w:gridCol w:w="23"/>
        <w:gridCol w:w="182"/>
        <w:gridCol w:w="855"/>
        <w:gridCol w:w="23"/>
        <w:gridCol w:w="23"/>
        <w:gridCol w:w="38"/>
        <w:gridCol w:w="571"/>
        <w:gridCol w:w="155"/>
        <w:gridCol w:w="23"/>
        <w:gridCol w:w="188"/>
        <w:gridCol w:w="1272"/>
        <w:gridCol w:w="155"/>
        <w:gridCol w:w="23"/>
        <w:gridCol w:w="182"/>
        <w:gridCol w:w="855"/>
        <w:gridCol w:w="23"/>
        <w:gridCol w:w="23"/>
        <w:gridCol w:w="38"/>
        <w:gridCol w:w="571"/>
        <w:gridCol w:w="162"/>
      </w:tblGrid>
      <w:tr>
        <w:trPr/>
        <w:tc>
          <w:tcPr>
            <w:tcW w:w="3182" w:type="dxa"/>
            <w:tcBorders/>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(Dollars in thousands)</w:t>
            </w:r>
          </w:p>
        </w:tc>
        <w:tc>
          <w:tcPr>
            <w:tcW w:w="23" w:type="dxa"/>
            <w:tcBorders/>
            <w:vAlign w:val="center"/>
          </w:tcPr>
          <w:p>
            <w:pPr>
              <w:pStyle w:val="TableContents"/>
              <w:bidi w:val="0"/>
              <w:spacing w:before="0" w:after="0"/>
              <w:ind w:left="0" w:right="0" w:hanging="0"/>
              <w:jc w:val="left"/>
              <w:rPr/>
            </w:pPr>
            <w:r>
              <w:rPr/>
              <w:t>​</w:t>
            </w:r>
          </w:p>
        </w:tc>
        <w:tc>
          <w:tcPr>
            <w:tcW w:w="6838"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For the Six Months Ended</w:t>
            </w:r>
          </w:p>
        </w:tc>
        <w:tc>
          <w:tcPr>
            <w:tcW w:w="1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82"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333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June 30, 2026</w:t>
            </w:r>
          </w:p>
        </w:tc>
        <w:tc>
          <w:tcPr>
            <w:tcW w:w="1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33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June 30, 2025</w:t>
            </w:r>
          </w:p>
        </w:tc>
        <w:tc>
          <w:tcPr>
            <w:tcW w:w="1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82" w:type="dxa"/>
            <w:tcBorders/>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Average Balances</w:t>
            </w:r>
          </w:p>
        </w:tc>
        <w:tc>
          <w:tcPr>
            <w:tcW w:w="23" w:type="dxa"/>
            <w:tcBorders/>
            <w:vAlign w:val="center"/>
          </w:tcPr>
          <w:p>
            <w:pPr>
              <w:pStyle w:val="TableContents"/>
              <w:bidi w:val="0"/>
              <w:spacing w:before="0" w:after="0"/>
              <w:ind w:left="0" w:right="0" w:hanging="0"/>
              <w:jc w:val="left"/>
              <w:rPr/>
            </w:pPr>
            <w:r>
              <w:rPr/>
              <w:t>​</w:t>
            </w:r>
          </w:p>
        </w:tc>
        <w:tc>
          <w:tcPr>
            <w:tcW w:w="1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Average Balance Outstanding</w:t>
            </w:r>
          </w:p>
        </w:tc>
        <w:tc>
          <w:tcPr>
            <w:tcW w:w="1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Interest Earned/ Paid</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Yield/ Rate</w:t>
            </w:r>
          </w:p>
        </w:tc>
        <w:tc>
          <w:tcPr>
            <w:tcW w:w="1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Average Balance Outstanding</w:t>
            </w:r>
          </w:p>
        </w:tc>
        <w:tc>
          <w:tcPr>
            <w:tcW w:w="15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Interest Earned/ Paid</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16"/>
              </w:rPr>
            </w:pPr>
            <w:r>
              <w:rPr>
                <w:rFonts w:ascii="Times New Roman" w:hAnsi="Times New Roman"/>
                <w:caps w:val="false"/>
                <w:smallCaps w:val="false"/>
                <w:sz w:val="16"/>
              </w:rPr>
              <w:t>Yield/ Rate</w:t>
            </w:r>
          </w:p>
        </w:tc>
        <w:tc>
          <w:tcPr>
            <w:tcW w:w="162"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3182" w:type="dxa"/>
            <w:tcBorders/>
            <w:shd w:fill="CCEEFF" w:val="cle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ASSETS</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lef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162" w:type="dxa"/>
            <w:tcBorders/>
            <w:shd w:fill="CCEEFF" w:val="clear"/>
            <w:vAlign w:val="center"/>
          </w:tcPr>
          <w:p>
            <w:pPr>
              <w:pStyle w:val="TableContents"/>
              <w:bidi w:val="0"/>
              <w:spacing w:before="0" w:after="0"/>
              <w:ind w:left="0" w:right="0" w:hanging="0"/>
              <w:jc w:val="left"/>
              <w:rPr/>
            </w:pPr>
            <w:r>
              <w:rPr/>
              <w:t>​</w:t>
            </w:r>
          </w:p>
        </w:tc>
      </w:tr>
      <w:tr>
        <w:trPr/>
        <w:tc>
          <w:tcPr>
            <w:tcW w:w="3182"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Loans receivable, net and loans held for sale (1) (2)</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1272"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2,698,436</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92,214</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6.89</w:t>
            </w:r>
          </w:p>
        </w:tc>
        <w:tc>
          <w:tcPr>
            <w:tcW w:w="15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1272"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2,586,761</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88,340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6.89</w:t>
            </w:r>
          </w:p>
        </w:tc>
        <w:tc>
          <w:tcPr>
            <w:tcW w:w="162"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3182"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Taxable investment securities (3)(4)</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249,955</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5,142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4.15</w:t>
            </w:r>
          </w:p>
        </w:tc>
        <w:tc>
          <w:tcPr>
            <w:tcW w:w="155"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258,786</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5,408</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4.21</w:t>
            </w:r>
          </w:p>
        </w:tc>
        <w:tc>
          <w:tcPr>
            <w:tcW w:w="162"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3182"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Tax exempt securities (3)</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1272"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77,800</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890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2.31</w:t>
            </w:r>
          </w:p>
        </w:tc>
        <w:tc>
          <w:tcPr>
            <w:tcW w:w="15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1272"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77,900</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889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2.30</w:t>
            </w:r>
          </w:p>
        </w:tc>
        <w:tc>
          <w:tcPr>
            <w:tcW w:w="162"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3182"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FHLB stock</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9,699</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433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9.00</w:t>
            </w:r>
          </w:p>
        </w:tc>
        <w:tc>
          <w:tcPr>
            <w:tcW w:w="155"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10,353</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477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9.29</w:t>
            </w:r>
          </w:p>
        </w:tc>
        <w:tc>
          <w:tcPr>
            <w:tcW w:w="162"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3182"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Interest-bearing deposits at other financial institutions</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2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18,418</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316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3.46</w:t>
            </w:r>
          </w:p>
        </w:tc>
        <w:tc>
          <w:tcPr>
            <w:tcW w:w="15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2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17,840</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376</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4.25</w:t>
            </w:r>
          </w:p>
        </w:tc>
        <w:tc>
          <w:tcPr>
            <w:tcW w:w="162"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3182"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Total interest-earning assets</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3,054,308</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98,995</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6.54</w:t>
            </w:r>
          </w:p>
        </w:tc>
        <w:tc>
          <w:tcPr>
            <w:tcW w:w="155"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2,951,640</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95,490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6.52</w:t>
            </w:r>
          </w:p>
        </w:tc>
        <w:tc>
          <w:tcPr>
            <w:tcW w:w="162"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3182"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Noninterest-earning assets</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2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136,576</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pPr>
            <w:r>
              <w:rPr/>
              <w:t>​</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2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123,027</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pPr>
            <w:r>
              <w:rPr/>
              <w:t>​</w:t>
            </w:r>
          </w:p>
        </w:tc>
        <w:tc>
          <w:tcPr>
            <w:tcW w:w="162" w:type="dxa"/>
            <w:tcBorders/>
            <w:shd w:fill="FFFFFF" w:val="clear"/>
            <w:vAlign w:val="center"/>
          </w:tcPr>
          <w:p>
            <w:pPr>
              <w:pStyle w:val="TableContents"/>
              <w:bidi w:val="0"/>
              <w:spacing w:before="0" w:after="0"/>
              <w:ind w:left="0" w:right="0" w:hanging="0"/>
              <w:jc w:val="left"/>
              <w:rPr/>
            </w:pPr>
            <w:r>
              <w:rPr/>
              <w:t>​</w:t>
            </w:r>
          </w:p>
        </w:tc>
      </w:tr>
      <w:tr>
        <w:trPr/>
        <w:tc>
          <w:tcPr>
            <w:tcW w:w="3182"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16"/>
              </w:rPr>
            </w:pPr>
            <w:r>
              <w:rPr>
                <w:rFonts w:ascii="Times New Roman" w:hAnsi="Times New Roman"/>
                <w:b/>
                <w:caps w:val="false"/>
                <w:smallCaps w:val="false"/>
                <w:sz w:val="16"/>
              </w:rPr>
              <w:t>Total assets</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12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3,190,884</w:t>
            </w:r>
          </w:p>
        </w:tc>
        <w:tc>
          <w:tcPr>
            <w:tcW w:w="1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12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3,074,667</w:t>
            </w:r>
          </w:p>
        </w:tc>
        <w:tc>
          <w:tcPr>
            <w:tcW w:w="1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62" w:type="dxa"/>
            <w:tcBorders/>
            <w:shd w:fill="CCEEFF" w:val="clear"/>
            <w:vAlign w:val="center"/>
          </w:tcPr>
          <w:p>
            <w:pPr>
              <w:pStyle w:val="TableContents"/>
              <w:bidi w:val="0"/>
              <w:spacing w:before="0" w:after="0"/>
              <w:ind w:left="0" w:right="0" w:hanging="0"/>
              <w:jc w:val="left"/>
              <w:rPr/>
            </w:pPr>
            <w:r>
              <w:rPr/>
              <w:t>​</w:t>
            </w:r>
          </w:p>
        </w:tc>
      </w:tr>
      <w:tr>
        <w:trPr/>
        <w:tc>
          <w:tcPr>
            <w:tcW w:w="3182" w:type="dxa"/>
            <w:tcBorders/>
            <w:shd w:fill="FFFFFF" w:val="cle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1272" w:type="dxa"/>
            <w:tcBorders/>
            <w:shd w:fill="FFFFFF" w:val="clear"/>
            <w:vAlign w:val="center"/>
          </w:tcPr>
          <w:p>
            <w:pPr>
              <w:pStyle w:val="TableContents"/>
              <w:bidi w:val="0"/>
              <w:spacing w:before="0" w:after="0"/>
              <w:ind w:left="0" w:right="0" w:hanging="0"/>
              <w:jc w:val="left"/>
              <w:rPr/>
            </w:pPr>
            <w:r>
              <w:rPr/>
              <w:t>​</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left"/>
              <w:rPr/>
            </w:pPr>
            <w:r>
              <w:rPr/>
              <w:t>​</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1272" w:type="dxa"/>
            <w:tcBorders/>
            <w:shd w:fill="FFFFFF" w:val="clear"/>
            <w:vAlign w:val="center"/>
          </w:tcPr>
          <w:p>
            <w:pPr>
              <w:pStyle w:val="TableContents"/>
              <w:bidi w:val="0"/>
              <w:spacing w:before="0" w:after="0"/>
              <w:ind w:left="0" w:right="0" w:hanging="0"/>
              <w:jc w:val="left"/>
              <w:rPr/>
            </w:pPr>
            <w:r>
              <w:rPr/>
              <w:t>​</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left"/>
              <w:rPr/>
            </w:pPr>
            <w:r>
              <w:rPr/>
              <w:t>​</w:t>
            </w:r>
          </w:p>
        </w:tc>
        <w:tc>
          <w:tcPr>
            <w:tcW w:w="162" w:type="dxa"/>
            <w:tcBorders/>
            <w:shd w:fill="FFFFFF" w:val="clear"/>
            <w:vAlign w:val="center"/>
          </w:tcPr>
          <w:p>
            <w:pPr>
              <w:pStyle w:val="TableContents"/>
              <w:bidi w:val="0"/>
              <w:spacing w:before="0" w:after="0"/>
              <w:ind w:left="0" w:right="0" w:hanging="0"/>
              <w:jc w:val="left"/>
              <w:rPr/>
            </w:pPr>
            <w:r>
              <w:rPr/>
              <w:t>​</w:t>
            </w:r>
          </w:p>
        </w:tc>
      </w:tr>
      <w:tr>
        <w:trPr/>
        <w:tc>
          <w:tcPr>
            <w:tcW w:w="3182"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Savings and money market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1272"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552,572</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4,682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1.71</w:t>
            </w:r>
          </w:p>
        </w:tc>
        <w:tc>
          <w:tcPr>
            <w:tcW w:w="155"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1272"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500,047</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3,970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1.60</w:t>
            </w:r>
          </w:p>
        </w:tc>
        <w:tc>
          <w:tcPr>
            <w:tcW w:w="162"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3182"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Interest-bearing checking</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1272"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333,027</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4,299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2.60</w:t>
            </w:r>
          </w:p>
        </w:tc>
        <w:tc>
          <w:tcPr>
            <w:tcW w:w="15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1272"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191,026</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1,566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1.65</w:t>
            </w:r>
          </w:p>
        </w:tc>
        <w:tc>
          <w:tcPr>
            <w:tcW w:w="162"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3182"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Certificates of deposit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1,074,235</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19,640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3.69</w:t>
            </w:r>
          </w:p>
        </w:tc>
        <w:tc>
          <w:tcPr>
            <w:tcW w:w="155"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1,154,461</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22,042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3.85</w:t>
            </w:r>
          </w:p>
        </w:tc>
        <w:tc>
          <w:tcPr>
            <w:tcW w:w="162"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3182"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Borrowings</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1272"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178,467</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3,581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4.05</w:t>
            </w:r>
          </w:p>
        </w:tc>
        <w:tc>
          <w:tcPr>
            <w:tcW w:w="15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1272"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184,377</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3,848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4.21</w:t>
            </w:r>
          </w:p>
        </w:tc>
        <w:tc>
          <w:tcPr>
            <w:tcW w:w="162"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3182"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Subordinated notes</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272"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49,675</w:t>
            </w:r>
          </w:p>
        </w:tc>
        <w:tc>
          <w:tcPr>
            <w:tcW w:w="15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1,600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6.50</w:t>
            </w:r>
          </w:p>
        </w:tc>
        <w:tc>
          <w:tcPr>
            <w:tcW w:w="155"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49,608</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971</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3.95</w:t>
            </w:r>
          </w:p>
        </w:tc>
        <w:tc>
          <w:tcPr>
            <w:tcW w:w="162"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3182" w:type="dxa"/>
            <w:tcBorders/>
            <w:shd w:fill="FFFFFF" w:val="cle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Total interest-bearing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1272"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2,187,976</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33,802</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3.12</w:t>
            </w:r>
          </w:p>
        </w:tc>
        <w:tc>
          <w:tcPr>
            <w:tcW w:w="15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2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2,079,519</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32,397</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3.14</w:t>
            </w:r>
          </w:p>
        </w:tc>
        <w:tc>
          <w:tcPr>
            <w:tcW w:w="162"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3182" w:type="dxa"/>
            <w:tcBorders/>
            <w:shd w:fill="CCEE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Noninterest-bearing accounts</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651,440</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660,805</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62" w:type="dxa"/>
            <w:tcBorders/>
            <w:shd w:fill="CCEEFF" w:val="clear"/>
            <w:vAlign w:val="center"/>
          </w:tcPr>
          <w:p>
            <w:pPr>
              <w:pStyle w:val="TableContents"/>
              <w:bidi w:val="0"/>
              <w:spacing w:before="0" w:after="0"/>
              <w:ind w:left="0" w:right="0" w:hanging="0"/>
              <w:jc w:val="left"/>
              <w:rPr/>
            </w:pPr>
            <w:r>
              <w:rPr/>
              <w:t>​</w:t>
            </w:r>
          </w:p>
        </w:tc>
      </w:tr>
      <w:tr>
        <w:trPr/>
        <w:tc>
          <w:tcPr>
            <w:tcW w:w="3182" w:type="dxa"/>
            <w:tcBorders/>
            <w:shd w:fill="FFFFFF" w:val="clear"/>
            <w:vAlign w:val="center"/>
          </w:tcPr>
          <w:p>
            <w:pPr>
              <w:pStyle w:val="TableContents"/>
              <w:bidi w:val="0"/>
              <w:spacing w:before="0" w:after="0"/>
              <w:jc w:val="left"/>
              <w:rPr>
                <w:rFonts w:ascii="Times New Roman" w:hAnsi="Times New Roman"/>
                <w:caps w:val="false"/>
                <w:smallCaps w:val="false"/>
                <w:sz w:val="16"/>
              </w:rPr>
            </w:pPr>
            <w:r>
              <w:rPr>
                <w:rFonts w:ascii="Times New Roman" w:hAnsi="Times New Roman"/>
                <w:caps w:val="false"/>
                <w:smallCaps w:val="false"/>
                <w:sz w:val="16"/>
              </w:rPr>
              <w:t>Other noninterest-bearing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2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32,923</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pPr>
            <w:r>
              <w:rPr/>
              <w:t>​</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27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33,218</w:t>
            </w:r>
          </w:p>
        </w:tc>
        <w:tc>
          <w:tcPr>
            <w:tcW w:w="15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pPr>
            <w:r>
              <w:rPr/>
              <w:t>​</w:t>
            </w:r>
          </w:p>
        </w:tc>
        <w:tc>
          <w:tcPr>
            <w:tcW w:w="162" w:type="dxa"/>
            <w:tcBorders/>
            <w:shd w:fill="FFFFFF" w:val="clear"/>
            <w:vAlign w:val="center"/>
          </w:tcPr>
          <w:p>
            <w:pPr>
              <w:pStyle w:val="TableContents"/>
              <w:bidi w:val="0"/>
              <w:spacing w:before="0" w:after="0"/>
              <w:ind w:left="0" w:right="0" w:hanging="0"/>
              <w:jc w:val="left"/>
              <w:rPr/>
            </w:pPr>
            <w:r>
              <w:rPr/>
              <w:t>​</w:t>
            </w:r>
          </w:p>
        </w:tc>
      </w:tr>
      <w:tr>
        <w:trPr/>
        <w:tc>
          <w:tcPr>
            <w:tcW w:w="3182" w:type="dxa"/>
            <w:tcBorders/>
            <w:shd w:fill="CCEEFF" w:val="cle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Total liabilities</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127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2,872,339</w:t>
            </w:r>
          </w:p>
        </w:tc>
        <w:tc>
          <w:tcPr>
            <w:tcW w:w="1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1272" w:type="dxa"/>
            <w:tcBorders/>
            <w:shd w:fill="CCEE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2,773,542</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162" w:type="dxa"/>
            <w:tcBorders/>
            <w:shd w:fill="CCEEFF" w:val="clear"/>
            <w:vAlign w:val="center"/>
          </w:tcPr>
          <w:p>
            <w:pPr>
              <w:pStyle w:val="TableContents"/>
              <w:bidi w:val="0"/>
              <w:spacing w:before="0" w:after="0"/>
              <w:ind w:left="0" w:right="0" w:hanging="0"/>
              <w:jc w:val="left"/>
              <w:rPr/>
            </w:pPr>
            <w:r>
              <w:rPr/>
              <w:t>​</w:t>
            </w:r>
          </w:p>
        </w:tc>
      </w:tr>
      <w:tr>
        <w:trPr/>
        <w:tc>
          <w:tcPr>
            <w:tcW w:w="3182" w:type="dxa"/>
            <w:tcBorders/>
            <w:shd w:fill="FFFFFF" w:val="cle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Net interest income</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1272" w:type="dxa"/>
            <w:tcBorders/>
            <w:shd w:fill="FFFFFF" w:val="clear"/>
            <w:vAlign w:val="center"/>
          </w:tcPr>
          <w:p>
            <w:pPr>
              <w:pStyle w:val="TableContents"/>
              <w:bidi w:val="0"/>
              <w:spacing w:before="0" w:after="0"/>
              <w:ind w:left="0" w:right="0" w:hanging="0"/>
              <w:jc w:val="right"/>
              <w:rPr/>
            </w:pPr>
            <w:r>
              <w:rPr/>
              <w:t>​</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8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65,193</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pPr>
            <w:r>
              <w:rPr/>
              <w:t>​</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1272" w:type="dxa"/>
            <w:tcBorders/>
            <w:shd w:fill="FFFFFF" w:val="clear"/>
            <w:vAlign w:val="center"/>
          </w:tcPr>
          <w:p>
            <w:pPr>
              <w:pStyle w:val="TableContents"/>
              <w:bidi w:val="0"/>
              <w:spacing w:before="0" w:after="0"/>
              <w:ind w:left="0" w:right="0" w:hanging="0"/>
              <w:jc w:val="right"/>
              <w:rPr/>
            </w:pPr>
            <w:r>
              <w:rPr/>
              <w:t>​</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85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63,093</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pPr>
            <w:r>
              <w:rPr/>
              <w:t>​</w:t>
            </w:r>
          </w:p>
        </w:tc>
        <w:tc>
          <w:tcPr>
            <w:tcW w:w="162" w:type="dxa"/>
            <w:tcBorders/>
            <w:shd w:fill="FFFFFF" w:val="clear"/>
            <w:vAlign w:val="center"/>
          </w:tcPr>
          <w:p>
            <w:pPr>
              <w:pStyle w:val="TableContents"/>
              <w:bidi w:val="0"/>
              <w:spacing w:before="0" w:after="0"/>
              <w:ind w:left="0" w:right="0" w:hanging="0"/>
              <w:jc w:val="left"/>
              <w:rPr/>
            </w:pPr>
            <w:r>
              <w:rPr/>
              <w:t>​</w:t>
            </w:r>
          </w:p>
        </w:tc>
      </w:tr>
      <w:tr>
        <w:trPr/>
        <w:tc>
          <w:tcPr>
            <w:tcW w:w="3182" w:type="dxa"/>
            <w:tcBorders/>
            <w:shd w:fill="CCEEFF" w:val="cle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Net interest rate spread</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3.42</w:t>
            </w:r>
          </w:p>
        </w:tc>
        <w:tc>
          <w:tcPr>
            <w:tcW w:w="1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3.38</w:t>
            </w:r>
          </w:p>
        </w:tc>
        <w:tc>
          <w:tcPr>
            <w:tcW w:w="1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3182" w:type="dxa"/>
            <w:tcBorders/>
            <w:shd w:fill="FFFFFF" w:val="cle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Net earning assets</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12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866,332</w:t>
            </w:r>
          </w:p>
        </w:tc>
        <w:tc>
          <w:tcPr>
            <w:tcW w:w="15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pPr>
            <w:r>
              <w:rPr/>
              <w:t>​</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1272"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872,121</w:t>
            </w:r>
          </w:p>
        </w:tc>
        <w:tc>
          <w:tcPr>
            <w:tcW w:w="15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pPr>
            <w:r>
              <w:rPr/>
              <w:t>​</w:t>
            </w:r>
          </w:p>
        </w:tc>
        <w:tc>
          <w:tcPr>
            <w:tcW w:w="162" w:type="dxa"/>
            <w:tcBorders/>
            <w:shd w:fill="FFFFFF" w:val="clear"/>
            <w:vAlign w:val="center"/>
          </w:tcPr>
          <w:p>
            <w:pPr>
              <w:pStyle w:val="TableContents"/>
              <w:bidi w:val="0"/>
              <w:spacing w:before="0" w:after="0"/>
              <w:ind w:left="0" w:right="0" w:hanging="0"/>
              <w:jc w:val="left"/>
              <w:rPr/>
            </w:pPr>
            <w:r>
              <w:rPr/>
              <w:t>​</w:t>
            </w:r>
          </w:p>
        </w:tc>
      </w:tr>
      <w:tr>
        <w:trPr/>
        <w:tc>
          <w:tcPr>
            <w:tcW w:w="3182" w:type="dxa"/>
            <w:tcBorders/>
            <w:shd w:fill="CCEEFF" w:val="cle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Net interest margin</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4.30</w:t>
            </w:r>
          </w:p>
        </w:tc>
        <w:tc>
          <w:tcPr>
            <w:tcW w:w="15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8" w:type="dxa"/>
            <w:tcBorders/>
            <w:shd w:fill="CCEEFF" w:val="clear"/>
            <w:vAlign w:val="center"/>
          </w:tcPr>
          <w:p>
            <w:pPr>
              <w:pStyle w:val="TableContents"/>
              <w:bidi w:val="0"/>
              <w:spacing w:before="0" w:after="0"/>
              <w:ind w:left="0" w:right="0" w:hanging="0"/>
              <w:jc w:val="left"/>
              <w:rPr/>
            </w:pPr>
            <w:r>
              <w:rPr/>
              <w:t>​</w:t>
            </w:r>
          </w:p>
        </w:tc>
        <w:tc>
          <w:tcPr>
            <w:tcW w:w="1272" w:type="dxa"/>
            <w:tcBorders/>
            <w:shd w:fill="CCEEFF" w:val="clear"/>
            <w:vAlign w:val="center"/>
          </w:tcPr>
          <w:p>
            <w:pPr>
              <w:pStyle w:val="TableContents"/>
              <w:bidi w:val="0"/>
              <w:spacing w:before="0" w:after="0"/>
              <w:ind w:left="0" w:right="0" w:hanging="0"/>
              <w:jc w:val="right"/>
              <w:rPr/>
            </w:pPr>
            <w:r>
              <w:rPr/>
              <w:t>​</w:t>
            </w:r>
          </w:p>
        </w:tc>
        <w:tc>
          <w:tcPr>
            <w:tcW w:w="15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82" w:type="dxa"/>
            <w:tcBorders/>
            <w:shd w:fill="CCEEFF" w:val="clear"/>
            <w:vAlign w:val="center"/>
          </w:tcPr>
          <w:p>
            <w:pPr>
              <w:pStyle w:val="TableContents"/>
              <w:bidi w:val="0"/>
              <w:spacing w:before="0" w:after="0"/>
              <w:ind w:left="0" w:right="0" w:hanging="0"/>
              <w:jc w:val="left"/>
              <w:rPr/>
            </w:pPr>
            <w:r>
              <w:rPr/>
              <w:t>​</w:t>
            </w:r>
          </w:p>
        </w:tc>
        <w:tc>
          <w:tcPr>
            <w:tcW w:w="85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4.31</w:t>
            </w:r>
          </w:p>
        </w:tc>
        <w:tc>
          <w:tcPr>
            <w:tcW w:w="16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r>
      <w:tr>
        <w:trPr/>
        <w:tc>
          <w:tcPr>
            <w:tcW w:w="3182" w:type="dxa"/>
            <w:tcBorders/>
            <w:shd w:fill="FFFFFF" w:val="clear"/>
            <w:vAlign w:val="center"/>
          </w:tcPr>
          <w:p>
            <w:pPr>
              <w:pStyle w:val="TableContents"/>
              <w:bidi w:val="0"/>
              <w:spacing w:before="0" w:after="0"/>
              <w:jc w:val="left"/>
              <w:rPr>
                <w:rFonts w:ascii="Times New Roman" w:hAnsi="Times New Roman"/>
                <w:b/>
                <w:caps w:val="false"/>
                <w:smallCaps w:val="false"/>
                <w:sz w:val="16"/>
              </w:rPr>
            </w:pPr>
            <w:r>
              <w:rPr>
                <w:rFonts w:ascii="Times New Roman" w:hAnsi="Times New Roman"/>
                <w:b/>
                <w:caps w:val="false"/>
                <w:smallCaps w:val="false"/>
                <w:sz w:val="16"/>
              </w:rPr>
              <w:t>Average interest-earning assets to average interest-bearing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1272"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139.60</w:t>
            </w:r>
          </w:p>
        </w:tc>
        <w:tc>
          <w:tcPr>
            <w:tcW w:w="15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pPr>
            <w:r>
              <w:rPr/>
              <w:t>​</w:t>
            </w:r>
          </w:p>
        </w:tc>
        <w:tc>
          <w:tcPr>
            <w:tcW w:w="15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8" w:type="dxa"/>
            <w:tcBorders/>
            <w:shd w:fill="FFFFFF" w:val="clear"/>
            <w:vAlign w:val="center"/>
          </w:tcPr>
          <w:p>
            <w:pPr>
              <w:pStyle w:val="TableContents"/>
              <w:bidi w:val="0"/>
              <w:spacing w:before="0" w:after="0"/>
              <w:ind w:left="0" w:right="0" w:hanging="0"/>
              <w:jc w:val="left"/>
              <w:rPr/>
            </w:pPr>
            <w:r>
              <w:rPr/>
              <w:t>​</w:t>
            </w:r>
          </w:p>
        </w:tc>
        <w:tc>
          <w:tcPr>
            <w:tcW w:w="1272" w:type="dxa"/>
            <w:tcBorders/>
            <w:shd w:fill="FFFFFF" w:val="clear"/>
            <w:vAlign w:val="center"/>
          </w:tcPr>
          <w:p>
            <w:pPr>
              <w:pStyle w:val="TableContents"/>
              <w:bidi w:val="0"/>
              <w:spacing w:before="0" w:after="0"/>
              <w:ind w:left="0" w:right="0" w:hanging="0"/>
              <w:jc w:val="right"/>
              <w:rPr>
                <w:rFonts w:ascii="Times New Roman" w:hAnsi="Times New Roman"/>
                <w:sz w:val="16"/>
              </w:rPr>
            </w:pPr>
            <w:r>
              <w:rPr>
                <w:rFonts w:ascii="Times New Roman" w:hAnsi="Times New Roman"/>
                <w:sz w:val="16"/>
              </w:rPr>
              <w:t>141.94</w:t>
            </w:r>
          </w:p>
        </w:tc>
        <w:tc>
          <w:tcPr>
            <w:tcW w:w="155" w:type="dxa"/>
            <w:tcBorders/>
            <w:shd w:fill="FFFFFF" w:val="clear"/>
            <w:vAlign w:val="center"/>
          </w:tcPr>
          <w:p>
            <w:pPr>
              <w:pStyle w:val="TableContents"/>
              <w:bidi w:val="0"/>
              <w:spacing w:before="0" w:after="0"/>
              <w:ind w:left="0" w:right="0" w:hanging="0"/>
              <w:jc w:val="left"/>
              <w:rPr>
                <w:rFonts w:ascii="Times New Roman" w:hAnsi="Times New Roman"/>
                <w:sz w:val="16"/>
              </w:rPr>
            </w:pPr>
            <w:r>
              <w:rPr>
                <w:rFonts w:ascii="Times New Roman" w:hAnsi="Times New Roman"/>
                <w:sz w:val="16"/>
              </w:rPr>
              <w:t>%</w:t>
            </w:r>
          </w:p>
        </w:tc>
        <w:tc>
          <w:tcPr>
            <w:tcW w:w="23" w:type="dxa"/>
            <w:tcBorders/>
            <w:shd w:fill="FFFFFF" w:val="clear"/>
            <w:vAlign w:val="center"/>
          </w:tcPr>
          <w:p>
            <w:pPr>
              <w:pStyle w:val="TableContents"/>
              <w:bidi w:val="0"/>
              <w:spacing w:before="0" w:after="0"/>
              <w:ind w:left="0" w:right="0" w:hanging="0"/>
              <w:jc w:val="left"/>
              <w:rPr/>
            </w:pPr>
            <w:r>
              <w:rPr/>
              <w:t>​</w:t>
            </w:r>
          </w:p>
        </w:tc>
        <w:tc>
          <w:tcPr>
            <w:tcW w:w="182" w:type="dxa"/>
            <w:tcBorders/>
            <w:shd w:fill="FFFFFF" w:val="clear"/>
            <w:vAlign w:val="center"/>
          </w:tcPr>
          <w:p>
            <w:pPr>
              <w:pStyle w:val="TableContents"/>
              <w:bidi w:val="0"/>
              <w:spacing w:before="0" w:after="0"/>
              <w:ind w:left="0" w:right="0" w:hanging="0"/>
              <w:jc w:val="left"/>
              <w:rPr/>
            </w:pPr>
            <w:r>
              <w:rPr/>
              <w:t>​</w:t>
            </w:r>
          </w:p>
        </w:tc>
        <w:tc>
          <w:tcPr>
            <w:tcW w:w="85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 w:type="dxa"/>
            <w:tcBorders/>
            <w:shd w:fill="FFFFFF" w:val="clear"/>
            <w:vAlign w:val="center"/>
          </w:tcPr>
          <w:p>
            <w:pPr>
              <w:pStyle w:val="TableContents"/>
              <w:bidi w:val="0"/>
              <w:spacing w:before="0" w:after="0"/>
              <w:ind w:left="0" w:right="0" w:hanging="0"/>
              <w:jc w:val="left"/>
              <w:rPr/>
            </w:pPr>
            <w:r>
              <w:rPr/>
              <w:t>​</w:t>
            </w:r>
          </w:p>
        </w:tc>
        <w:tc>
          <w:tcPr>
            <w:tcW w:w="571" w:type="dxa"/>
            <w:tcBorders/>
            <w:shd w:fill="FFFFFF" w:val="clear"/>
            <w:vAlign w:val="center"/>
          </w:tcPr>
          <w:p>
            <w:pPr>
              <w:pStyle w:val="TableContents"/>
              <w:bidi w:val="0"/>
              <w:spacing w:before="0" w:after="0"/>
              <w:ind w:left="0" w:right="0" w:hanging="0"/>
              <w:jc w:val="right"/>
              <w:rPr/>
            </w:pPr>
            <w:r>
              <w:rPr/>
              <w:t>​</w:t>
            </w:r>
          </w:p>
        </w:tc>
        <w:tc>
          <w:tcPr>
            <w:tcW w:w="162"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average loans receivable, net balances include nonaccrual loans carrying a zero yield.</w:t>
            </w:r>
          </w:p>
        </w:tc>
      </w:tr>
      <w:tr>
        <w:trPr/>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net deferred fee recognition of $3.1 million and $2.7 million for the six months ended June 30, 2026 and 2025, respectively.</w:t>
            </w:r>
          </w:p>
        </w:tc>
      </w:tr>
      <w:tr>
        <w:trPr/>
        <w:tc>
          <w:tcPr>
            <w:tcW w:w="2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Shown at amortized cost.</w:t>
            </w:r>
          </w:p>
        </w:tc>
      </w:tr>
      <w:tr>
        <w:trPr/>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income from fair value hedges of $327,000 and $542,000 for the six months ended June 30, 2026 and 2025, respectively.</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Net Interest Income. </w:t>
      </w:r>
      <w:r>
        <w:rPr>
          <w:rFonts w:ascii="Times New Roman" w:hAnsi="Times New Roman"/>
          <w:caps w:val="false"/>
          <w:smallCaps w:val="false"/>
          <w:sz w:val="20"/>
        </w:rPr>
        <w:t>Net interest income increased $2.1 million to $65.2 million for the six months ended June 30, 2026, from $63.1 million for the six months ended June 30, 2025, primarily due to an increase in total interest income of $3.5 million, partially offset by an increase in total interest expense of $1.4 million. The increase in total interest income was primarily due to a higher average balance of loans outstanding. The increase in total interest expense was primarily the result of a $1.0 million increase in deposit interest expense, reflecting significantly higher average balances in interest-bearing checking accounts, including brokered deposits, and a 95- basis point increase in the rate paid on those accounts.  Additionally, the repricing of the Company's subordinated notes to a floating rate on February 15, 2026, contributed $629,000 of incremental interest expense as the applicable interest rate increased following the repricing date.  These increases were partially offset by a $267,000 decrease in borrowing costs, as the Company reduced average borrowings by $5.9 million in accordance with its funding and liquidity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NIM (annualized) decreased one- basis point to 4.30% for the six months ended June 30, 2026, from 4.31% for the same period the prior year. The change in NIM primarily reflects the repricing of the Company's subordinated notes to a floating rate on February 15, 2026, which resulted in an estimated one-basis point decline in NIM for the period, and higher costs associated with growth in interest-bearing checking balances, including brokered deposits. These increases were substantially offset by lower costs on CDs and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Interest Income. </w:t>
      </w:r>
      <w:r>
        <w:rPr>
          <w:rFonts w:ascii="Times New Roman" w:hAnsi="Times New Roman"/>
          <w:caps w:val="false"/>
          <w:smallCaps w:val="false"/>
          <w:sz w:val="20"/>
        </w:rPr>
        <w:t>Total interest income for the six months ended June 30, 2026, increased $3.5 million to $99.0 million, from $95.5 million for the six months ended June 30, 2025. The increase was primarily due to a $3.9 million increase in interest income on loans receivable, including fees, as a result of higher average loan balances.  Offsetting this growth were decreases in interest income on taxable investment securities, FHLB stock, and interest-bearing deposits at other financial institutions, collectively totaling $370,000.  The decrease in interest income on taxable investment securities and FHLB stock primarily reflects lower average balances and lower yields, while the decrease in interest income on interest-bearing deposits at other financial institutions primarily reflects lower yields, partially offset by higher average balances.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compares average interest-earning asset balances, associated yields, and resulting changes in interest income for the six months ended June 30, 2026 and 2025:</w:t>
      </w:r>
    </w:p>
    <w:p>
      <w:pPr>
        <w:pStyle w:val="TextBody"/>
        <w:bidi w:val="0"/>
        <w:spacing w:before="0" w:after="0"/>
        <w:ind w:left="0" w:right="0" w:hanging="0"/>
        <w:jc w:val="left"/>
        <w:rPr/>
      </w:pPr>
      <w:r>
        <w:rPr/>
        <w:t> </w:t>
      </w:r>
    </w:p>
    <w:tbl>
      <w:tblPr>
        <w:tblW w:w="8845" w:type="dxa"/>
        <w:jc w:val="left"/>
        <w:tblInd w:w="0" w:type="dxa"/>
        <w:tblLayout w:type="fixed"/>
        <w:tblCellMar>
          <w:top w:w="0" w:type="dxa"/>
          <w:left w:w="0" w:type="dxa"/>
          <w:bottom w:w="0" w:type="dxa"/>
          <w:right w:w="0" w:type="dxa"/>
        </w:tblCellMar>
      </w:tblPr>
      <w:tblGrid>
        <w:gridCol w:w="4415"/>
        <w:gridCol w:w="23"/>
        <w:gridCol w:w="132"/>
        <w:gridCol w:w="893"/>
        <w:gridCol w:w="23"/>
        <w:gridCol w:w="23"/>
        <w:gridCol w:w="26"/>
        <w:gridCol w:w="444"/>
        <w:gridCol w:w="185"/>
        <w:gridCol w:w="23"/>
        <w:gridCol w:w="132"/>
        <w:gridCol w:w="893"/>
        <w:gridCol w:w="23"/>
        <w:gridCol w:w="23"/>
        <w:gridCol w:w="26"/>
        <w:gridCol w:w="444"/>
        <w:gridCol w:w="185"/>
        <w:gridCol w:w="23"/>
        <w:gridCol w:w="169"/>
        <w:gridCol w:w="660"/>
        <w:gridCol w:w="80"/>
      </w:tblGrid>
      <w:tr>
        <w:trPr/>
        <w:tc>
          <w:tcPr>
            <w:tcW w:w="4415" w:type="dxa"/>
            <w:tcBorders/>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23" w:type="dxa"/>
            <w:tcBorders/>
            <w:vAlign w:val="center"/>
          </w:tcPr>
          <w:p>
            <w:pPr>
              <w:pStyle w:val="TableContents"/>
              <w:bidi w:val="0"/>
              <w:spacing w:before="0" w:after="0"/>
              <w:ind w:left="0" w:right="0" w:hanging="0"/>
              <w:jc w:val="left"/>
              <w:rPr/>
            </w:pPr>
            <w:r>
              <w:rPr/>
              <w:t>​</w:t>
            </w:r>
          </w:p>
        </w:tc>
        <w:tc>
          <w:tcPr>
            <w:tcW w:w="4327"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1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69" w:type="dxa"/>
            <w:tcBorders/>
            <w:vAlign w:val="center"/>
          </w:tcPr>
          <w:p>
            <w:pPr>
              <w:pStyle w:val="TableContents"/>
              <w:bidi w:val="0"/>
              <w:spacing w:before="0" w:after="0"/>
              <w:ind w:left="0" w:right="0" w:hanging="0"/>
              <w:jc w:val="left"/>
              <w:rPr/>
            </w:pPr>
            <w:r>
              <w:rPr/>
              <w:t>​</w:t>
            </w:r>
          </w:p>
        </w:tc>
        <w:tc>
          <w:tcPr>
            <w:tcW w:w="660"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r>
      <w:tr>
        <w:trPr/>
        <w:tc>
          <w:tcPr>
            <w:tcW w:w="441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6" w:type="dxa"/>
            <w:tcBorders/>
            <w:vAlign w:val="center"/>
          </w:tcPr>
          <w:p>
            <w:pPr>
              <w:pStyle w:val="TableContents"/>
              <w:bidi w:val="0"/>
              <w:spacing w:before="0" w:after="0"/>
              <w:ind w:left="0" w:right="0" w:hanging="0"/>
              <w:jc w:val="left"/>
              <w:rPr/>
            </w:pPr>
            <w:r>
              <w:rPr/>
              <w:t>​</w:t>
            </w:r>
          </w:p>
        </w:tc>
        <w:tc>
          <w:tcPr>
            <w:tcW w:w="444"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6" w:type="dxa"/>
            <w:tcBorders/>
            <w:vAlign w:val="center"/>
          </w:tcPr>
          <w:p>
            <w:pPr>
              <w:pStyle w:val="TableContents"/>
              <w:bidi w:val="0"/>
              <w:spacing w:before="0" w:after="0"/>
              <w:ind w:left="0" w:right="0" w:hanging="0"/>
              <w:jc w:val="left"/>
              <w:rPr/>
            </w:pPr>
            <w:r>
              <w:rPr/>
              <w:t>​</w:t>
            </w:r>
          </w:p>
        </w:tc>
        <w:tc>
          <w:tcPr>
            <w:tcW w:w="444"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80" w:type="dxa"/>
            <w:tcBorders/>
            <w:vAlign w:val="center"/>
          </w:tcPr>
          <w:p>
            <w:pPr>
              <w:pStyle w:val="TableContents"/>
              <w:bidi w:val="0"/>
              <w:spacing w:before="0" w:after="0"/>
              <w:ind w:left="0" w:right="0" w:hanging="0"/>
              <w:jc w:val="left"/>
              <w:rPr/>
            </w:pPr>
            <w:r>
              <w:rPr/>
              <w:t>​</w:t>
            </w:r>
          </w:p>
        </w:tc>
      </w:tr>
      <w:tr>
        <w:trPr/>
        <w:tc>
          <w:tcPr>
            <w:tcW w:w="441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Balance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6" w:type="dxa"/>
            <w:tcBorders/>
            <w:vAlign w:val="center"/>
          </w:tcPr>
          <w:p>
            <w:pPr>
              <w:pStyle w:val="TableContents"/>
              <w:bidi w:val="0"/>
              <w:spacing w:before="0" w:after="0"/>
              <w:ind w:left="0" w:right="0" w:hanging="0"/>
              <w:jc w:val="left"/>
              <w:rPr/>
            </w:pPr>
            <w:r>
              <w:rPr/>
              <w:t>​</w:t>
            </w:r>
          </w:p>
        </w:tc>
        <w:tc>
          <w:tcPr>
            <w:tcW w:w="444"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Balance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6" w:type="dxa"/>
            <w:tcBorders/>
            <w:vAlign w:val="center"/>
          </w:tcPr>
          <w:p>
            <w:pPr>
              <w:pStyle w:val="TableContents"/>
              <w:bidi w:val="0"/>
              <w:spacing w:before="0" w:after="0"/>
              <w:ind w:left="0" w:right="0" w:hanging="0"/>
              <w:jc w:val="left"/>
              <w:rPr/>
            </w:pPr>
            <w:r>
              <w:rPr/>
              <w:t>​</w:t>
            </w:r>
          </w:p>
        </w:tc>
        <w:tc>
          <w:tcPr>
            <w:tcW w:w="444"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Interest</w:t>
            </w:r>
          </w:p>
        </w:tc>
        <w:tc>
          <w:tcPr>
            <w:tcW w:w="80" w:type="dxa"/>
            <w:tcBorders/>
            <w:vAlign w:val="center"/>
          </w:tcPr>
          <w:p>
            <w:pPr>
              <w:pStyle w:val="TableContents"/>
              <w:bidi w:val="0"/>
              <w:spacing w:before="0" w:after="0"/>
              <w:ind w:left="0" w:right="0" w:hanging="0"/>
              <w:jc w:val="left"/>
              <w:rPr/>
            </w:pPr>
            <w:r>
              <w:rPr/>
              <w:t>​</w:t>
            </w:r>
          </w:p>
        </w:tc>
      </w:tr>
      <w:tr>
        <w:trPr/>
        <w:tc>
          <w:tcPr>
            <w:tcW w:w="4415"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Outstanding</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Yield</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Outstanding</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Yield</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Income</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441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Loans receivable, net and loans held for sale (1)(2)</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2,698,436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2,586,761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3,874</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1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Investment securities – taxable (3)(4)</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8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249,955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4.15</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8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258,786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4.21</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9" w:type="dxa"/>
            <w:tcBorders/>
            <w:shd w:fill="FFFFFF" w:val="clear"/>
            <w:vAlign w:val="center"/>
          </w:tcPr>
          <w:p>
            <w:pPr>
              <w:pStyle w:val="TableContents"/>
              <w:bidi w:val="0"/>
              <w:spacing w:before="0" w:after="0"/>
              <w:ind w:left="0" w:right="0" w:hanging="0"/>
              <w:jc w:val="left"/>
              <w:rPr/>
            </w:pPr>
            <w:r>
              <w:rPr/>
              <w:t>​</w:t>
            </w:r>
          </w:p>
        </w:tc>
        <w:tc>
          <w:tcPr>
            <w:tcW w:w="6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41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Investment securities – nontaxable</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77,800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2.31</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77,900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2.30</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9" w:type="dxa"/>
            <w:tcBorders/>
            <w:shd w:fill="CCEEFF" w:val="clear"/>
            <w:vAlign w:val="center"/>
          </w:tcPr>
          <w:p>
            <w:pPr>
              <w:pStyle w:val="TableContents"/>
              <w:bidi w:val="0"/>
              <w:spacing w:before="0" w:after="0"/>
              <w:ind w:left="0" w:right="0" w:hanging="0"/>
              <w:jc w:val="left"/>
              <w:rPr/>
            </w:pPr>
            <w:r>
              <w:rPr/>
              <w:t>​</w:t>
            </w:r>
          </w:p>
        </w:tc>
        <w:tc>
          <w:tcPr>
            <w:tcW w:w="66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4415"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FHLB stock</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8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9,699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9.00</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8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10,353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9.29</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9" w:type="dxa"/>
            <w:tcBorders/>
            <w:shd w:fill="FFFFFF" w:val="clear"/>
            <w:vAlign w:val="center"/>
          </w:tcPr>
          <w:p>
            <w:pPr>
              <w:pStyle w:val="TableContents"/>
              <w:bidi w:val="0"/>
              <w:spacing w:before="0" w:after="0"/>
              <w:ind w:left="0" w:right="0" w:hanging="0"/>
              <w:jc w:val="left"/>
              <w:rPr/>
            </w:pPr>
            <w:r>
              <w:rPr/>
              <w:t>​</w:t>
            </w:r>
          </w:p>
        </w:tc>
        <w:tc>
          <w:tcPr>
            <w:tcW w:w="66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415"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Interest-bearing deposits at other financial institutions</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18,418</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3.46</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17,840</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44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4.25</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6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441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interest-earning assets</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3,054,308</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6.54</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2,951,640</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44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6.52</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9"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6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3,505</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9"/>
        <w:gridCol w:w="9966"/>
      </w:tblGrid>
      <w:tr>
        <w:trPr/>
        <w:tc>
          <w:tcPr>
            <w:tcW w:w="2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6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average loans receivable, net balances include nonaccrual loans carrying a zero yield.</w:t>
            </w:r>
          </w:p>
        </w:tc>
      </w:tr>
      <w:tr>
        <w:trPr/>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net deferred fee recognition of $3.1 million and $2.7 million for the six months ended June 30, 2026 and 2025, respectively.</w:t>
            </w:r>
          </w:p>
        </w:tc>
      </w:tr>
      <w:tr>
        <w:trPr/>
        <w:tc>
          <w:tcPr>
            <w:tcW w:w="2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996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Shown at amortized cost.</w:t>
            </w:r>
          </w:p>
        </w:tc>
      </w:tr>
      <w:tr>
        <w:trPr/>
        <w:tc>
          <w:tcPr>
            <w:tcW w:w="23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96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income from fair value hedges of $327,000 and $542,000 for the six months ended June 30, 2026 and 2025, respectively.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Interest Expense. </w:t>
      </w:r>
      <w:r>
        <w:rPr>
          <w:rFonts w:ascii="Times New Roman" w:hAnsi="Times New Roman"/>
          <w:caps w:val="false"/>
          <w:smallCaps w:val="false"/>
          <w:sz w:val="20"/>
        </w:rPr>
        <w:t>Total interest expense increased $1.4 million to $33.8 million for the six months ended June 30, 2026, from $32.4 million for the comparable period in 2025, primarily due to an increase in interest expense on deposits and subordinated notes, partially offset by a decrease in interest expense on borrowings. The higher deposit costs were the result of an increase in interest-bearing checking balances, including brokered deposits, combined with a 95-basis point increase in the average rate paid on interest-bearing checking accounts.  These increases were partially offset by a $2.4 million decrease in interest expense on CDs due to lower average CD balances and a 16-basis point decline in CD rates.  The increase in subordinated note expense resulted from the repricing of the Company's subordinated notes to a floating rate on February 15,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average cost of total interest-bearing deposits decreased seven-basis points to 2.94% for the six months ended June 30, 2026, compared to 3.01% for the six months ended June 30, 2025, primarily reflecting lower rates paid on CDs, partially offset by higher rates paid on savings, money market, and interest-bearing checking accounts. The average balance of total interest-bearing deposits increased $114.3 million to $1.96 billion primarily due to growth in interest-bearing checking balances, including brokered deposits, and higher average savings and money market balances.  These increases were partially offset by a decrease in average CD balances.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average cost of total interest-bearing liabilities similarly decreased two basis points to 3.12%, reflecting the benefit of lower borrowing costs resulting from both a decrease in average borrowings of $5.9 million, and a decline in the average borrowing rate. The average cost of funds, which includes noninterest-bearing checking, increased two-basis points to 2.40%, from 2.38% for the six months ended June 30, 2025, primarily reflecting a lower proportion of noninterest-bearing deposits in the overall funding mix.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details average balances of interest-bearing liabilities, associated rates, and resulting change in interest expense for the six months ended June 30, 2026 and 2025:</w:t>
      </w:r>
    </w:p>
    <w:p>
      <w:pPr>
        <w:pStyle w:val="TextBody"/>
        <w:bidi w:val="0"/>
        <w:spacing w:before="0" w:after="0"/>
        <w:ind w:left="0" w:right="0" w:hanging="0"/>
        <w:jc w:val="left"/>
        <w:rPr/>
      </w:pPr>
      <w:r>
        <w:rPr/>
        <w:t> </w:t>
      </w:r>
    </w:p>
    <w:tbl>
      <w:tblPr>
        <w:tblW w:w="6896" w:type="dxa"/>
        <w:jc w:val="left"/>
        <w:tblInd w:w="0" w:type="dxa"/>
        <w:tblLayout w:type="fixed"/>
        <w:tblCellMar>
          <w:top w:w="0" w:type="dxa"/>
          <w:left w:w="0" w:type="dxa"/>
          <w:bottom w:w="0" w:type="dxa"/>
          <w:right w:w="0" w:type="dxa"/>
        </w:tblCellMar>
      </w:tblPr>
      <w:tblGrid>
        <w:gridCol w:w="2600"/>
        <w:gridCol w:w="23"/>
        <w:gridCol w:w="132"/>
        <w:gridCol w:w="893"/>
        <w:gridCol w:w="23"/>
        <w:gridCol w:w="23"/>
        <w:gridCol w:w="23"/>
        <w:gridCol w:w="380"/>
        <w:gridCol w:w="185"/>
        <w:gridCol w:w="23"/>
        <w:gridCol w:w="132"/>
        <w:gridCol w:w="893"/>
        <w:gridCol w:w="23"/>
        <w:gridCol w:w="23"/>
        <w:gridCol w:w="23"/>
        <w:gridCol w:w="380"/>
        <w:gridCol w:w="185"/>
        <w:gridCol w:w="23"/>
        <w:gridCol w:w="154"/>
        <w:gridCol w:w="675"/>
        <w:gridCol w:w="80"/>
      </w:tblGrid>
      <w:tr>
        <w:trPr/>
        <w:tc>
          <w:tcPr>
            <w:tcW w:w="2600" w:type="dxa"/>
            <w:tcBorders/>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(Dollars in thousands)</w:t>
            </w:r>
          </w:p>
        </w:tc>
        <w:tc>
          <w:tcPr>
            <w:tcW w:w="23" w:type="dxa"/>
            <w:tcBorders/>
            <w:vAlign w:val="center"/>
          </w:tcPr>
          <w:p>
            <w:pPr>
              <w:pStyle w:val="TableContents"/>
              <w:bidi w:val="0"/>
              <w:spacing w:before="0" w:after="0"/>
              <w:ind w:left="0" w:right="0" w:hanging="0"/>
              <w:jc w:val="left"/>
              <w:rPr/>
            </w:pPr>
            <w:r>
              <w:rPr/>
              <w:t>​</w:t>
            </w:r>
          </w:p>
        </w:tc>
        <w:tc>
          <w:tcPr>
            <w:tcW w:w="4193"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Six Months Ended June 30,</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0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47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2026</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47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2025</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c>
          <w:tcPr>
            <w:tcW w:w="675" w:type="dxa"/>
            <w:tcBorders/>
            <w:vAlign w:val="center"/>
          </w:tcPr>
          <w:p>
            <w:pPr>
              <w:pStyle w:val="TableContents"/>
              <w:bidi w:val="0"/>
              <w:spacing w:before="0" w:after="0"/>
              <w:ind w:left="0" w:right="0" w:hanging="0"/>
              <w:jc w:val="center"/>
              <w:rPr/>
            </w:pPr>
            <w:r>
              <w:rPr/>
              <w:t>​</w:t>
            </w:r>
          </w:p>
        </w:tc>
        <w:tc>
          <w:tcPr>
            <w:tcW w:w="80" w:type="dxa"/>
            <w:tcBorders/>
            <w:vAlign w:val="center"/>
          </w:tcPr>
          <w:p>
            <w:pPr>
              <w:pStyle w:val="TableContents"/>
              <w:bidi w:val="0"/>
              <w:spacing w:before="0" w:after="0"/>
              <w:ind w:left="0" w:right="0" w:hanging="0"/>
              <w:jc w:val="left"/>
              <w:rPr/>
            </w:pPr>
            <w:r>
              <w:rPr/>
              <w:t>​</w:t>
            </w:r>
          </w:p>
        </w:tc>
      </w:tr>
      <w:tr>
        <w:trPr/>
        <w:tc>
          <w:tcPr>
            <w:tcW w:w="260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 Change</w:t>
            </w:r>
          </w:p>
        </w:tc>
        <w:tc>
          <w:tcPr>
            <w:tcW w:w="80" w:type="dxa"/>
            <w:tcBorders/>
            <w:vAlign w:val="center"/>
          </w:tcPr>
          <w:p>
            <w:pPr>
              <w:pStyle w:val="TableContents"/>
              <w:bidi w:val="0"/>
              <w:spacing w:before="0" w:after="0"/>
              <w:ind w:left="0" w:right="0" w:hanging="0"/>
              <w:jc w:val="left"/>
              <w:rPr/>
            </w:pPr>
            <w:r>
              <w:rPr/>
              <w:t>​</w:t>
            </w:r>
          </w:p>
        </w:tc>
      </w:tr>
      <w:tr>
        <w:trPr/>
        <w:tc>
          <w:tcPr>
            <w:tcW w:w="260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Balance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Balance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80" w:type="dxa"/>
            <w:tcBorders/>
            <w:vAlign w:val="center"/>
          </w:tcPr>
          <w:p>
            <w:pPr>
              <w:pStyle w:val="TableContents"/>
              <w:bidi w:val="0"/>
              <w:spacing w:before="0" w:after="0"/>
              <w:ind w:left="0" w:right="0" w:hanging="0"/>
              <w:jc w:val="center"/>
              <w:rPr/>
            </w:pPr>
            <w:r>
              <w:rPr/>
              <w:t>​</w:t>
            </w:r>
          </w:p>
        </w:tc>
        <w:tc>
          <w:tcPr>
            <w:tcW w:w="1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9" w:type="dxa"/>
            <w:gridSpan w:val="2"/>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Interest</w:t>
            </w:r>
          </w:p>
        </w:tc>
        <w:tc>
          <w:tcPr>
            <w:tcW w:w="80" w:type="dxa"/>
            <w:tcBorders/>
            <w:vAlign w:val="center"/>
          </w:tcPr>
          <w:p>
            <w:pPr>
              <w:pStyle w:val="TableContents"/>
              <w:bidi w:val="0"/>
              <w:spacing w:before="0" w:after="0"/>
              <w:ind w:left="0" w:right="0" w:hanging="0"/>
              <w:jc w:val="left"/>
              <w:rPr/>
            </w:pPr>
            <w:r>
              <w:rPr/>
              <w:t>​</w:t>
            </w:r>
          </w:p>
        </w:tc>
      </w:tr>
      <w:tr>
        <w:trPr/>
        <w:tc>
          <w:tcPr>
            <w:tcW w:w="2600" w:type="dxa"/>
            <w:tcBorders/>
            <w:vAlign w:val="center"/>
          </w:tcPr>
          <w:p>
            <w:pPr>
              <w:pStyle w:val="TableContents"/>
              <w:bidi w:val="0"/>
              <w:spacing w:before="0" w:after="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Outstanding</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Rate</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2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Outstanding</w:t>
            </w:r>
          </w:p>
        </w:tc>
        <w:tc>
          <w:tcPr>
            <w:tcW w:w="23"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40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Rate</w:t>
            </w:r>
          </w:p>
        </w:tc>
        <w:tc>
          <w:tcPr>
            <w:tcW w:w="185"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Expense</w:t>
            </w:r>
          </w:p>
        </w:tc>
        <w:tc>
          <w:tcPr>
            <w:tcW w:w="80"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r>
      <w:tr>
        <w:trPr/>
        <w:tc>
          <w:tcPr>
            <w:tcW w:w="260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Savings and money market</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552,572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500,047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7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712</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260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Interest-bearing checking</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8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333,027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8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191,026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1.65</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67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2,733</w:t>
            </w:r>
          </w:p>
        </w:tc>
        <w:tc>
          <w:tcPr>
            <w:tcW w:w="80" w:type="dxa"/>
            <w:tcBorders/>
            <w:shd w:fill="FFFFFF" w:val="clear"/>
            <w:vAlign w:val="center"/>
          </w:tcPr>
          <w:p>
            <w:pPr>
              <w:pStyle w:val="TableContents"/>
              <w:bidi w:val="0"/>
              <w:spacing w:before="0" w:after="0"/>
              <w:ind w:left="0" w:right="0" w:hanging="0"/>
              <w:jc w:val="left"/>
              <w:rPr/>
            </w:pPr>
            <w:r>
              <w:rPr/>
              <w:t>​</w:t>
            </w:r>
          </w:p>
        </w:tc>
      </w:tr>
      <w:tr>
        <w:trPr/>
        <w:tc>
          <w:tcPr>
            <w:tcW w:w="260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Certificates of deposit</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1,074,235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3.69</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89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1,154,461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3.85</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shd w:fill="CCEEFF" w:val="clear"/>
            <w:vAlign w:val="center"/>
          </w:tcPr>
          <w:p>
            <w:pPr>
              <w:pStyle w:val="TableContents"/>
              <w:bidi w:val="0"/>
              <w:spacing w:before="0" w:after="0"/>
              <w:ind w:left="0" w:right="0" w:hanging="0"/>
              <w:jc w:val="left"/>
              <w:rPr/>
            </w:pPr>
            <w:r>
              <w:rPr/>
              <w:t>​</w:t>
            </w:r>
          </w:p>
        </w:tc>
        <w:tc>
          <w:tcPr>
            <w:tcW w:w="67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(2,402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60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Borrowings</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8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178,467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4.05</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89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184,377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4.21</w:t>
            </w:r>
          </w:p>
        </w:tc>
        <w:tc>
          <w:tcPr>
            <w:tcW w:w="18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shd w:fill="FFFFFF" w:val="clear"/>
            <w:vAlign w:val="center"/>
          </w:tcPr>
          <w:p>
            <w:pPr>
              <w:pStyle w:val="TableContents"/>
              <w:bidi w:val="0"/>
              <w:spacing w:before="0" w:after="0"/>
              <w:ind w:left="0" w:right="0" w:hanging="0"/>
              <w:jc w:val="left"/>
              <w:rPr/>
            </w:pPr>
            <w:r>
              <w:rPr/>
              <w:t>​</w:t>
            </w:r>
          </w:p>
        </w:tc>
        <w:tc>
          <w:tcPr>
            <w:tcW w:w="67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600" w:type="dxa"/>
            <w:tcBorders/>
            <w:shd w:fill="CCEE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Subordinated note</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49,675</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6.50</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9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49,608</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38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3.95</w:t>
            </w:r>
          </w:p>
        </w:tc>
        <w:tc>
          <w:tcPr>
            <w:tcW w:w="18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5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629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r>
      <w:tr>
        <w:trPr/>
        <w:tc>
          <w:tcPr>
            <w:tcW w:w="2600" w:type="dxa"/>
            <w:tcBorders/>
            <w:shd w:fill="FFFFFF" w:val="cle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interest-bearing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2,187,976</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3.12</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2,079,519</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38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3.14</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5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7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1,405</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Provision for Credit Losses.</w:t>
      </w:r>
      <w:r>
        <w:rPr>
          <w:rFonts w:ascii="Times New Roman" w:hAnsi="Times New Roman"/>
          <w:caps w:val="false"/>
          <w:smallCaps w:val="false"/>
          <w:sz w:val="20"/>
        </w:rPr>
        <w:t xml:space="preserve"> For the six months ended June 30, 2026, the provision for credit losses was $5.2 million, consisting of a $5.2 million provision for credit losses on loans and a $39,000 recovery of credit losses on unfunded loan commitments. This compares to a $3.6 million provision for credit losses for the six months ended June 30, 2025. which consisted of a $3.2 million provision for credit losses on loans, a $217,000 provision for credit losses on unfunded loan commitments, and a $175,000 provision for credit losses on held-to-maturity investments. The increase in the provision for credit losses on loans primarily reflects an increase in nonperforming loans and higher net charge</w:t>
        <w:noBreakHyphen/>
        <w:t>offs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loan charge-offs totaled $6.0 million for the six months ended June 30, 2026, compared to $2.9 million during the six months ended June 30, 2025. The increase was primarily due to a $2.3 million increase in commercial construction loan net charge-offs and an $882,000 increase in indirect home improvement loan net charge-offs, partially offset by a $172,000 decrease in commercial business loan net charge-offs, with the remainder attributable to slightly higher net charge-offs in marine and consumer loans. The rise in indirect home improvement and consumer loan net charge-offs reflects continued credit stress in those portfolios amid a challenging economic environment that could result in a material increase in the ACL on loans and adversely affect the Company’s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Noninterest Income. </w:t>
      </w:r>
      <w:r>
        <w:rPr>
          <w:rFonts w:ascii="Times New Roman" w:hAnsi="Times New Roman"/>
          <w:caps w:val="false"/>
          <w:smallCaps w:val="false"/>
          <w:sz w:val="20"/>
        </w:rPr>
        <w:t>Noninterest income increased $1.3 million to $11.6 million for the six months ended June 30, 2026, from $10.3 million for the six months ended June 30, 2025.  The increase was primarily due to a $1.3 million increase in gain on sale of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 xml:space="preserve">Noninterest Expense. </w:t>
      </w:r>
      <w:r>
        <w:rPr>
          <w:rFonts w:ascii="Times New Roman" w:hAnsi="Times New Roman"/>
          <w:caps w:val="false"/>
          <w:smallCaps w:val="false"/>
          <w:sz w:val="20"/>
        </w:rPr>
        <w:t>Noninterest expense increased $1.1 million to $51.6 million for the six months ended June 30, 2026, compared to $50.6 million for the six months ended June 30, 2025. The increase was primarily due to a $1.8 million increase in salaries and benefits, including a $1.5 million increase resulting from annual compensation adjustments implemented during the second quarter as part of the Company’s annual compensation review process, as well as higher benefit costs.  In addition, the Company recorded $712,000 in acquisition related costs associated with the previously announced merger with Pacific West, and a $515,000 increase in loan costs, partially offset by decreases of $1.2 million in operations expense, primarily due to a reduction in the mortgage repurchasing reserve previously mentioned and $762,000 in data processing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efficiency ratio improved to 67.27% for the six months ended June 30, 2026, compared to 68.89% for the six months ended June 30, 2025, due to revenue growth outpacing noninterest expense.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Provision for Income Taxes.</w:t>
      </w:r>
      <w:r>
        <w:rPr>
          <w:rFonts w:ascii="Times New Roman;Times;serif" w:hAnsi="Times New Roman;Times;serif"/>
          <w:i/>
          <w:sz w:val="20"/>
        </w:rPr>
        <w:t xml:space="preserve"> </w:t>
      </w:r>
      <w:r>
        <w:rPr>
          <w:rFonts w:ascii="Times New Roman;Times;serif" w:hAnsi="Times New Roman;Times;serif"/>
          <w:sz w:val="20"/>
        </w:rPr>
        <w:t>For the six months ended June 30, 2026, the Company recorded a provision for income taxes of $4.2 million, compared to $3.5 million for the six months ended June 30, 2025.  The effective corporate income tax rates for the six months ended June 30, 2026 and 2025, were 21.0% and 18.1%, respectively. The increase in both the provision and effective tax rate was primarily attributable to the absence of alternative energy tax credits under the Inflation Reduction Act of 2022, which benefited the comparable period in the prior year.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Liquidity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maintains a liquidity position that it believes will adequately provide funding for loan demand and deposit fluctuations that may occur in the normal course of business. The Company relies on several different sources to meet potential liquidity demands. The primary sources are increases in deposits, FHLB borrowings, purchases of federal funds, sale of securities available-for-sale, cash flows from loan payments, sales of one-to-four-family loans held for sale, and maturing securities. While the maturities and the scheduled amortization of loans are a predictable source of funds, deposit flows and mortgage prepayments are greatly influenced by general interest rates, economic conditions and competition.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 must maintain an adequate level of liquidity to ensure the availability of sufficient funds to fund its operations. The Bank generally maintains sufficient cash and short-term investments to meet short-term liquidity needs. At June 30, 2026, the Bank’s total borrowing capacity was $751.4 million with the FHLB of Des Moines, with unused borrowing capacity of $474.8 million. The FHLB borrowing limit is based on certain categories of loans, primarily real estate loans that qualify as collateral for FHLB borrowings.  At June 30, 2026, the Bank held approximately $1.10 billion in loans that qualify as collateral for FHLB borrowings.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to the availability of liquidity from the FHLB of Des Moines, the Bank maintains a short-term borrowing line with the FRB with a limit of $259.7 million and a combined credit limit of $101.0 million in written federal funds lines of credit through correspondent banking relationships at June 30, 2026. The FRB borrowing limit is based on certain categories of loans, primarily consumer loans that qualify as collateral for FRB line of credit.  At June 30, 2026, the Bank held approximately $559.0 million in loans that qualify as collateral for the FRB line of credit. There were $54.0 million of outstanding borrowings with the FRB and no outstanding borrowings with correspondent banks as of June 30, 2026, compared to no outstanding borrowings with either source as of December 31, 2025.   Subject to market conditions, we expect to utilize these borrowing facilities from time to time in the future to fund loan originations and deposit withdrawals, to satisfy other financial commitments, repay maturing debt, and to take advantage of investment opportunities to the extent feasible.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Bank’s Asset and Liability Management Policy permits management to utilize brokered deposits up to 20% of deposits or $491.0 million at June 30, 2026. Total brokered deposits at June 30, 2026 were $126.4 million. Brokered deposits decreased during the six months ended June 30, 2026  as the Company utilized FHLB borrowings as an alternative source of liquidity.  Management utilizes brokered deposits to mitigate interest rate risk and to enhance liquidity when appropriate.</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Liquidity management is both a daily and long-term function of the Company’s management. Excess liquidity is generally invested in short-term investments, such as overnight deposits and federal funds. On a longer-term basis, the Company maintains a strategy of investing in various lending products and investment securities, including U.S. Government obligations and U.S. agency securities. The Company uses sources of funds primarily to meet ongoing commitments, pay maturing deposits, fund withdrawals, and to fund loan commitments. At June 30, 2026, outstanding loan commitments, including unused lines of credit totaled $683.7 million. The Company purchased $22.0 million in securities during the six months ended June 30, 2026. The Company purchased $69.8 million in securities during the six months ended June 30, 2025. Proceeds from securities repayments, maturities and sales were $38.6 million and $26.2 million during the six months ended June 30, 2026 and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Bank’s liquidity is also affected by the volume of loans sold and loan principal payments. During the six months ended June 30, 2026 and 2025, the Bank sold $310.8 million and $219.0 million in loans, respectively.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deposits decreased $224.8 million during the six months ended June 30, 2026, primarily driven by a net decrease in brokered deposits of $169.0 million. CDs scheduled to mature in three months or less at June 30, 2026, totaled $393.0 million. It is management’s policy to offer deposit rates that are competitive with other local financial institutions. Based on this strategy, management believes that a majority of maturing relationship deposits will remain with the Bank.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remainder of 2026, we project that fixed commitments will include $726,000 of operating lease payments. For information regarding our operating leases, see “Note 6 – Leases” of the Notes to Consolidated Financial Statements included in this report. FHLB borrowings of $253.0 million are scheduled to mature within the next twelve months.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separate legal entity from the Bank, FS Bancorp, Inc. must provide for its own liquidity. In addition to its own operating expenses, FS Bancorp is responsible for paying for any stock repurchases, dividends declared to its stockholders, interest and principal on outstanding debt, and other general corporate expenses. Sources of capital and liquidity for FS Bancorp include distributions from the Bank and the issuance of debt or equity securities, although there are regulatory restrictions that limit the Bank’s ability to make such distributions.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Dividends and other capital distributions from the Bank are subject to regulatory notice and certain restrictions. Unrestricted cash held by FS Bancorp on an unconsolidated basis totaled $6.1 million at June 30, 2026. The Company currently expects to continue paying quarterly cash dividends on common stock subject to the Board of Directors’ discretion to modify or terminate this practice at any time and for any reason without prior notice. The current quarterly common stock dividend rate is $0.29 per share, which the Board of Directors believes balances its objectives of managing and investing in the Bank and returning a substantial portion of cash to shareholders. Assuming continued payment during 2026 at this rate of $0.29 per share, the Company’ total dividends paid each quarter would be approximately $2.2 million based on the number of shares outstanding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FS Bancorp’s existing stock repurchase program, no amounts remained available for future repurchases as of June 30, 2026.  See “Unregistered Sales of Equity Securities and Use of Proceeds” in Item 2, Part II of this Form 10-Q for additional information relating to stock repurchases.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Capital Resources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Bank is subject to minimum capital requirements imposed by the FDIC. Based on its capital levels at June 30, 2026, the Bank exceeded these requirements as of that date. Consistent with our goals to operate a sound and profitable organization, our policy is for the Bank to maintain a well-capitalized status under the capital categories of the FDIC. Based on capital levels at June 30, 2026, the Bank was considered to be “well capitalized”. At June 30, 2026, the Bank exceeded all regulatory capital requirements with Tier 1 leverage-based capital, Tier 1 risk-based capital, total risk-based capital, and common equity Tier 1 capital ratios of 11.43%, 12.84%, 14.01%, and 12.84%,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bookmarkStart w:id="13" w:name="mdaend"/>
      <w:bookmarkEnd w:id="13"/>
      <w:r>
        <w:rPr>
          <w:rFonts w:ascii="Times New Roman" w:hAnsi="Times New Roman"/>
          <w:caps w:val="false"/>
          <w:smallCaps w:val="false"/>
          <w:sz w:val="20"/>
        </w:rPr>
        <w:t>As a bank holding company registered with the Federal Reserve, FS Bancorp is subject to the capital adequacy requirements of the Federal Reserve. Bank holding companies with $3.0 billion or more in total assets are required to comply with the Federal Reserve’s capital regulations, which are generally consistent with the capital regulations applicable to the Bank. Under these regulations, the Federal Reserve expects the holding company to serve as a source of financial and managerial strength to its subsidiary bank and expects the subsidiary bank to be well capitalized under prompt corrective action regulations.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FS Bancorp is subject to these regulatory capital guidelines as of June 30, 2026, and has exceeded all applicable minimum capital requirements. The regulatory capital ratios calculated for FS Bancorp at June 30, 2026, were as follows: Tier 1 leverage-based capital ratio, 10.05%; Tier 1 risk-based capital ratio, 11.29%; total risk-based capital ratio, 13.87%; and CET 1 capital ratio, 11.29%.  For additional information regarding regulatory capital compliance and regulatory minimums, see “Note 12 – Regulatory Capital” of the Notes to Consolidated Financial Statements included in Part I. Item 1 of this report.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4" w:name="qqd"/>
      <w:bookmarkEnd w:id="14"/>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3. </w:t>
      </w:r>
      <w:r>
        <w:rPr>
          <w:rFonts w:ascii="Times New Roman" w:hAnsi="Times New Roman"/>
          <w:caps w:val="false"/>
          <w:smallCaps w:val="false"/>
          <w:sz w:val="20"/>
        </w:rPr>
        <w:t xml:space="preserve"> </w:t>
      </w:r>
      <w:r>
        <w:rPr>
          <w:rFonts w:ascii="Times New Roman" w:hAnsi="Times New Roman"/>
          <w:b/>
          <w:caps w:val="false"/>
          <w:smallCaps w:val="false"/>
          <w:sz w:val="20"/>
        </w:rPr>
        <w:t>Quantitative and Qualitative Disclosures About Market Risk</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the market risk disclosures contained in FS Bancorp’s 2025 Form 10-K.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5" w:name="controls"/>
      <w:bookmarkEnd w:id="15"/>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4. </w:t>
      </w:r>
      <w:r>
        <w:rPr>
          <w:rFonts w:ascii="Times New Roman" w:hAnsi="Times New Roman"/>
          <w:caps w:val="false"/>
          <w:smallCaps w:val="false"/>
          <w:sz w:val="20"/>
        </w:rPr>
        <w:t xml:space="preserve"> </w:t>
      </w:r>
      <w:r>
        <w:rPr>
          <w:rFonts w:ascii="Times New Roman" w:hAnsi="Times New Roman"/>
          <w:b/>
          <w:caps w:val="false"/>
          <w:smallCaps w:val="false"/>
          <w:sz w:val="20"/>
        </w:rPr>
        <w:t>Controls and Procedures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xml:space="preserve">         </w:t>
      </w:r>
      <w:r>
        <w:rPr>
          <w:rFonts w:ascii="Times New Roman" w:hAnsi="Times New Roman"/>
          <w:b/>
          <w:caps w:val="false"/>
          <w:smallCaps w:val="false"/>
          <w:sz w:val="20"/>
        </w:rPr>
        <w:t>Evaluation of Disclosure Controls and Procedures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evaluation of the disclosure controls and procedures, as defined in Rule 13a</w:t>
        <w:noBreakHyphen/>
        <w:t>15(e) of the Exchange Act, as amended (the “Exchange Act”), was carried out as of June 30, 2026, under the supervision and with the participation of the Company’s Chief Executive Officer (“CEO”) and Chief Financial Officer (“CFO”) and other members of the Company’s senior management. In designing and evaluating the Company’s disclosure controls and procedures, management recognized that disclosure controls and procedures, no matter how well conceived and operated, can provide only reasonable, not absolute, assurance that the objectives of the disclosure controls and procedures are met. Additionally, in designing disclosure controls and procedures, management necessarily applied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upon the foregoing evaluation, the Company’s CEO and CFO concluded that as of June 30, 2026, the Company’s disclosure controls and procedures were effective in ensuring that information the Company was required to disclose in the reports it files or submits under the Exchange Act is (1) recorded, processed, summarized, and reported within the time periods specified in the SEC’s rules and forms, and (2) accumulated and communicated to the Company’s management, including its CEO and CFO, as appropriate to allow timely decisions regarding required disclosure, specified in the SEC’s rules and forms.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xml:space="preserve">         </w:t>
      </w:r>
      <w:r>
        <w:rPr>
          <w:rFonts w:ascii="Times New Roman" w:hAnsi="Times New Roman"/>
          <w:b/>
          <w:caps w:val="false"/>
          <w:smallCaps w:val="false"/>
          <w:sz w:val="20"/>
        </w:rPr>
        <w:t>Changes in Internal Controls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were no changes in the Company’s internal control over financial reporting that occurred during the three months ended June 30, 2026, that have materially affected or are reasonably likely to materially affect its internal control over financial reporting. The Company does not expect that its disclosure controls and procedures and internal control over financial reporting will prevent all errors and fraud. A control procedure, no matter how well conceived and operated, can provide only reasonable, not absolute assurance that the objectives of the control procedure are met. Because of the inherent limitations in all control procedures,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may be circumvented by the individual acts of some persons, by collusion of two or more people, or by override of the control. The design of any control procedure is also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cost-effective control procedures, misstatements due to error or fraud may occur and remain undetected.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bookmarkStart w:id="16" w:name="part2other"/>
      <w:bookmarkEnd w:id="16"/>
      <w:r>
        <w:rPr>
          <w:rFonts w:ascii="Times New Roman" w:hAnsi="Times New Roman"/>
          <w:b/>
          <w:caps w:val="false"/>
          <w:smallCaps w:val="false"/>
          <w:sz w:val="20"/>
        </w:rPr>
        <w:t>PART II. OTHER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7" w:name="legal"/>
      <w:bookmarkEnd w:id="17"/>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caps w:val="false"/>
          <w:smallCaps w:val="false"/>
          <w:sz w:val="20"/>
        </w:rPr>
        <w:t>Legal Proceedings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normal course of business, the Company occasionally becomes involved in various legal proceedings. In the opinion of management, any liability from such proceedings would not have a material adverse effect on the business or financial condition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8" w:name="risk"/>
      <w:bookmarkEnd w:id="18"/>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1A.</w:t>
      </w:r>
      <w:r>
        <w:rPr>
          <w:rFonts w:ascii="Times New Roman" w:hAnsi="Times New Roman"/>
          <w:caps w:val="false"/>
          <w:smallCaps w:val="false"/>
          <w:sz w:val="20"/>
        </w:rPr>
        <w:t xml:space="preserve">  </w:t>
      </w:r>
      <w:r>
        <w:rPr>
          <w:rFonts w:ascii="Times New Roman" w:hAnsi="Times New Roman"/>
          <w:b/>
          <w:caps w:val="false"/>
          <w:smallCaps w:val="false"/>
          <w:sz w:val="20"/>
        </w:rPr>
        <w:t>Risk Factors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in the Risk Factors previously disclosed in FS Bancorp’s 2025 Form 10-K.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9" w:name="unregistered"/>
      <w:bookmarkEnd w:id="19"/>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2.</w:t>
      </w:r>
      <w:r>
        <w:rPr>
          <w:rFonts w:ascii="Times New Roman" w:hAnsi="Times New Roman"/>
          <w:caps w:val="false"/>
          <w:smallCaps w:val="false"/>
          <w:sz w:val="20"/>
        </w:rPr>
        <w:t xml:space="preserve">  </w:t>
      </w:r>
      <w:r>
        <w:rPr>
          <w:rFonts w:ascii="Times New Roman" w:hAnsi="Times New Roman"/>
          <w:b/>
          <w:caps w:val="false"/>
          <w:smallCaps w:val="false"/>
          <w:sz w:val="20"/>
        </w:rPr>
        <w:t>Unregistered Sales of Equity Securities and Use of Proceeds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450" w:type="dxa"/>
        <w:jc w:val="left"/>
        <w:tblInd w:w="0" w:type="dxa"/>
        <w:tblLayout w:type="fixed"/>
        <w:tblCellMar>
          <w:top w:w="0" w:type="dxa"/>
          <w:left w:w="0" w:type="dxa"/>
          <w:bottom w:w="0" w:type="dxa"/>
          <w:right w:w="0" w:type="dxa"/>
        </w:tblCellMar>
      </w:tblPr>
      <w:tblGrid>
        <w:gridCol w:w="230"/>
        <w:gridCol w:w="122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1465" w:type="dxa"/>
        <w:jc w:val="left"/>
        <w:tblInd w:w="0" w:type="dxa"/>
        <w:tblLayout w:type="fixed"/>
        <w:tblCellMar>
          <w:top w:w="0" w:type="dxa"/>
          <w:left w:w="0" w:type="dxa"/>
          <w:bottom w:w="0" w:type="dxa"/>
          <w:right w:w="0" w:type="dxa"/>
        </w:tblCellMar>
      </w:tblPr>
      <w:tblGrid>
        <w:gridCol w:w="245"/>
        <w:gridCol w:w="122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2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 applicable</w:t>
            </w:r>
          </w:p>
        </w:tc>
      </w:tr>
    </w:tbl>
    <w:p>
      <w:pPr>
        <w:pStyle w:val="TextBody"/>
        <w:bidi w:val="0"/>
        <w:spacing w:before="0" w:after="0"/>
        <w:ind w:left="0" w:right="0" w:hanging="0"/>
        <w:jc w:val="left"/>
        <w:rPr>
          <w:caps w:val="false"/>
          <w:smallCaps w:val="false"/>
        </w:rPr>
      </w:pPr>
      <w:r>
        <w:rPr>
          <w:caps w:val="false"/>
          <w:smallCaps w:val="false"/>
        </w:rPr>
        <w:t> </w:t>
      </w:r>
    </w:p>
    <w:tbl>
      <w:tblPr>
        <w:tblW w:w="8830" w:type="dxa"/>
        <w:jc w:val="left"/>
        <w:tblInd w:w="0" w:type="dxa"/>
        <w:tblLayout w:type="fixed"/>
        <w:tblCellMar>
          <w:top w:w="0" w:type="dxa"/>
          <w:left w:w="0" w:type="dxa"/>
          <w:bottom w:w="0" w:type="dxa"/>
          <w:right w:w="0" w:type="dxa"/>
        </w:tblCellMar>
      </w:tblPr>
      <w:tblGrid>
        <w:gridCol w:w="230"/>
        <w:gridCol w:w="860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86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table summarizes common stock repurchases during the three months ended June 30, 2026:</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175"/>
        <w:gridCol w:w="23"/>
        <w:gridCol w:w="46"/>
        <w:gridCol w:w="1416"/>
        <w:gridCol w:w="23"/>
        <w:gridCol w:w="189"/>
        <w:gridCol w:w="23"/>
        <w:gridCol w:w="248"/>
        <w:gridCol w:w="969"/>
        <w:gridCol w:w="23"/>
        <w:gridCol w:w="23"/>
        <w:gridCol w:w="108"/>
        <w:gridCol w:w="2798"/>
        <w:gridCol w:w="23"/>
        <w:gridCol w:w="23"/>
        <w:gridCol w:w="995"/>
        <w:gridCol w:w="2073"/>
        <w:gridCol w:w="27"/>
      </w:tblGrid>
      <w:tr>
        <w:trPr/>
        <w:tc>
          <w:tcPr>
            <w:tcW w:w="1175" w:type="dxa"/>
            <w:tcBorders>
              <w:bottom w:val="single" w:sz="2" w:space="0" w:color="000000"/>
            </w:tcBorders>
            <w:vAlign w:val="center"/>
          </w:tcPr>
          <w:p>
            <w:pPr>
              <w:pStyle w:val="TableContents"/>
              <w:bidi w:val="0"/>
              <w:spacing w:before="0" w:after="0"/>
              <w:jc w:val="center"/>
              <w:rPr>
                <w:rFonts w:ascii="Times New Roman" w:hAnsi="Times New Roman"/>
                <w:caps w:val="false"/>
                <w:smallCaps w:val="false"/>
                <w:sz w:val="20"/>
              </w:rPr>
            </w:pPr>
            <w:r>
              <w:rPr>
                <w:rFonts w:ascii="Times New Roman" w:hAnsi="Times New Roman"/>
                <w:caps w:val="false"/>
                <w:smallCaps w:val="false"/>
                <w:sz w:val="20"/>
              </w:rPr>
              <w:t>Period</w:t>
            </w:r>
          </w:p>
        </w:tc>
        <w:tc>
          <w:tcPr>
            <w:tcW w:w="23" w:type="dxa"/>
            <w:tcBorders/>
            <w:tcMar>
              <w:bottom w:w="0" w:type="dxa"/>
            </w:tcMar>
            <w:vAlign w:val="center"/>
          </w:tcPr>
          <w:p>
            <w:pPr>
              <w:pStyle w:val="TableContents"/>
              <w:bidi w:val="0"/>
              <w:spacing w:before="0" w:after="0"/>
              <w:ind w:left="0" w:right="0" w:hanging="0"/>
              <w:jc w:val="left"/>
              <w:rPr/>
            </w:pPr>
            <w:r>
              <w:rPr/>
              <w:t>​</w:t>
            </w:r>
          </w:p>
        </w:tc>
        <w:tc>
          <w:tcPr>
            <w:tcW w:w="1462"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 Number of Shares Purchased</w:t>
            </w:r>
          </w:p>
        </w:tc>
        <w:tc>
          <w:tcPr>
            <w:tcW w:w="23" w:type="dxa"/>
            <w:tcBorders/>
            <w:tcMar>
              <w:bottom w:w="0" w:type="dxa"/>
            </w:tcMar>
            <w:vAlign w:val="center"/>
          </w:tcPr>
          <w:p>
            <w:pPr>
              <w:pStyle w:val="TableContents"/>
              <w:bidi w:val="0"/>
              <w:spacing w:before="0" w:after="0"/>
              <w:ind w:left="0" w:right="0" w:hanging="0"/>
              <w:jc w:val="left"/>
              <w:rPr/>
            </w:pPr>
            <w:r>
              <w:rPr/>
              <w:t>​</w:t>
            </w:r>
          </w:p>
        </w:tc>
        <w:tc>
          <w:tcPr>
            <w:tcW w:w="189" w:type="dxa"/>
            <w:tcBorders/>
            <w:tcMar>
              <w:bottom w:w="0" w:type="dxa"/>
            </w:tcMar>
            <w:vAlign w:val="center"/>
          </w:tcPr>
          <w:p>
            <w:pPr>
              <w:pStyle w:val="TableContents"/>
              <w:bidi w:val="0"/>
              <w:spacing w:before="0" w:after="0"/>
              <w:ind w:left="0" w:right="0" w:hanging="0"/>
              <w:jc w:val="left"/>
              <w:rPr/>
            </w:pPr>
            <w:r>
              <w:rPr/>
              <w:t>​</w:t>
            </w:r>
          </w:p>
        </w:tc>
        <w:tc>
          <w:tcPr>
            <w:tcW w:w="23" w:type="dxa"/>
            <w:tcBorders/>
            <w:tcMar>
              <w:bottom w:w="0" w:type="dxa"/>
            </w:tcMar>
            <w:vAlign w:val="center"/>
          </w:tcPr>
          <w:p>
            <w:pPr>
              <w:pStyle w:val="TableContents"/>
              <w:bidi w:val="0"/>
              <w:spacing w:before="0" w:after="0"/>
              <w:ind w:left="0" w:right="0" w:hanging="0"/>
              <w:jc w:val="left"/>
              <w:rPr/>
            </w:pPr>
            <w:r>
              <w:rPr/>
              <w:t>​</w:t>
            </w:r>
          </w:p>
        </w:tc>
        <w:tc>
          <w:tcPr>
            <w:tcW w:w="1217"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Average Price Paid per Share</w:t>
            </w:r>
          </w:p>
        </w:tc>
        <w:tc>
          <w:tcPr>
            <w:tcW w:w="23" w:type="dxa"/>
            <w:tcBorders/>
            <w:tcMar>
              <w:bottom w:w="0" w:type="dxa"/>
            </w:tcMar>
            <w:vAlign w:val="center"/>
          </w:tcPr>
          <w:p>
            <w:pPr>
              <w:pStyle w:val="TableContents"/>
              <w:bidi w:val="0"/>
              <w:spacing w:before="0" w:after="0"/>
              <w:ind w:left="0" w:right="0" w:hanging="0"/>
              <w:jc w:val="left"/>
              <w:rPr/>
            </w:pPr>
            <w:r>
              <w:rPr/>
              <w:t>​</w:t>
            </w:r>
          </w:p>
        </w:tc>
        <w:tc>
          <w:tcPr>
            <w:tcW w:w="23" w:type="dxa"/>
            <w:tcBorders/>
            <w:tcMar>
              <w:bottom w:w="0" w:type="dxa"/>
            </w:tcMar>
            <w:vAlign w:val="center"/>
          </w:tcPr>
          <w:p>
            <w:pPr>
              <w:pStyle w:val="TableContents"/>
              <w:bidi w:val="0"/>
              <w:spacing w:before="0" w:after="0"/>
              <w:ind w:left="0" w:right="0" w:hanging="0"/>
              <w:jc w:val="left"/>
              <w:rPr/>
            </w:pPr>
            <w:r>
              <w:rPr/>
              <w:t>​</w:t>
            </w:r>
          </w:p>
        </w:tc>
        <w:tc>
          <w:tcPr>
            <w:tcW w:w="2906"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Total Number of Shares Repurchased as Part of Publicly Announced Plan or Program</w:t>
            </w:r>
          </w:p>
        </w:tc>
        <w:tc>
          <w:tcPr>
            <w:tcW w:w="23" w:type="dxa"/>
            <w:tcBorders/>
            <w:tcMar>
              <w:bottom w:w="0" w:type="dxa"/>
            </w:tcMar>
            <w:vAlign w:val="center"/>
          </w:tcPr>
          <w:p>
            <w:pPr>
              <w:pStyle w:val="TableContents"/>
              <w:bidi w:val="0"/>
              <w:spacing w:before="0" w:after="0"/>
              <w:ind w:left="0" w:right="0" w:hanging="0"/>
              <w:jc w:val="left"/>
              <w:rPr/>
            </w:pPr>
            <w:r>
              <w:rPr/>
              <w:t>​</w:t>
            </w:r>
          </w:p>
        </w:tc>
        <w:tc>
          <w:tcPr>
            <w:tcW w:w="23" w:type="dxa"/>
            <w:tcBorders/>
            <w:tcMar>
              <w:bottom w:w="0" w:type="dxa"/>
            </w:tcMar>
            <w:vAlign w:val="center"/>
          </w:tcPr>
          <w:p>
            <w:pPr>
              <w:pStyle w:val="TableContents"/>
              <w:bidi w:val="0"/>
              <w:spacing w:before="0" w:after="0"/>
              <w:ind w:left="0" w:right="0" w:hanging="0"/>
              <w:jc w:val="left"/>
              <w:rPr/>
            </w:pPr>
            <w:r>
              <w:rPr/>
              <w:t>​</w:t>
            </w:r>
          </w:p>
        </w:tc>
        <w:tc>
          <w:tcPr>
            <w:tcW w:w="3068"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Maximum Dollar Value of Shares that May Yet Be Repurchased Under the Plan or Program</w:t>
            </w:r>
          </w:p>
        </w:tc>
        <w:tc>
          <w:tcPr>
            <w:tcW w:w="27" w:type="dxa"/>
            <w:tcBorders/>
            <w:tcMar>
              <w:bottom w:w="0" w:type="dxa"/>
            </w:tcMar>
            <w:vAlign w:val="center"/>
          </w:tcPr>
          <w:p>
            <w:pPr>
              <w:pStyle w:val="TableContents"/>
              <w:bidi w:val="0"/>
              <w:spacing w:before="0" w:after="0"/>
              <w:ind w:left="0" w:right="0" w:hanging="0"/>
              <w:jc w:val="left"/>
              <w:rPr/>
            </w:pPr>
            <w:r>
              <w:rPr/>
              <w:t>​</w:t>
            </w:r>
          </w:p>
        </w:tc>
      </w:tr>
      <w:tr>
        <w:trPr/>
        <w:tc>
          <w:tcPr>
            <w:tcW w:w="1175" w:type="dxa"/>
            <w:tcBorders/>
            <w:shd w:fill="CCEE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April 1, 2026 - April 30, 2026</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46" w:type="dxa"/>
            <w:tcBorders/>
            <w:shd w:fill="CCEEFF" w:val="clear"/>
            <w:tcMar>
              <w:bottom w:w="0" w:type="dxa"/>
            </w:tcMar>
            <w:vAlign w:val="center"/>
          </w:tcPr>
          <w:p>
            <w:pPr>
              <w:pStyle w:val="TableContents"/>
              <w:bidi w:val="0"/>
              <w:spacing w:before="0" w:after="0"/>
              <w:ind w:left="0" w:right="0" w:hanging="0"/>
              <w:jc w:val="left"/>
              <w:rPr/>
            </w:pPr>
            <w:r>
              <w:rPr/>
              <w:t>​</w:t>
            </w:r>
          </w:p>
        </w:tc>
        <w:tc>
          <w:tcPr>
            <w:tcW w:w="1416"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87,000</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89"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4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69"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41.81</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08" w:type="dxa"/>
            <w:tcBorders/>
            <w:shd w:fill="CCEEFF" w:val="clear"/>
            <w:tcMar>
              <w:bottom w:w="0" w:type="dxa"/>
            </w:tcMar>
            <w:vAlign w:val="center"/>
          </w:tcPr>
          <w:p>
            <w:pPr>
              <w:pStyle w:val="TableContents"/>
              <w:bidi w:val="0"/>
              <w:spacing w:before="0" w:after="0"/>
              <w:ind w:left="0" w:right="0" w:hanging="0"/>
              <w:jc w:val="left"/>
              <w:rPr/>
            </w:pPr>
            <w:r>
              <w:rPr/>
              <w:t>​</w:t>
            </w:r>
          </w:p>
        </w:tc>
        <w:tc>
          <w:tcPr>
            <w:tcW w:w="279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87,000</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99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073" w:type="dxa"/>
            <w:tcBorders/>
            <w:shd w:fill="CCEEFF" w:val="clear"/>
            <w:tcMar>
              <w:bottom w:w="0" w:type="dxa"/>
            </w:tcMar>
            <w:vAlign w:val="center"/>
          </w:tcPr>
          <w:p>
            <w:pPr>
              <w:pStyle w:val="TableContents"/>
              <w:bidi w:val="0"/>
              <w:spacing w:before="0" w:after="0"/>
              <w:ind w:left="0" w:right="0" w:hanging="0"/>
              <w:jc w:val="right"/>
              <w:rPr/>
            </w:pPr>
            <w:r>
              <w:rPr/>
              <w:t>—</w:t>
            </w:r>
          </w:p>
        </w:tc>
        <w:tc>
          <w:tcPr>
            <w:tcW w:w="27"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175" w:type="dxa"/>
            <w:tcBorders/>
            <w:shd w:fill="FFFF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May 1, 2026 - May 31, 2026</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46" w:type="dxa"/>
            <w:tcBorders/>
            <w:shd w:fill="FFFFFF" w:val="clear"/>
            <w:tcMar>
              <w:bottom w:w="0" w:type="dxa"/>
            </w:tcMar>
            <w:vAlign w:val="center"/>
          </w:tcPr>
          <w:p>
            <w:pPr>
              <w:pStyle w:val="TableContents"/>
              <w:bidi w:val="0"/>
              <w:spacing w:before="0" w:after="0"/>
              <w:ind w:left="0" w:right="0" w:hanging="0"/>
              <w:jc w:val="left"/>
              <w:rPr/>
            </w:pPr>
            <w:r>
              <w:rPr/>
              <w:t>​</w:t>
            </w:r>
          </w:p>
        </w:tc>
        <w:tc>
          <w:tcPr>
            <w:tcW w:w="1416" w:type="dxa"/>
            <w:tcBorders/>
            <w:shd w:fill="FFFFFF" w:val="clear"/>
            <w:tcMar>
              <w:bottom w:w="0" w:type="dxa"/>
            </w:tcMar>
            <w:vAlign w:val="center"/>
          </w:tcPr>
          <w:p>
            <w:pPr>
              <w:pStyle w:val="TableContents"/>
              <w:bidi w:val="0"/>
              <w:spacing w:before="0" w:after="0"/>
              <w:ind w:left="0" w:right="0" w:hanging="0"/>
              <w:jc w:val="righ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89"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48" w:type="dxa"/>
            <w:tcBorders/>
            <w:shd w:fill="FFFFFF" w:val="clear"/>
            <w:tcMar>
              <w:bottom w:w="0" w:type="dxa"/>
            </w:tcMar>
            <w:vAlign w:val="center"/>
          </w:tcPr>
          <w:p>
            <w:pPr>
              <w:pStyle w:val="TableContents"/>
              <w:bidi w:val="0"/>
              <w:spacing w:before="0" w:after="0"/>
              <w:ind w:left="0" w:right="0" w:hanging="0"/>
              <w:jc w:val="left"/>
              <w:rPr/>
            </w:pPr>
            <w:r>
              <w:rPr/>
              <w:t>​</w:t>
            </w:r>
          </w:p>
        </w:tc>
        <w:tc>
          <w:tcPr>
            <w:tcW w:w="969" w:type="dxa"/>
            <w:tcBorders/>
            <w:shd w:fill="FFFFFF" w:val="clear"/>
            <w:tcMar>
              <w:bottom w:w="0" w:type="dxa"/>
            </w:tcMar>
            <w:vAlign w:val="center"/>
          </w:tcPr>
          <w:p>
            <w:pPr>
              <w:pStyle w:val="TableContents"/>
              <w:bidi w:val="0"/>
              <w:spacing w:before="0" w:after="0"/>
              <w:ind w:left="0" w:right="0" w:hanging="0"/>
              <w:jc w:val="righ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08" w:type="dxa"/>
            <w:tcBorders/>
            <w:shd w:fill="FFFFFF" w:val="clear"/>
            <w:tcMar>
              <w:bottom w:w="0" w:type="dxa"/>
            </w:tcMar>
            <w:vAlign w:val="center"/>
          </w:tcPr>
          <w:p>
            <w:pPr>
              <w:pStyle w:val="TableContents"/>
              <w:bidi w:val="0"/>
              <w:spacing w:before="0" w:after="0"/>
              <w:ind w:left="0" w:right="0" w:hanging="0"/>
              <w:jc w:val="left"/>
              <w:rPr/>
            </w:pPr>
            <w:r>
              <w:rPr/>
              <w:t>​</w:t>
            </w:r>
          </w:p>
        </w:tc>
        <w:tc>
          <w:tcPr>
            <w:tcW w:w="2798" w:type="dxa"/>
            <w:tcBorders/>
            <w:shd w:fill="FFFFFF" w:val="clear"/>
            <w:tcMar>
              <w:bottom w:w="0" w:type="dxa"/>
            </w:tcMar>
            <w:vAlign w:val="center"/>
          </w:tcPr>
          <w:p>
            <w:pPr>
              <w:pStyle w:val="TableContents"/>
              <w:bidi w:val="0"/>
              <w:spacing w:before="0" w:after="0"/>
              <w:ind w:left="0" w:right="0" w:hanging="0"/>
              <w:jc w:val="righ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995" w:type="dxa"/>
            <w:tcBorders/>
            <w:shd w:fill="FFFFFF" w:val="clear"/>
            <w:tcMar>
              <w:bottom w:w="0" w:type="dxa"/>
            </w:tcMar>
            <w:vAlign w:val="center"/>
          </w:tcPr>
          <w:p>
            <w:pPr>
              <w:pStyle w:val="TableContents"/>
              <w:bidi w:val="0"/>
              <w:spacing w:before="0" w:after="0"/>
              <w:ind w:left="0" w:right="0" w:hanging="0"/>
              <w:jc w:val="left"/>
              <w:rPr/>
            </w:pPr>
            <w:r>
              <w:rPr/>
              <w:t>​</w:t>
            </w:r>
          </w:p>
        </w:tc>
        <w:tc>
          <w:tcPr>
            <w:tcW w:w="2073" w:type="dxa"/>
            <w:tcBorders/>
            <w:shd w:fill="FFFFFF" w:val="clear"/>
            <w:tcMar>
              <w:bottom w:w="0" w:type="dxa"/>
            </w:tcMar>
            <w:vAlign w:val="center"/>
          </w:tcPr>
          <w:p>
            <w:pPr>
              <w:pStyle w:val="TableContents"/>
              <w:bidi w:val="0"/>
              <w:spacing w:before="0" w:after="0"/>
              <w:ind w:left="0" w:right="0" w:hanging="0"/>
              <w:jc w:val="right"/>
              <w:rPr/>
            </w:pPr>
            <w:r>
              <w:rPr/>
              <w:t>—</w:t>
            </w:r>
          </w:p>
        </w:tc>
        <w:tc>
          <w:tcPr>
            <w:tcW w:w="27" w:type="dxa"/>
            <w:tcBorders/>
            <w:shd w:fill="FFFFFF" w:val="clear"/>
            <w:tcMar>
              <w:bottom w:w="0" w:type="dxa"/>
            </w:tcMar>
            <w:vAlign w:val="center"/>
          </w:tcPr>
          <w:p>
            <w:pPr>
              <w:pStyle w:val="TableContents"/>
              <w:bidi w:val="0"/>
              <w:spacing w:before="0" w:after="0"/>
              <w:ind w:left="0" w:right="0" w:hanging="0"/>
              <w:jc w:val="left"/>
              <w:rPr/>
            </w:pPr>
            <w:r>
              <w:rPr/>
              <w:t>​</w:t>
            </w:r>
          </w:p>
        </w:tc>
      </w:tr>
      <w:tr>
        <w:trPr/>
        <w:tc>
          <w:tcPr>
            <w:tcW w:w="1175" w:type="dxa"/>
            <w:tcBorders/>
            <w:shd w:fill="CCEE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June 1, 2026 - June 30, 2026</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46" w:type="dxa"/>
            <w:tcBorders>
              <w:bottom w:val="single" w:sz="2" w:space="0" w:color="000000"/>
            </w:tcBorders>
            <w:shd w:fill="CCEEFF" w:val="clear"/>
            <w:vAlign w:val="center"/>
          </w:tcPr>
          <w:p>
            <w:pPr>
              <w:pStyle w:val="TableContents"/>
              <w:bidi w:val="0"/>
              <w:spacing w:before="0" w:after="0"/>
              <w:ind w:left="0" w:right="0" w:hanging="0"/>
              <w:jc w:val="left"/>
              <w:rPr/>
            </w:pPr>
            <w:r>
              <w:rPr/>
              <w:t>​</w:t>
            </w:r>
          </w:p>
        </w:tc>
        <w:tc>
          <w:tcPr>
            <w:tcW w:w="1416" w:type="dxa"/>
            <w:tcBorders>
              <w:bottom w:val="single" w:sz="2" w:space="0" w:color="000000"/>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14,560</w:t>
            </w:r>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p>
        </w:tc>
        <w:tc>
          <w:tcPr>
            <w:tcW w:w="189"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position w:val="7"/>
                <w:sz w:val="16"/>
                <w:sz w:val="20"/>
              </w:rPr>
            </w:pPr>
            <w:r>
              <w:rPr>
                <w:rFonts w:ascii="Times New Roman" w:hAnsi="Times New Roman"/>
                <w:position w:val="7"/>
                <w:sz w:val="16"/>
                <w:sz w:val="20"/>
              </w:rPr>
              <w:t>(1)</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48" w:type="dxa"/>
            <w:tcBorders/>
            <w:shd w:fill="CCEEFF" w:val="clear"/>
            <w:tcMar>
              <w:bottom w:w="0" w:type="dxa"/>
            </w:tcMar>
            <w:vAlign w:val="center"/>
          </w:tcPr>
          <w:p>
            <w:pPr>
              <w:pStyle w:val="TableContents"/>
              <w:bidi w:val="0"/>
              <w:spacing w:before="0" w:after="0"/>
              <w:ind w:left="0" w:right="0" w:hanging="0"/>
              <w:jc w:val="left"/>
              <w:rPr/>
            </w:pPr>
            <w:r>
              <w:rPr/>
              <w:t>​</w:t>
            </w:r>
          </w:p>
        </w:tc>
        <w:tc>
          <w:tcPr>
            <w:tcW w:w="969"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42.40</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08" w:type="dxa"/>
            <w:tcBorders>
              <w:bottom w:val="single" w:sz="2" w:space="0" w:color="000000"/>
            </w:tcBorders>
            <w:shd w:fill="CCEEFF" w:val="clear"/>
            <w:vAlign w:val="center"/>
          </w:tcPr>
          <w:p>
            <w:pPr>
              <w:pStyle w:val="TableContents"/>
              <w:bidi w:val="0"/>
              <w:spacing w:before="0" w:after="0"/>
              <w:ind w:left="0" w:right="0" w:hanging="0"/>
              <w:jc w:val="left"/>
              <w:rPr/>
            </w:pPr>
            <w:r>
              <w:rPr/>
              <w:t>​</w:t>
            </w:r>
          </w:p>
        </w:tc>
        <w:tc>
          <w:tcPr>
            <w:tcW w:w="2798" w:type="dxa"/>
            <w:tcBorders>
              <w:bottom w:val="single" w:sz="2" w:space="0" w:color="000000"/>
            </w:tcBorders>
            <w:shd w:fill="CCEEFF" w:val="clear"/>
            <w:vAlign w:val="center"/>
          </w:tcPr>
          <w:p>
            <w:pPr>
              <w:pStyle w:val="TableContents"/>
              <w:bidi w:val="0"/>
              <w:spacing w:before="0" w:after="0"/>
              <w:ind w:left="0" w:right="0" w:hanging="0"/>
              <w:jc w:val="right"/>
              <w:rPr/>
            </w:pPr>
            <w:r>
              <w:rPr/>
              <w:t>—</w:t>
            </w:r>
          </w:p>
        </w:tc>
        <w:tc>
          <w:tcPr>
            <w:tcW w:w="23" w:type="dxa"/>
            <w:tcBorders>
              <w:bottom w:val="single" w:sz="2" w:space="0" w:color="000000"/>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995" w:type="dxa"/>
            <w:tcBorders/>
            <w:shd w:fill="CCEEFF" w:val="clear"/>
            <w:tcMar>
              <w:bottom w:w="0" w:type="dxa"/>
            </w:tcMar>
            <w:vAlign w:val="center"/>
          </w:tcPr>
          <w:p>
            <w:pPr>
              <w:pStyle w:val="TableContents"/>
              <w:bidi w:val="0"/>
              <w:spacing w:before="0" w:after="0"/>
              <w:ind w:left="0" w:right="0" w:hanging="0"/>
              <w:jc w:val="left"/>
              <w:rPr/>
            </w:pPr>
            <w:r>
              <w:rPr/>
              <w:t>​</w:t>
            </w:r>
          </w:p>
        </w:tc>
        <w:tc>
          <w:tcPr>
            <w:tcW w:w="2073" w:type="dxa"/>
            <w:tcBorders/>
            <w:shd w:fill="CCEEFF" w:val="clear"/>
            <w:tcMar>
              <w:bottom w:w="0" w:type="dxa"/>
            </w:tcMar>
            <w:vAlign w:val="center"/>
          </w:tcPr>
          <w:p>
            <w:pPr>
              <w:pStyle w:val="TableContents"/>
              <w:bidi w:val="0"/>
              <w:spacing w:before="0" w:after="0"/>
              <w:ind w:left="0" w:right="0" w:hanging="0"/>
              <w:jc w:val="right"/>
              <w:rPr/>
            </w:pPr>
            <w:r>
              <w:rPr/>
              <w:t>—</w:t>
            </w:r>
          </w:p>
        </w:tc>
        <w:tc>
          <w:tcPr>
            <w:tcW w:w="27"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175" w:type="dxa"/>
            <w:tcBorders/>
            <w:shd w:fill="FFFFFF" w:val="clear"/>
            <w:tcMar>
              <w:bottom w:w="0" w:type="dxa"/>
            </w:tcMar>
            <w:vAlign w:val="center"/>
          </w:tcPr>
          <w:p>
            <w:pPr>
              <w:pStyle w:val="TableContents"/>
              <w:bidi w:val="0"/>
              <w:spacing w:before="0" w:after="0"/>
              <w:jc w:val="left"/>
              <w:rPr>
                <w:rFonts w:ascii="Times New Roman" w:hAnsi="Times New Roman"/>
                <w:caps w:val="false"/>
                <w:smallCaps w:val="false"/>
                <w:sz w:val="20"/>
              </w:rPr>
            </w:pPr>
            <w:r>
              <w:rPr>
                <w:rFonts w:ascii="Times New Roman" w:hAnsi="Times New Roman"/>
                <w:caps w:val="false"/>
                <w:smallCaps w:val="false"/>
                <w:sz w:val="20"/>
              </w:rPr>
              <w:t>Total for the quarter</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46" w:type="dxa"/>
            <w:tcBorders>
              <w:bottom w:val="double" w:sz="6" w:space="0" w:color="000000"/>
            </w:tcBorders>
            <w:shd w:fill="FFFFFF" w:val="clear"/>
            <w:vAlign w:val="center"/>
          </w:tcPr>
          <w:p>
            <w:pPr>
              <w:pStyle w:val="TableContents"/>
              <w:bidi w:val="0"/>
              <w:spacing w:before="0" w:after="0"/>
              <w:ind w:left="0" w:right="0" w:hanging="0"/>
              <w:jc w:val="left"/>
              <w:rPr/>
            </w:pPr>
            <w:r>
              <w:rPr/>
              <w:t>​</w:t>
            </w:r>
          </w:p>
        </w:tc>
        <w:tc>
          <w:tcPr>
            <w:tcW w:w="1416"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101,560</w:t>
            </w:r>
          </w:p>
        </w:tc>
        <w:tc>
          <w:tcPr>
            <w:tcW w:w="23" w:type="dxa"/>
            <w:tcBorders>
              <w:bottom w:val="double" w:sz="6" w:space="0" w:color="000000"/>
            </w:tcBorders>
            <w:shd w:fill="FFFFFF" w:val="clear"/>
            <w:vAlign w:val="center"/>
          </w:tcPr>
          <w:p>
            <w:pPr>
              <w:pStyle w:val="TableContents"/>
              <w:bidi w:val="0"/>
              <w:spacing w:before="0" w:after="0"/>
              <w:ind w:left="0" w:right="0" w:hanging="0"/>
              <w:jc w:val="left"/>
              <w:rPr/>
            </w:pPr>
            <w:r>
              <w:rPr/>
              <w:t>​</w:t>
            </w:r>
          </w:p>
        </w:tc>
        <w:tc>
          <w:tcPr>
            <w:tcW w:w="189"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4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69"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41.89</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08" w:type="dxa"/>
            <w:tcBorders>
              <w:bottom w:val="double" w:sz="6" w:space="0" w:color="000000"/>
            </w:tcBorders>
            <w:shd w:fill="FFFFFF" w:val="clear"/>
            <w:vAlign w:val="center"/>
          </w:tcPr>
          <w:p>
            <w:pPr>
              <w:pStyle w:val="TableContents"/>
              <w:bidi w:val="0"/>
              <w:spacing w:before="0" w:after="0"/>
              <w:ind w:left="0" w:right="0" w:hanging="0"/>
              <w:jc w:val="left"/>
              <w:rPr/>
            </w:pPr>
            <w:r>
              <w:rPr/>
              <w:t>​</w:t>
            </w:r>
          </w:p>
        </w:tc>
        <w:tc>
          <w:tcPr>
            <w:tcW w:w="2798" w:type="dxa"/>
            <w:tcBorders>
              <w:bottom w:val="double" w:sz="6" w:space="0" w:color="000000"/>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87,000</w:t>
            </w:r>
          </w:p>
        </w:tc>
        <w:tc>
          <w:tcPr>
            <w:tcW w:w="23" w:type="dxa"/>
            <w:tcBorders>
              <w:bottom w:val="double" w:sz="6" w:space="0" w:color="000000"/>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99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073" w:type="dxa"/>
            <w:tcBorders/>
            <w:shd w:fill="FFFFFF" w:val="clear"/>
            <w:tcMar>
              <w:bottom w:w="0" w:type="dxa"/>
            </w:tcMar>
            <w:vAlign w:val="center"/>
          </w:tcPr>
          <w:p>
            <w:pPr>
              <w:pStyle w:val="TableContents"/>
              <w:bidi w:val="0"/>
              <w:spacing w:before="0" w:after="0"/>
              <w:ind w:left="0" w:right="0" w:hanging="0"/>
              <w:jc w:val="right"/>
              <w:rPr/>
            </w:pPr>
            <w:r>
              <w:rPr/>
              <w:t>—</w:t>
            </w:r>
          </w:p>
        </w:tc>
        <w:tc>
          <w:tcPr>
            <w:tcW w:w="27" w:type="dxa"/>
            <w:tcBorders/>
            <w:shd w:fill="FFFFFF" w:val="clear"/>
            <w:tcMar>
              <w:bottom w:w="0" w:type="dxa"/>
            </w:tcM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___________________________</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  Includes shares repurchased by the Company in connection with the exercise of employee stock options, whereby a portion of the shares issued upon exercise was surrendered to the Company and retired in lieu of a cash payment of the exercise price and applicable withholding taxes. These transactions were not made pursuant to the Company's stock repurchase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October 27, 2025, the Company publicly announced a stock repurchase program, authorizing the repurchase of up to $5.0 million of Company common stock, in addition to any amounts remaining under the prior program.  Repurchases under this program may occur from time to time in the open market, through privately negotiated transactions, or by withholding shares upon the exercise of equity awards, over a 12-month period ending October 27, 2026.  The publicly announced repurchase program was completed on April 28,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actual timing, price, and number of shares repurchased under the program will depend on a number of factors, including constraints specified pursuant to any trading plan that may be adopted in accordance with Rule 10b5-1 of the Securities Exchange Act of 1934, as amended, price, general business and market conditions, and alternative investment opportunities.  The share repurchase program does not obligate the Company to acquire any specific number of shares in any period, and may be expanded, extended, modified or discontinued at any time.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0" w:name="defaults"/>
      <w:bookmarkEnd w:id="20"/>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3.</w:t>
      </w:r>
      <w:r>
        <w:rPr>
          <w:rFonts w:ascii="Times New Roman" w:hAnsi="Times New Roman"/>
          <w:caps w:val="false"/>
          <w:smallCaps w:val="false"/>
          <w:sz w:val="20"/>
        </w:rPr>
        <w:t xml:space="preserve">  </w:t>
      </w:r>
      <w:r>
        <w:rPr>
          <w:rFonts w:ascii="Times New Roman" w:hAnsi="Times New Roman"/>
          <w:b/>
          <w:caps w:val="false"/>
          <w:smallCaps w:val="false"/>
          <w:sz w:val="20"/>
        </w:rPr>
        <w:t>Defaults Upon Senior Securities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21" w:name="mine"/>
      <w:bookmarkEnd w:id="21"/>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4. </w:t>
      </w:r>
      <w:r>
        <w:rPr>
          <w:rFonts w:ascii="Times New Roman" w:hAnsi="Times New Roman"/>
          <w:caps w:val="false"/>
          <w:smallCaps w:val="false"/>
          <w:sz w:val="20"/>
        </w:rPr>
        <w:t xml:space="preserve"> </w:t>
      </w:r>
      <w:r>
        <w:rPr>
          <w:rFonts w:ascii="Times New Roman" w:hAnsi="Times New Roman"/>
          <w:b/>
          <w:caps w:val="false"/>
          <w:smallCaps w:val="false"/>
          <w:sz w:val="20"/>
        </w:rPr>
        <w:t>Mine Safety Disclosures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bookmarkStart w:id="22" w:name="otheritem5"/>
      <w:bookmarkEnd w:id="22"/>
      <w:r>
        <w:rPr>
          <w:rFonts w:ascii="Times New Roman" w:hAnsi="Times New Roman"/>
          <w:b/>
          <w:caps w:val="false"/>
          <w:smallCaps w:val="false"/>
          <w:sz w:val="20"/>
        </w:rPr>
        <w:t xml:space="preserve">Item </w:t>
      </w:r>
      <w:r>
        <w:rPr>
          <w:rStyle w:val="Emphasis"/>
          <w:rFonts w:ascii="Times New Roman" w:hAnsi="Times New Roman"/>
          <w:b/>
          <w:caps w:val="false"/>
          <w:smallCaps w:val="false"/>
          <w:sz w:val="20"/>
        </w:rPr>
        <w:t>5.</w:t>
      </w:r>
      <w:r>
        <w:rPr>
          <w:rFonts w:ascii="Times New Roman" w:hAnsi="Times New Roman"/>
          <w:b/>
          <w:caps w:val="false"/>
          <w:smallCaps w:val="false"/>
          <w:sz w:val="20"/>
        </w:rPr>
        <w:t> </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730" w:type="dxa"/>
        <w:jc w:val="left"/>
        <w:tblInd w:w="0" w:type="dxa"/>
        <w:tblLayout w:type="fixed"/>
        <w:tblCellMar>
          <w:top w:w="0" w:type="dxa"/>
          <w:left w:w="0" w:type="dxa"/>
          <w:bottom w:w="0" w:type="dxa"/>
          <w:right w:w="0" w:type="dxa"/>
        </w:tblCellMar>
      </w:tblPr>
      <w:tblGrid>
        <w:gridCol w:w="230"/>
        <w:gridCol w:w="500"/>
      </w:tblGrid>
      <w:tr>
        <w:trPr/>
        <w:tc>
          <w:tcPr>
            <w:tcW w:w="23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500" w:type="dxa"/>
            <w:tcBorders/>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None.</w:t>
            </w:r>
          </w:p>
        </w:tc>
      </w:tr>
    </w:tbl>
    <w:p>
      <w:pPr>
        <w:pStyle w:val="TextBody"/>
        <w:bidi w:val="0"/>
        <w:spacing w:before="0" w:after="0"/>
        <w:ind w:left="0" w:right="0" w:hanging="0"/>
        <w:jc w:val="left"/>
        <w:rPr>
          <w:caps w:val="false"/>
          <w:smallCaps w:val="false"/>
        </w:rPr>
      </w:pPr>
      <w:r>
        <w:rPr>
          <w:caps w:val="false"/>
          <w:smallCaps w:val="false"/>
        </w:rPr>
        <w:t> </w:t>
      </w:r>
    </w:p>
    <w:tbl>
      <w:tblPr>
        <w:tblW w:w="745" w:type="dxa"/>
        <w:jc w:val="left"/>
        <w:tblInd w:w="0" w:type="dxa"/>
        <w:tblLayout w:type="fixed"/>
        <w:tblCellMar>
          <w:top w:w="0" w:type="dxa"/>
          <w:left w:w="0" w:type="dxa"/>
          <w:bottom w:w="0" w:type="dxa"/>
          <w:right w:w="0" w:type="dxa"/>
        </w:tblCellMar>
      </w:tblPr>
      <w:tblGrid>
        <w:gridCol w:w="245"/>
        <w:gridCol w:w="50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500" w:type="dxa"/>
            <w:tcBorders/>
            <w:vAlign w:val="center"/>
          </w:tcPr>
          <w:p>
            <w:pPr>
              <w:pStyle w:val="TableContents"/>
              <w:bidi w:val="0"/>
              <w:spacing w:before="0" w:after="0"/>
              <w:ind w:left="0" w:right="0" w:hanging="0"/>
              <w:jc w:val="left"/>
              <w:rPr/>
            </w:pPr>
            <w:r>
              <w:rPr>
                <w:rStyle w:val="Emphasis"/>
                <w:rFonts w:ascii="Times New Roman;Times;serif" w:hAnsi="Times New Roman;Times;serif"/>
                <w:caps w:val="false"/>
                <w:smallCaps w:val="false"/>
                <w:sz w:val="20"/>
              </w:rPr>
              <w:t>None.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4"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 xml:space="preserve">Trading Plans. During the </w:t>
            </w:r>
            <w:r>
              <w:rPr>
                <w:rStyle w:val="Emphasis"/>
                <w:rFonts w:ascii="Times New Roman;Times;serif" w:hAnsi="Times New Roman;Times;serif"/>
                <w:caps w:val="false"/>
                <w:smallCaps w:val="false"/>
                <w:sz w:val="20"/>
              </w:rPr>
              <w:t>three</w:t>
            </w:r>
            <w:r>
              <w:rPr>
                <w:rFonts w:ascii="Times New Roman;Times;serif" w:hAnsi="Times New Roman;Times;serif"/>
                <w:caps w:val="false"/>
                <w:smallCaps w:val="false"/>
                <w:sz w:val="20"/>
              </w:rPr>
              <w:t xml:space="preserve"> months ended </w:t>
            </w:r>
            <w:r>
              <w:rPr>
                <w:rStyle w:val="Emphasis"/>
                <w:rFonts w:ascii="Times New Roman;Times;serif" w:hAnsi="Times New Roman;Times;serif"/>
                <w:caps w:val="false"/>
                <w:smallCaps w:val="false"/>
                <w:sz w:val="20"/>
              </w:rPr>
              <w:t xml:space="preserve"> June 30, 2026</w:t>
            </w:r>
            <w:r>
              <w:rPr>
                <w:rFonts w:ascii="Times New Roman;Times;serif" w:hAnsi="Times New Roman;Times;serif"/>
                <w:caps w:val="false"/>
                <w:smallCaps w:val="false"/>
                <w:sz w:val="20"/>
              </w:rPr>
              <w:t xml:space="preserve">, </w:t>
            </w:r>
            <w:r>
              <w:rPr>
                <w:rStyle w:val="Emphasis"/>
                <w:rFonts w:ascii="Times New Roman;Times;serif" w:hAnsi="Times New Roman;Times;serif"/>
                <w:caps w:val="false"/>
                <w:smallCaps w:val="false"/>
                <w:sz w:val="20"/>
              </w:rPr>
              <w:t>no</w:t>
            </w:r>
            <w:r>
              <w:rPr>
                <w:rFonts w:ascii="Times New Roman;Times;serif" w:hAnsi="Times New Roman;Times;serif"/>
                <w:caps w:val="false"/>
                <w:smallCaps w:val="false"/>
                <w:sz w:val="20"/>
              </w:rPr>
              <w:t xml:space="preserve"> director or officer (as defined in Rule </w:t>
            </w:r>
            <w:r>
              <w:rPr>
                <w:rStyle w:val="Emphasis"/>
                <w:rFonts w:ascii="Times New Roman;Times;serif" w:hAnsi="Times New Roman;Times;serif"/>
                <w:caps w:val="false"/>
                <w:smallCaps w:val="false"/>
                <w:sz w:val="20"/>
              </w:rPr>
              <w:t>16a</w:t>
            </w:r>
            <w:r>
              <w:rPr>
                <w:rFonts w:ascii="Times New Roman;Times;serif" w:hAnsi="Times New Roman;Times;serif"/>
                <w:caps w:val="false"/>
                <w:smallCaps w:val="false"/>
                <w:sz w:val="20"/>
              </w:rPr>
              <w:t>-1(f) under the Exchange Act) of the Company adopted or terminated a “Rule 10b5-1 trading arrangement” or “non-Rule 10b5-</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trading arrangement,” as each term is defined in Item </w:t>
            </w:r>
            <w:r>
              <w:rPr>
                <w:rStyle w:val="Emphasis"/>
                <w:rFonts w:ascii="Times New Roman;Times;serif" w:hAnsi="Times New Roman;Times;serif"/>
                <w:caps w:val="false"/>
                <w:smallCaps w:val="false"/>
                <w:sz w:val="20"/>
              </w:rPr>
              <w:t>408</w:t>
            </w:r>
            <w:r>
              <w:rPr>
                <w:rFonts w:ascii="Times New Roman;Times;serif" w:hAnsi="Times New Roman;Times;serif"/>
                <w:caps w:val="false"/>
                <w:smallCaps w:val="false"/>
                <w:sz w:val="20"/>
              </w:rPr>
              <w:t>(a) of Regulation 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23" w:name="exhibits"/>
      <w:bookmarkEnd w:id="23"/>
      <w:r>
        <w:rPr>
          <w:rFonts w:ascii="Times New Roman" w:hAnsi="Times New Roman"/>
          <w:b/>
          <w:caps w:val="false"/>
          <w:smallCaps w:val="false"/>
          <w:sz w:val="20"/>
        </w:rPr>
        <w:t>Item</w:t>
      </w:r>
      <w:r>
        <w:rPr>
          <w:rFonts w:ascii="Times New Roman" w:hAnsi="Times New Roman"/>
          <w:caps w:val="false"/>
          <w:smallCaps w:val="false"/>
          <w:sz w:val="20"/>
        </w:rPr>
        <w:t> </w:t>
      </w:r>
      <w:r>
        <w:rPr>
          <w:rFonts w:ascii="Times New Roman" w:hAnsi="Times New Roman"/>
          <w:b/>
          <w:caps w:val="false"/>
          <w:smallCaps w:val="false"/>
          <w:sz w:val="20"/>
        </w:rPr>
        <w:t>6. </w:t>
      </w:r>
      <w:r>
        <w:rPr>
          <w:rFonts w:ascii="Times New Roman" w:hAnsi="Times New Roman"/>
          <w:caps w:val="false"/>
          <w:smallCaps w:val="false"/>
          <w:sz w:val="20"/>
        </w:rPr>
        <w:t xml:space="preserve">  </w:t>
      </w:r>
      <w:r>
        <w:rPr>
          <w:rFonts w:ascii="Times New Roman" w:hAnsi="Times New Roman"/>
          <w:b/>
          <w:caps w:val="false"/>
          <w:smallCaps w:val="false"/>
          <w:sz w:val="20"/>
        </w:rPr>
        <w:t>Exhibits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72"/>
        <w:gridCol w:w="60"/>
        <w:gridCol w:w="9573"/>
      </w:tblGrid>
      <w:tr>
        <w:trPr/>
        <w:tc>
          <w:tcPr>
            <w:tcW w:w="572" w:type="dxa"/>
            <w:tcBorders/>
            <w:vAlign w:val="center"/>
          </w:tcPr>
          <w:p>
            <w:pPr>
              <w:pStyle w:val="TableContents"/>
              <w:bidi w:val="0"/>
              <w:spacing w:before="0" w:after="0"/>
              <w:jc w:val="right"/>
              <w:rPr/>
            </w:pPr>
            <w:r>
              <w:rPr/>
              <w:t xml:space="preserve">2.1 </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283"/>
              <w:jc w:val="left"/>
              <w:rPr/>
            </w:pPr>
            <w:hyperlink r:id="rId2">
              <w:r>
                <w:rPr>
                  <w:rStyle w:val="InternetLink"/>
                </w:rPr>
                <w:t>Definitive Agreement, dated February 25, 2026, by and between FS Bancorp, Inc and Pacific West Bancorp (1)</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pPr>
            <w:hyperlink r:id="rId3">
              <w:r>
                <w:rPr>
                  <w:rStyle w:val="InternetLink"/>
                  <w:rFonts w:ascii="Times New Roman" w:hAnsi="Times New Roman"/>
                  <w:caps w:val="false"/>
                  <w:smallCaps w:val="false"/>
                  <w:sz w:val="20"/>
                </w:rPr>
                <w:t>Articles of Incorporation of FS Bancorp, Inc. (2)</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pPr>
            <w:hyperlink r:id="rId4">
              <w:r>
                <w:rPr>
                  <w:rStyle w:val="InternetLink"/>
                  <w:rFonts w:ascii="Times New Roman" w:hAnsi="Times New Roman"/>
                  <w:caps w:val="false"/>
                  <w:smallCaps w:val="false"/>
                  <w:sz w:val="20"/>
                </w:rPr>
                <w:t>Bylaws of FS Bancorp, Inc. (3)</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pPr>
            <w:hyperlink r:id="rId5">
              <w:r>
                <w:rPr>
                  <w:rStyle w:val="InternetLink"/>
                  <w:rFonts w:ascii="Times New Roman" w:hAnsi="Times New Roman"/>
                  <w:caps w:val="false"/>
                  <w:smallCaps w:val="false"/>
                  <w:sz w:val="20"/>
                </w:rPr>
                <w:t>Form of Common Stock Certificate of FS Bancorp, Inc. (2)</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4.2</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pPr>
            <w:hyperlink r:id="rId6">
              <w:r>
                <w:rPr>
                  <w:rStyle w:val="InternetLink"/>
                  <w:rFonts w:ascii="Times New Roman" w:hAnsi="Times New Roman"/>
                  <w:caps w:val="false"/>
                  <w:smallCaps w:val="false"/>
                  <w:sz w:val="20"/>
                </w:rPr>
                <w:t>Indenture dated February 10, 2021, by and between FS Bancorp, Inc. and U.S. Bank National Association, as trustee (4)</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4.3</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pPr>
            <w:hyperlink r:id="rId7">
              <w:r>
                <w:rPr>
                  <w:rStyle w:val="InternetLink"/>
                  <w:rFonts w:ascii="Times New Roman" w:hAnsi="Times New Roman"/>
                  <w:caps w:val="false"/>
                  <w:smallCaps w:val="false"/>
                  <w:sz w:val="20"/>
                </w:rPr>
                <w:t>Forms of 3.75 Fixed-to-Floating Rate Subordinated Notes due 2031 (included as Exhibit A-1 and Exhibit A-2 to the Indenture filed as Exhibit 4.2 hereto (4)</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pPr>
            <w:hyperlink r:id="rId8">
              <w:r>
                <w:rPr>
                  <w:rStyle w:val="InternetLink"/>
                  <w:rFonts w:ascii="Times New Roman" w:hAnsi="Times New Roman"/>
                  <w:caps w:val="false"/>
                  <w:smallCaps w:val="false"/>
                  <w:sz w:val="20"/>
                </w:rPr>
                <w:t>Severance Agreement between 1st Security Bank of Washington and Joseph C. Adams (2)</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pPr>
            <w:hyperlink r:id="rId9">
              <w:r>
                <w:rPr>
                  <w:rStyle w:val="InternetLink"/>
                  <w:rFonts w:ascii="Times New Roman" w:hAnsi="Times New Roman"/>
                  <w:caps w:val="false"/>
                  <w:smallCaps w:val="false"/>
                  <w:sz w:val="20"/>
                </w:rPr>
                <w:t>Form of Change of Control Agreement between 1st Security Bank of Washington and Matthew D. Mullet (2)</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pPr>
            <w:hyperlink r:id="rId10">
              <w:r>
                <w:rPr>
                  <w:rStyle w:val="InternetLink"/>
                  <w:rFonts w:ascii="Times New Roman" w:hAnsi="Times New Roman"/>
                  <w:caps w:val="false"/>
                  <w:smallCaps w:val="false"/>
                  <w:sz w:val="20"/>
                </w:rPr>
                <w:t>Form of change of control agreement with Donn C. Costa, Dennis O’Leary, Erin Burr, Victoria Jarman, Kelli Nielsen, and May-Ling Sowell (5)</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pPr>
            <w:hyperlink r:id="rId11">
              <w:r>
                <w:rPr>
                  <w:rStyle w:val="InternetLink"/>
                  <w:rFonts w:ascii="Times New Roman" w:hAnsi="Times New Roman"/>
                  <w:caps w:val="false"/>
                  <w:smallCaps w:val="false"/>
                  <w:sz w:val="20"/>
                </w:rPr>
                <w:t>FS Bancorp, Inc. 2018 Equity Incentive Plan (6)</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10.5</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pPr>
            <w:hyperlink r:id="rId12">
              <w:r>
                <w:rPr>
                  <w:rStyle w:val="InternetLink"/>
                  <w:rFonts w:ascii="Times New Roman" w:hAnsi="Times New Roman"/>
                  <w:caps w:val="false"/>
                  <w:smallCaps w:val="false"/>
                  <w:sz w:val="20"/>
                </w:rPr>
                <w:t>Form of Incentive Stock Option Award Agreement under the 2018 Equity Incentive Plan (6)</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10.6</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pPr>
            <w:hyperlink r:id="rId13">
              <w:r>
                <w:rPr>
                  <w:rStyle w:val="InternetLink"/>
                  <w:rFonts w:ascii="Times New Roman" w:hAnsi="Times New Roman"/>
                  <w:caps w:val="false"/>
                  <w:smallCaps w:val="false"/>
                  <w:sz w:val="20"/>
                </w:rPr>
                <w:t>Form of Non-Qualified Stock Option Award Agreement under the 2018 Equity Incentive Plan (6)</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10.7</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pPr>
            <w:hyperlink r:id="rId14">
              <w:r>
                <w:rPr>
                  <w:rStyle w:val="InternetLink"/>
                  <w:rFonts w:ascii="Times New Roman" w:hAnsi="Times New Roman"/>
                  <w:caps w:val="false"/>
                  <w:smallCaps w:val="false"/>
                  <w:sz w:val="20"/>
                </w:rPr>
                <w:t>Form of Restricted Stock Award Agreement under the 2018 Equity Incentive Plan (6)</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10.8</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pPr>
            <w:hyperlink r:id="rId15">
              <w:r>
                <w:rPr>
                  <w:rStyle w:val="InternetLink"/>
                  <w:rFonts w:ascii="Times New Roman" w:hAnsi="Times New Roman"/>
                  <w:caps w:val="false"/>
                  <w:smallCaps w:val="false"/>
                  <w:sz w:val="20"/>
                </w:rPr>
                <w:t>FS Bancorp, Inc. Nonqualified 2022 Stock Purchase Plan (7)</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10.9</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pPr>
            <w:hyperlink r:id="rId16">
              <w:r>
                <w:rPr>
                  <w:rStyle w:val="InternetLink"/>
                  <w:rFonts w:ascii="Times New Roman" w:hAnsi="Times New Roman"/>
                  <w:caps w:val="false"/>
                  <w:smallCaps w:val="false"/>
                  <w:sz w:val="20"/>
                </w:rPr>
                <w:t>Form of Enrollment/Change Form under the FS Bancorp, Inc. Nonqualified 2022 Stock Purchase Plan (7)</w:t>
              </w:r>
            </w:hyperlink>
          </w:p>
        </w:tc>
      </w:tr>
      <w:tr>
        <w:trPr/>
        <w:tc>
          <w:tcPr>
            <w:tcW w:w="572" w:type="dxa"/>
            <w:tcBorders/>
            <w:vAlign w:val="center"/>
          </w:tcPr>
          <w:p>
            <w:pPr>
              <w:pStyle w:val="TableContents"/>
              <w:bidi w:val="0"/>
              <w:spacing w:before="0" w:after="0"/>
              <w:jc w:val="right"/>
              <w:rPr/>
            </w:pPr>
            <w:r>
              <w:rPr/>
              <w:t xml:space="preserve">10.10 </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283"/>
              <w:jc w:val="left"/>
              <w:rPr/>
            </w:pPr>
            <w:hyperlink r:id="rId17">
              <w:r>
                <w:rPr>
                  <w:rStyle w:val="InternetLink"/>
                </w:rPr>
                <w:t>Form of Change of Control Agreement with Shana Allen, and Benjamin Crowl (8)</w:t>
              </w:r>
            </w:hyperlink>
          </w:p>
        </w:tc>
      </w:tr>
      <w:tr>
        <w:trPr/>
        <w:tc>
          <w:tcPr>
            <w:tcW w:w="57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10.11</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left"/>
              <w:rPr/>
            </w:pPr>
            <w:hyperlink r:id="rId18">
              <w:r>
                <w:rPr>
                  <w:rStyle w:val="InternetLink"/>
                  <w:rFonts w:ascii="Times New Roman" w:hAnsi="Times New Roman"/>
                  <w:sz w:val="20"/>
                </w:rPr>
                <w:t>Form of Change of Control Agreement with Phillip Whittington, Robert Nesbitt, and Sean McCormick (9)</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pPr>
            <w:hyperlink w:anchor="ex_963237.htm">
              <w:r>
                <w:rPr>
                  <w:rStyle w:val="InternetLink"/>
                  <w:rFonts w:ascii="Times New Roman" w:hAnsi="Times New Roman"/>
                  <w:caps w:val="false"/>
                  <w:smallCaps w:val="false"/>
                  <w:sz w:val="20"/>
                </w:rPr>
                <w:t>Certification of Chief Executive Officer Pursuant to Section 302 of the Sarbanes-Oxley Act of 2002</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pPr>
            <w:hyperlink w:anchor="ex_963238.htm">
              <w:r>
                <w:rPr>
                  <w:rStyle w:val="InternetLink"/>
                  <w:rFonts w:ascii="Times New Roman" w:hAnsi="Times New Roman"/>
                  <w:caps w:val="false"/>
                  <w:smallCaps w:val="false"/>
                  <w:sz w:val="20"/>
                </w:rPr>
                <w:t>Certification of Chief Financial Officer Pursuant to Section 302 of the Sarbanes-Oxley Act of 2002</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pPr>
            <w:hyperlink w:anchor="ex_963239.htm">
              <w:r>
                <w:rPr>
                  <w:rStyle w:val="InternetLink"/>
                  <w:rFonts w:ascii="Times New Roman" w:hAnsi="Times New Roman"/>
                  <w:caps w:val="false"/>
                  <w:smallCaps w:val="false"/>
                  <w:sz w:val="20"/>
                </w:rPr>
                <w:t>Certification of Chief Executive Officer Pursuant to Section 906 of the Sarbanes-Oxley Act of 2002</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pPr>
            <w:hyperlink w:anchor="ex_963240.htm">
              <w:r>
                <w:rPr>
                  <w:rStyle w:val="InternetLink"/>
                  <w:rFonts w:ascii="Times New Roman" w:hAnsi="Times New Roman"/>
                  <w:caps w:val="false"/>
                  <w:smallCaps w:val="false"/>
                  <w:sz w:val="20"/>
                </w:rPr>
                <w:t>Certification of Chief Financial Officer Pursuant to Section 906 of the Sarbanes-Oxley Act of 2002</w:t>
              </w:r>
            </w:hyperlink>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materials from the Company’s Quarterly Report on Form 10</w:t>
              <w:noBreakHyphen/>
              <w:t>Q for the quarter ended June 30, 2026 formatted in Inline Extensible Business Reporting Language (IXBRL): (1) Consolidated Balance Sheets; (2) Consolidated Statements of Income; (3) Consolidated Statements of Comprehensive Income (Loss); (4) Consolidated Statements of Changes in Stockholders’ Equity; (5) Consolidated Statements of Cash Flows; and (6) Notes to Consolidated Financial Statements.</w:t>
            </w:r>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r>
      <w:tr>
        <w:trPr/>
        <w:tc>
          <w:tcPr>
            <w:tcW w:w="572" w:type="dxa"/>
            <w:tcBorders/>
            <w:vAlign w:val="center"/>
          </w:tcPr>
          <w:p>
            <w:pPr>
              <w:pStyle w:val="TableContents"/>
              <w:bidi w:val="0"/>
              <w:spacing w:before="0" w:after="0"/>
              <w:jc w:val="right"/>
              <w:rPr/>
            </w:pPr>
            <w:r>
              <w:rPr/>
              <w:t xml:space="preserve">(1) </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jc w:val="left"/>
              <w:rPr/>
            </w:pPr>
            <w:r>
              <w:rPr/>
              <w:t xml:space="preserve">Filed as an exhibit to the Registrant’s Current Report on Form 8-K filed on February 25, 2026 (File No. 001-355589). </w:t>
            </w:r>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(2)</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Registration Statement on Form S</w:t>
              <w:noBreakHyphen/>
              <w:t>1 (333</w:t>
              <w:noBreakHyphen/>
              <w:t>177125) filed on October 3, 2011, and incorporated by reference.</w:t>
            </w:r>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(3)</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Current Report on Form 8</w:t>
              <w:noBreakHyphen/>
              <w:t>K filed on July 10, 2013 (File No. 001</w:t>
              <w:noBreakHyphen/>
              <w:t>355589).</w:t>
            </w:r>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(4)</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Current Report on Form 8-K filed on February 11, 2021 (File No. 001-35589).</w:t>
            </w:r>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(5)</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Current Report on Form 8-K filed on February 1, 2016 (File No. 001</w:t>
              <w:noBreakHyphen/>
              <w:t>35589).</w:t>
            </w:r>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(6)</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Registration Statement on Form S-8 (333-22513) filed on May 23, 2018.</w:t>
            </w:r>
          </w:p>
        </w:tc>
      </w:tr>
      <w:tr>
        <w:trPr/>
        <w:tc>
          <w:tcPr>
            <w:tcW w:w="572" w:type="dxa"/>
            <w:tcBorders/>
            <w:vAlign w:val="center"/>
          </w:tcPr>
          <w:p>
            <w:pPr>
              <w:pStyle w:val="TableContents"/>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(7)</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Filed as an exhibit to the Registrant’s Registration Statement on Form S-8 (333-265729) filed on June 21, 2022.</w:t>
            </w:r>
          </w:p>
        </w:tc>
      </w:tr>
      <w:tr>
        <w:trPr/>
        <w:tc>
          <w:tcPr>
            <w:tcW w:w="572" w:type="dxa"/>
            <w:tcBorders/>
            <w:vAlign w:val="center"/>
          </w:tcPr>
          <w:p>
            <w:pPr>
              <w:pStyle w:val="TableContents"/>
              <w:bidi w:val="0"/>
              <w:spacing w:before="0" w:after="0"/>
              <w:jc w:val="right"/>
              <w:rPr/>
            </w:pPr>
            <w:r>
              <w:rPr/>
              <w:t xml:space="preserve">(8) </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jc w:val="left"/>
              <w:rPr/>
            </w:pPr>
            <w:r>
              <w:rPr/>
              <w:t xml:space="preserve">Filed as an exhibit to the Registrant's Current Report on Form 8-K filed on February 2, 2024 (File No. 001-35589). </w:t>
            </w:r>
          </w:p>
        </w:tc>
      </w:tr>
      <w:tr>
        <w:trPr/>
        <w:tc>
          <w:tcPr>
            <w:tcW w:w="572" w:type="dxa"/>
            <w:tcBorders/>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w:t>
            </w:r>
          </w:p>
        </w:tc>
        <w:tc>
          <w:tcPr>
            <w:tcW w:w="60" w:type="dxa"/>
            <w:tcBorders/>
            <w:vAlign w:val="center"/>
          </w:tcPr>
          <w:p>
            <w:pPr>
              <w:pStyle w:val="TableContents"/>
              <w:bidi w:val="0"/>
              <w:spacing w:before="0" w:after="0"/>
              <w:ind w:left="0" w:right="0" w:hanging="0"/>
              <w:jc w:val="left"/>
              <w:rPr/>
            </w:pPr>
            <w:r>
              <w:rPr/>
              <w:t> </w:t>
            </w:r>
          </w:p>
        </w:tc>
        <w:tc>
          <w:tcPr>
            <w:tcW w:w="9573"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Filed as an exhibit to the Registrant's Current Report on Form 8-K filed on December 8, 2025 (File No. 001-35589).</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bookmarkStart w:id="24" w:name="signatures"/>
      <w:bookmarkEnd w:id="24"/>
      <w:r>
        <w:rPr>
          <w:rFonts w:ascii="Times New Roman" w:hAnsi="Times New Roman"/>
          <w:b/>
          <w:caps w:val="false"/>
          <w:smallCaps w:val="false"/>
          <w:sz w:val="20"/>
        </w:rPr>
        <w:t>SIGNATURES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910" w:type="dxa"/>
        <w:jc w:val="left"/>
        <w:tblInd w:w="0" w:type="dxa"/>
        <w:tblLayout w:type="fixed"/>
        <w:tblCellMar>
          <w:top w:w="0" w:type="dxa"/>
          <w:left w:w="0" w:type="dxa"/>
          <w:bottom w:w="0" w:type="dxa"/>
          <w:right w:w="0" w:type="dxa"/>
        </w:tblCellMar>
      </w:tblPr>
      <w:tblGrid>
        <w:gridCol w:w="1850"/>
        <w:gridCol w:w="320"/>
        <w:gridCol w:w="3740"/>
      </w:tblGrid>
      <w:tr>
        <w:trPr/>
        <w:tc>
          <w:tcPr>
            <w:tcW w:w="1850" w:type="dxa"/>
            <w:tcBorders/>
            <w:vAlign w:val="center"/>
          </w:tcPr>
          <w:p>
            <w:pPr>
              <w:pStyle w:val="TableContents"/>
              <w:bidi w:val="0"/>
              <w:spacing w:before="0" w:after="0"/>
              <w:ind w:left="0" w:right="0" w:hanging="0"/>
              <w:jc w:val="left"/>
              <w:rPr/>
            </w:pPr>
            <w:r>
              <w:rPr/>
              <w:t> </w:t>
            </w:r>
          </w:p>
        </w:tc>
        <w:tc>
          <w:tcPr>
            <w:tcW w:w="4060" w:type="dxa"/>
            <w:gridSpan w:val="2"/>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FS BANCORP, INC.</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74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74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 August 10, 2026</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74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/s/Matthew D. Mullet</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Matthew D. Mullet</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and President</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Executive Officer)</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740" w:type="dxa"/>
            <w:tcBorders/>
            <w:vAlign w:val="center"/>
          </w:tcPr>
          <w:p>
            <w:pPr>
              <w:pStyle w:val="TableContents"/>
              <w:bidi w:val="0"/>
              <w:spacing w:before="0" w:after="0"/>
              <w:ind w:left="0" w:right="0" w:hanging="0"/>
              <w:jc w:val="left"/>
              <w:rPr/>
            </w:pPr>
            <w:r>
              <w:rPr/>
              <w:t> </w:t>
            </w:r>
          </w:p>
        </w:tc>
      </w:tr>
      <w:tr>
        <w:trPr/>
        <w:tc>
          <w:tcPr>
            <w:tcW w:w="1850"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Date: August 10, 2026</w:t>
            </w:r>
          </w:p>
        </w:tc>
        <w:tc>
          <w:tcPr>
            <w:tcW w:w="32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By:</w:t>
            </w:r>
          </w:p>
        </w:tc>
        <w:tc>
          <w:tcPr>
            <w:tcW w:w="374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/s/Phillip D. Whittington</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Phillip D. Whittington</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740"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(Principal Financial and Accounting Officer)</w:t>
            </w:r>
          </w:p>
        </w:tc>
      </w:tr>
      <w:tr>
        <w:trPr/>
        <w:tc>
          <w:tcPr>
            <w:tcW w:w="185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740"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70</w:t>
      </w:r>
    </w:p>
    <w:p>
      <w:pPr>
        <w:pStyle w:val="TextBody"/>
        <w:bidi w:val="0"/>
        <w:spacing w:before="0" w:after="0"/>
        <w:ind w:left="0" w:right="0" w:hanging="0"/>
        <w:jc w:val="right"/>
        <w:rPr/>
      </w:pPr>
      <w:hyperlink w:anchor="fsbw20260630_10q.htm">
        <w:bookmarkStart w:id="25" w:name="ex_963237.htm"/>
        <w:bookmarkStart w:id="26" w:name="ksex_963237"/>
        <w:bookmarkEnd w:id="25"/>
        <w:bookmarkEnd w:id="26"/>
        <w:r>
          <w:rPr>
            <w:rStyle w:val="InternetLink"/>
            <w:rFonts w:ascii="Times New Roman" w:hAnsi="Times New Roman"/>
            <w:b/>
            <w:caps w:val="false"/>
            <w:smallCaps w:val="false"/>
            <w:sz w:val="20"/>
          </w:rPr>
          <w:t>fsbw20260630_10q.htm</w:t>
        </w:r>
      </w:hyperlink>
      <w:r>
        <w:rPr>
          <w:rFonts w:ascii="Times New Roman" w:hAnsi="Times New Roman"/>
          <w:b/>
          <w:caps w:val="false"/>
          <w:smallCaps w:val="false"/>
          <w:sz w:val="20"/>
        </w:rPr>
        <w:t>EXHIBIT 31.1</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Chief Executive Officer Pursuant to Section 302 of the Sarbanes-Oxley Act of 2002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PRINCIPAL EXECUTIVE OFFICER</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302 OF THE SARBANES-OXLEY ACT OF 2002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Matthew D. Mullet, certify that:</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70"/>
        <w:gridCol w:w="587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FS Bancorp,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5280" w:type="dxa"/>
        <w:jc w:val="left"/>
        <w:tblInd w:w="0" w:type="dxa"/>
        <w:tblLayout w:type="fixed"/>
        <w:tblCellMar>
          <w:top w:w="0" w:type="dxa"/>
          <w:left w:w="0" w:type="dxa"/>
          <w:bottom w:w="0" w:type="dxa"/>
          <w:right w:w="0" w:type="dxa"/>
        </w:tblCellMar>
      </w:tblPr>
      <w:tblGrid>
        <w:gridCol w:w="530"/>
        <w:gridCol w:w="1610"/>
        <w:gridCol w:w="60"/>
        <w:gridCol w:w="3080"/>
      </w:tblGrid>
      <w:tr>
        <w:trPr/>
        <w:tc>
          <w:tcPr>
            <w:tcW w:w="530" w:type="dxa"/>
            <w:tcBorders/>
            <w:vAlign w:val="center"/>
          </w:tcPr>
          <w:p>
            <w:pPr>
              <w:pStyle w:val="TableContents"/>
              <w:bidi w:val="0"/>
              <w:spacing w:before="0" w:after="283"/>
              <w:jc w:val="left"/>
              <w:rPr/>
            </w:pPr>
            <w:r>
              <w:rPr/>
              <w:t>Date:</w:t>
            </w:r>
          </w:p>
        </w:tc>
        <w:tc>
          <w:tcPr>
            <w:tcW w:w="1610" w:type="dxa"/>
            <w:tcBorders/>
            <w:vAlign w:val="center"/>
          </w:tcPr>
          <w:p>
            <w:pPr>
              <w:pStyle w:val="TableContents"/>
              <w:bidi w:val="0"/>
              <w:spacing w:before="0" w:after="283"/>
              <w:jc w:val="left"/>
              <w:rPr/>
            </w:pPr>
            <w:r>
              <w:rPr/>
              <w:t>August 10, 2026</w:t>
            </w:r>
          </w:p>
        </w:tc>
        <w:tc>
          <w:tcPr>
            <w:tcW w:w="60" w:type="dxa"/>
            <w:tcBorders/>
            <w:vAlign w:val="center"/>
          </w:tcPr>
          <w:p>
            <w:pPr>
              <w:pStyle w:val="TableContents"/>
              <w:bidi w:val="0"/>
              <w:spacing w:before="0" w:after="0"/>
              <w:ind w:left="0" w:right="0" w:hanging="0"/>
              <w:jc w:val="left"/>
              <w:rPr/>
            </w:pPr>
            <w:r>
              <w:rPr/>
              <w:t> </w:t>
            </w:r>
          </w:p>
        </w:tc>
        <w:tc>
          <w:tcPr>
            <w:tcW w:w="3080" w:type="dxa"/>
            <w:tcBorders>
              <w:bottom w:val="single" w:sz="2" w:space="0" w:color="000000"/>
            </w:tcBorders>
            <w:tcMar>
              <w:bottom w:w="28" w:type="dxa"/>
            </w:tcMar>
            <w:vAlign w:val="center"/>
          </w:tcPr>
          <w:p>
            <w:pPr>
              <w:pStyle w:val="TableContents"/>
              <w:bidi w:val="0"/>
              <w:spacing w:before="0" w:after="283"/>
              <w:jc w:val="left"/>
              <w:rPr/>
            </w:pPr>
            <w:r>
              <w:rPr/>
              <w:t>/s/Matthew D. Mullet</w:t>
            </w:r>
          </w:p>
        </w:tc>
      </w:tr>
      <w:tr>
        <w:trPr/>
        <w:tc>
          <w:tcPr>
            <w:tcW w:w="5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Matthew D. Mullet</w:t>
            </w:r>
          </w:p>
        </w:tc>
      </w:tr>
      <w:tr>
        <w:trPr/>
        <w:tc>
          <w:tcPr>
            <w:tcW w:w="5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27" w:name="ex_963238.htm"/>
      <w:bookmarkStart w:id="28" w:name="ksex_963238"/>
      <w:bookmarkEnd w:id="27"/>
      <w:bookmarkEnd w:id="28"/>
      <w:r>
        <w:rPr>
          <w:rFonts w:ascii="Times New Roman" w:hAnsi="Times New Roman"/>
          <w:b/>
          <w:caps w:val="false"/>
          <w:smallCaps w:val="false"/>
          <w:sz w:val="20"/>
        </w:rPr>
        <w:t>EXHIBIT 31.2</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Chief Financial Officer Pursuant to Section 302 of the Sarbanes-Oxley Act of 2002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PRINCIPAL FINANCIAL OFFICER</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302 OF THE SARBANES-OXLEY ACT OF 2002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Phillip D. Whittington, certify that:</w:t>
      </w:r>
    </w:p>
    <w:p>
      <w:pPr>
        <w:pStyle w:val="TextBody"/>
        <w:bidi w:val="0"/>
        <w:spacing w:before="0" w:after="0"/>
        <w:ind w:left="0" w:right="0" w:hanging="0"/>
        <w:jc w:val="left"/>
        <w:rPr>
          <w:caps w:val="false"/>
          <w:smallCaps w:val="false"/>
        </w:rPr>
      </w:pPr>
      <w:r>
        <w:rPr>
          <w:caps w:val="false"/>
          <w:smallCaps w:val="false"/>
        </w:rPr>
        <w:t> ​</w:t>
      </w:r>
    </w:p>
    <w:tbl>
      <w:tblPr>
        <w:tblW w:w="6040" w:type="dxa"/>
        <w:jc w:val="left"/>
        <w:tblInd w:w="0" w:type="dxa"/>
        <w:tblLayout w:type="fixed"/>
        <w:tblCellMar>
          <w:top w:w="0" w:type="dxa"/>
          <w:left w:w="0" w:type="dxa"/>
          <w:bottom w:w="0" w:type="dxa"/>
          <w:right w:w="0" w:type="dxa"/>
        </w:tblCellMar>
      </w:tblPr>
      <w:tblGrid>
        <w:gridCol w:w="170"/>
        <w:gridCol w:w="587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58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FS Bancorp, Inc.;</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88"/>
        <w:gridCol w:w="9957"/>
      </w:tblGrid>
      <w:tr>
        <w:trPr/>
        <w:tc>
          <w:tcPr>
            <w:tcW w:w="60" w:type="dxa"/>
            <w:tcBorders/>
            <w:vAlign w:val="center"/>
          </w:tcPr>
          <w:p>
            <w:pPr>
              <w:pStyle w:val="TableContents"/>
              <w:bidi w:val="0"/>
              <w:spacing w:before="0" w:after="0"/>
              <w:ind w:left="0" w:right="0" w:hanging="0"/>
              <w:jc w:val="left"/>
              <w:rPr/>
            </w:pPr>
            <w:r>
              <w:rPr/>
              <w:t> </w:t>
            </w:r>
          </w:p>
        </w:tc>
        <w:tc>
          <w:tcPr>
            <w:tcW w:w="18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5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5"/>
        <w:gridCol w:w="9950"/>
      </w:tblGrid>
      <w:tr>
        <w:trPr/>
        <w:tc>
          <w:tcPr>
            <w:tcW w:w="60" w:type="dxa"/>
            <w:tcBorders/>
            <w:vAlign w:val="center"/>
          </w:tcPr>
          <w:p>
            <w:pPr>
              <w:pStyle w:val="TableContents"/>
              <w:bidi w:val="0"/>
              <w:spacing w:before="0" w:after="0"/>
              <w:ind w:left="0" w:right="0" w:hanging="0"/>
              <w:jc w:val="left"/>
              <w:rPr/>
            </w:pPr>
            <w:r>
              <w:rPr/>
              <w:t> </w:t>
            </w:r>
          </w:p>
        </w:tc>
        <w:tc>
          <w:tcPr>
            <w:tcW w:w="1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995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04"/>
        <w:gridCol w:w="9941"/>
      </w:tblGrid>
      <w:tr>
        <w:trPr/>
        <w:tc>
          <w:tcPr>
            <w:tcW w:w="60" w:type="dxa"/>
            <w:tcBorders/>
            <w:vAlign w:val="center"/>
          </w:tcPr>
          <w:p>
            <w:pPr>
              <w:pStyle w:val="TableContents"/>
              <w:bidi w:val="0"/>
              <w:spacing w:before="0" w:after="0"/>
              <w:ind w:left="0" w:right="0" w:hanging="0"/>
              <w:jc w:val="left"/>
              <w:rPr/>
            </w:pPr>
            <w:r>
              <w:rPr/>
              <w:t> </w:t>
            </w:r>
          </w:p>
        </w:tc>
        <w:tc>
          <w:tcPr>
            <w:tcW w:w="2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99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6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0"/>
              <w:ind w:left="0" w:right="0" w:hanging="0"/>
              <w:jc w:val="left"/>
              <w:rPr/>
            </w:pPr>
            <w:r>
              <w:rPr/>
              <w:t> </w:t>
            </w:r>
          </w:p>
        </w:tc>
        <w:tc>
          <w:tcPr>
            <w:tcW w:w="19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994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7"/>
        <w:gridCol w:w="9918"/>
      </w:tblGrid>
      <w:tr>
        <w:trPr/>
        <w:tc>
          <w:tcPr>
            <w:tcW w:w="60" w:type="dxa"/>
            <w:tcBorders/>
            <w:vAlign w:val="center"/>
          </w:tcPr>
          <w:p>
            <w:pPr>
              <w:pStyle w:val="TableContents"/>
              <w:bidi w:val="0"/>
              <w:spacing w:before="0" w:after="0"/>
              <w:ind w:left="0" w:right="0" w:hanging="0"/>
              <w:jc w:val="left"/>
              <w:rPr/>
            </w:pPr>
            <w:r>
              <w:rPr/>
              <w:t> </w:t>
            </w:r>
          </w:p>
        </w:tc>
        <w:tc>
          <w:tcPr>
            <w:tcW w:w="22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1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tbl>
      <w:tblPr>
        <w:tblW w:w="4133" w:type="dxa"/>
        <w:jc w:val="left"/>
        <w:tblInd w:w="0" w:type="dxa"/>
        <w:tblLayout w:type="fixed"/>
        <w:tblCellMar>
          <w:top w:w="0" w:type="dxa"/>
          <w:left w:w="0" w:type="dxa"/>
          <w:bottom w:w="0" w:type="dxa"/>
          <w:right w:w="0" w:type="dxa"/>
        </w:tblCellMar>
      </w:tblPr>
      <w:tblGrid>
        <w:gridCol w:w="455"/>
        <w:gridCol w:w="1610"/>
        <w:gridCol w:w="23"/>
        <w:gridCol w:w="2045"/>
      </w:tblGrid>
      <w:tr>
        <w:trPr/>
        <w:tc>
          <w:tcPr>
            <w:tcW w:w="4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w:t>
            </w:r>
          </w:p>
        </w:tc>
        <w:tc>
          <w:tcPr>
            <w:tcW w:w="1610" w:type="dxa"/>
            <w:tcBorders/>
            <w:vAlign w:val="center"/>
          </w:tcPr>
          <w:p>
            <w:pPr>
              <w:pStyle w:val="TableContents"/>
              <w:bidi w:val="0"/>
              <w:spacing w:before="0" w:after="283"/>
              <w:jc w:val="left"/>
              <w:rPr/>
            </w:pPr>
            <w:r>
              <w:rPr/>
              <w:t>August 10, 2026</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/s/Phillip D. Whittington</w:t>
            </w:r>
          </w:p>
        </w:tc>
      </w:tr>
      <w:tr>
        <w:trPr/>
        <w:tc>
          <w:tcPr>
            <w:tcW w:w="4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Phillip D. Whittington</w:t>
            </w:r>
          </w:p>
        </w:tc>
      </w:tr>
      <w:tr>
        <w:trPr/>
        <w:tc>
          <w:tcPr>
            <w:tcW w:w="4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29" w:name="ex_963239.htm"/>
      <w:bookmarkStart w:id="30" w:name="ksex_963239"/>
      <w:bookmarkEnd w:id="29"/>
      <w:bookmarkEnd w:id="30"/>
      <w:r>
        <w:rPr>
          <w:rFonts w:ascii="Times New Roman" w:hAnsi="Times New Roman"/>
          <w:b/>
          <w:caps w:val="false"/>
          <w:smallCaps w:val="false"/>
          <w:sz w:val="20"/>
        </w:rPr>
        <w:t>EXHIBIT 32.1</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Chief Executive Officer Pursuant to Section 906 of the Sarbanes-Oxley Act of 2002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PRINCIPAL EXECUTIVE OFFICER</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18 U.S.C. SECTION 1350,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AS ADOPTED PURSUANT TO</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906 OF THE SARBANES-OXLEY ACT OF 2002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on Form 10-Q of FS Bancorp, Inc. (the “Company”) for the quarter ended June 30, 2026, (the “Report”), I, Matthew D. Mullet, in my capacity as Chief Executive Officer and President of the Company, hereby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 as of the dates and for the periods presented in the financial statements included in the Report.</w:t>
            </w:r>
          </w:p>
        </w:tc>
      </w:tr>
    </w:tbl>
    <w:p>
      <w:pPr>
        <w:pStyle w:val="TextBody"/>
        <w:bidi w:val="0"/>
        <w:spacing w:before="0" w:after="0"/>
        <w:ind w:left="0" w:right="0" w:hanging="0"/>
        <w:jc w:val="left"/>
        <w:rPr>
          <w:caps w:val="false"/>
          <w:smallCaps w:val="false"/>
        </w:rPr>
      </w:pPr>
      <w:r>
        <w:rPr>
          <w:caps w:val="false"/>
          <w:smallCaps w:val="false"/>
        </w:rPr>
        <w:t> ​</w:t>
      </w:r>
    </w:p>
    <w:tbl>
      <w:tblPr>
        <w:tblW w:w="4958" w:type="dxa"/>
        <w:jc w:val="left"/>
        <w:tblInd w:w="0" w:type="dxa"/>
        <w:tblLayout w:type="fixed"/>
        <w:tblCellMar>
          <w:top w:w="0" w:type="dxa"/>
          <w:left w:w="0" w:type="dxa"/>
          <w:bottom w:w="0" w:type="dxa"/>
          <w:right w:w="0" w:type="dxa"/>
        </w:tblCellMar>
      </w:tblPr>
      <w:tblGrid>
        <w:gridCol w:w="470"/>
        <w:gridCol w:w="1370"/>
        <w:gridCol w:w="23"/>
        <w:gridCol w:w="3095"/>
      </w:tblGrid>
      <w:tr>
        <w:trPr/>
        <w:tc>
          <w:tcPr>
            <w:tcW w:w="4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13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10, 2026</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/s/Matthew D. Mullet</w:t>
            </w:r>
          </w:p>
        </w:tc>
      </w:tr>
      <w:tr>
        <w:trPr/>
        <w:tc>
          <w:tcPr>
            <w:tcW w:w="4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3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Matthew D. Mullet</w:t>
            </w:r>
          </w:p>
        </w:tc>
      </w:tr>
      <w:tr>
        <w:trPr/>
        <w:tc>
          <w:tcPr>
            <w:tcW w:w="4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3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309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Chief Executive Officer and President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rPr>
      </w:pPr>
      <w:bookmarkStart w:id="31" w:name="ex_963240.htm"/>
      <w:bookmarkStart w:id="32" w:name="ksex_963240"/>
      <w:bookmarkEnd w:id="31"/>
      <w:bookmarkEnd w:id="32"/>
      <w:r>
        <w:rPr>
          <w:rFonts w:ascii="Times New Roman" w:hAnsi="Times New Roman"/>
          <w:b/>
          <w:caps w:val="false"/>
          <w:smallCaps w:val="false"/>
          <w:sz w:val="20"/>
        </w:rPr>
        <w:t>EXHIBIT 32.2</w:t>
      </w:r>
      <w:r>
        <w:rPr>
          <w:rFonts w:ascii="Times New Roman" w:hAnsi="Times New Roman"/>
          <w:caps w:val="false"/>
          <w:smallCaps w:val="false"/>
          <w:sz w:val="20"/>
        </w:rPr>
        <w:t xml:space="preserve"> </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Chief Financial Officer Pursuant to Section 906 of the Sarbanes-Oxley Act of 2002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CERTIFICATION OF PRINCIPAL FINANCIAL OFFICER</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PURSUANT TO 18 U.S.C. SECTION 1350,</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AS ADOPTED PURSUANT TO</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SECTION 906 OF THE SARBANES-OXLEY ACT OF 2002</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on Form 10-Q of FS Bancorp, Inc. (the “Company”) for the quarter ended June 30, 2026, (the “Report”), I, Phillip D. Whittington, in my capacity as Chief Financial Officer of the Company, hereby certify pursuant to 18 U.S.C. Section 1350, as adopted pursuant to Section 906 of the Sarbanes-Oxley Act of 2002,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1003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Report fully complies with the requirements of Section 13(a) or 15(d) of the Securities Exchange Act of 1934, as amended;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5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information contained in the Report fairly presents, in all material respects, the financial condition and results of operations of the Company as of the dates and for the periods presented in the financial statements included in the Report.</w:t>
            </w:r>
          </w:p>
        </w:tc>
      </w:tr>
    </w:tbl>
    <w:p>
      <w:pPr>
        <w:pStyle w:val="TextBody"/>
        <w:bidi w:val="0"/>
        <w:spacing w:before="0" w:after="0"/>
        <w:ind w:left="0" w:right="0" w:hanging="0"/>
        <w:jc w:val="left"/>
        <w:rPr>
          <w:caps w:val="false"/>
          <w:smallCaps w:val="false"/>
        </w:rPr>
      </w:pPr>
      <w:r>
        <w:rPr>
          <w:caps w:val="false"/>
          <w:smallCaps w:val="false"/>
        </w:rPr>
        <w:t> ​</w:t>
      </w:r>
    </w:p>
    <w:tbl>
      <w:tblPr>
        <w:tblW w:w="4133" w:type="dxa"/>
        <w:jc w:val="left"/>
        <w:tblInd w:w="0" w:type="dxa"/>
        <w:tblLayout w:type="fixed"/>
        <w:tblCellMar>
          <w:top w:w="0" w:type="dxa"/>
          <w:left w:w="0" w:type="dxa"/>
          <w:bottom w:w="0" w:type="dxa"/>
          <w:right w:w="0" w:type="dxa"/>
        </w:tblCellMar>
      </w:tblPr>
      <w:tblGrid>
        <w:gridCol w:w="455"/>
        <w:gridCol w:w="1610"/>
        <w:gridCol w:w="23"/>
        <w:gridCol w:w="2045"/>
      </w:tblGrid>
      <w:tr>
        <w:trPr/>
        <w:tc>
          <w:tcPr>
            <w:tcW w:w="4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Date:</w:t>
            </w:r>
          </w:p>
        </w:tc>
        <w:tc>
          <w:tcPr>
            <w:tcW w:w="1610" w:type="dxa"/>
            <w:tcBorders/>
            <w:vAlign w:val="center"/>
          </w:tcPr>
          <w:p>
            <w:pPr>
              <w:pStyle w:val="TableContents"/>
              <w:bidi w:val="0"/>
              <w:spacing w:before="0" w:after="283"/>
              <w:jc w:val="left"/>
              <w:rPr/>
            </w:pPr>
            <w:r>
              <w:rPr/>
              <w:t>August 10, 2026</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/s/Phillip D. Whittington</w:t>
            </w:r>
          </w:p>
        </w:tc>
      </w:tr>
      <w:tr>
        <w:trPr/>
        <w:tc>
          <w:tcPr>
            <w:tcW w:w="4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Phillip D. Whittington</w:t>
            </w:r>
          </w:p>
        </w:tc>
      </w:tr>
      <w:tr>
        <w:trPr/>
        <w:tc>
          <w:tcPr>
            <w:tcW w:w="455"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161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3"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30249/000093905726000060/fsbanc8k22526.htm" TargetMode="External"/><Relationship Id="rId3" Type="http://schemas.openxmlformats.org/officeDocument/2006/relationships/hyperlink" Target="http://www.sec.gov/Archives/edgar/data/1530249/000118811211002766/ex3-1.htm" TargetMode="External"/><Relationship Id="rId4" Type="http://schemas.openxmlformats.org/officeDocument/2006/relationships/hyperlink" Target="http://www.sec.gov/Archives/edgar/data/1530249/000093905713000269/ex328k7913.htm" TargetMode="External"/><Relationship Id="rId5" Type="http://schemas.openxmlformats.org/officeDocument/2006/relationships/hyperlink" Target="http://www.sec.gov/Archives/edgar/data/1530249/000118811211002766/ex4-0.htm" TargetMode="External"/><Relationship Id="rId6" Type="http://schemas.openxmlformats.org/officeDocument/2006/relationships/hyperlink" Target="http://www.sec.gov/Archives/edgar/data/1530249/000093905721000056/fsbanc8k21021exh41.htm" TargetMode="External"/><Relationship Id="rId7" Type="http://schemas.openxmlformats.org/officeDocument/2006/relationships/hyperlink" Target="http://www.sec.gov/Archives/edgar/data/1530249/000093905721000056/fsbanc8k21021exh41.htm" TargetMode="External"/><Relationship Id="rId8" Type="http://schemas.openxmlformats.org/officeDocument/2006/relationships/hyperlink" Target="http://www.sec.gov/Archives/edgar/data/1530249/000118811211002766/ex10-1.htm" TargetMode="External"/><Relationship Id="rId9" Type="http://schemas.openxmlformats.org/officeDocument/2006/relationships/hyperlink" Target="http://www.sec.gov/Archives/edgar/data/1530249/000118811211002766/ex10-2.htm" TargetMode="External"/><Relationship Id="rId10" Type="http://schemas.openxmlformats.org/officeDocument/2006/relationships/hyperlink" Target="http://www.sec.gov/Archives/edgar/data/1530249/000093905716000633/exhibit1012116.htm" TargetMode="External"/><Relationship Id="rId11" Type="http://schemas.openxmlformats.org/officeDocument/2006/relationships/hyperlink" Target="http://www.sec.gov/Archives/edgar/data/1530249/000155837018009146/fsbw-20180930ex10108016b.htm" TargetMode="External"/><Relationship Id="rId12" Type="http://schemas.openxmlformats.org/officeDocument/2006/relationships/hyperlink" Target="http://www.sec.gov/Archives/edgar/data/1530249/000093905718000306/fsbancs8518exh102.htm" TargetMode="External"/><Relationship Id="rId13" Type="http://schemas.openxmlformats.org/officeDocument/2006/relationships/hyperlink" Target="http://www.sec.gov/Archives/edgar/data/1530249/000093905718000306/fsbancs8518exh103.htm" TargetMode="External"/><Relationship Id="rId14" Type="http://schemas.openxmlformats.org/officeDocument/2006/relationships/hyperlink" Target="http://www.sec.gov/Archives/edgar/data/1530249/000093905718000306/fsbancs8518exh104.htm" TargetMode="External"/><Relationship Id="rId15" Type="http://schemas.openxmlformats.org/officeDocument/2006/relationships/hyperlink" Target="http://www.sec.gov/Archives/edgar/data/0001530249/000093905722000175/0000939057-22-000175-index.html" TargetMode="External"/><Relationship Id="rId16" Type="http://schemas.openxmlformats.org/officeDocument/2006/relationships/hyperlink" Target="http://www.sec.gov/Archives/edgar/data/0001530249/000093905722000175/ex102s8622.htm" TargetMode="External"/><Relationship Id="rId17" Type="http://schemas.openxmlformats.org/officeDocument/2006/relationships/hyperlink" Target="http://www.sec.gov/Archives/edgar/data/1530249/000093905724000032/fsbanc8k12924exh101.htm" TargetMode="External"/><Relationship Id="rId18" Type="http://schemas.openxmlformats.org/officeDocument/2006/relationships/hyperlink" Target="http://www.sec.gov/Archives/edgar/data/1530249/000093905725000314/fsbanc12225exh101.htm"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33255</Words>
  <Characters>181991</Characters>
  <CharactersWithSpaces>226751</CharactersWithSpaces>
  <Paragraphs>25947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