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120"/>
        <w:ind w:left="0" w:right="0" w:hanging="0"/>
        <w:rPr/>
      </w:pPr>
      <w:hyperlink w:anchor="TOC">
        <w:bookmarkStart w:id="0" w:name="fsbw-20230331x10q.htm"/>
        <w:bookmarkStart w:id="1" w:name="ksfsbw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b/>
          <w:sz w:val="28"/>
        </w:rPr>
      </w:pPr>
      <w:bookmarkStart w:id="2" w:name="_91a09712_d724_4b0d_a4e2_06c658962aea"/>
      <w:bookmarkEnd w:id="2"/>
      <w:r>
        <w:rPr>
          <w:rFonts w:ascii="Times New Roman;Times;serif" w:hAnsi="Times New Roman;Times;serif"/>
          <w:b/>
          <w:sz w:val="28"/>
        </w:rPr>
        <w:t>UNITED STATES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20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spacing w:before="120" w:after="0"/>
        <w:ind w:left="0" w:right="0" w:hanging="0"/>
        <w:rPr>
          <w:rFonts w:ascii="Times New Roman;Times;serif" w:hAnsi="Times New Roman;Times;serif"/>
          <w:sz w:val="20"/>
        </w:rPr>
      </w:pPr>
      <w:r>
        <w:rPr>
          <w:rFonts w:ascii="Times New Roman;Times;serif" w:hAnsi="Times New Roman;Times;serif"/>
          <w:sz w:val="20"/>
        </w:rPr>
        <w:t>(Mark One)</w:t>
      </w:r>
    </w:p>
    <w:p>
      <w:pPr>
        <w:pStyle w:val="TextBody"/>
        <w:spacing w:before="120" w:after="0"/>
        <w:ind w:left="0" w:right="0" w:hanging="0"/>
        <w:rPr/>
      </w:pPr>
      <w:r>
        <w:rPr>
          <w:caps w:val="false"/>
          <w:smallCaps w:val="false"/>
        </w:rPr>
        <w:t>☒</w:t>
      </w:r>
      <w:r>
        <w:rPr>
          <w:rFonts w:ascii="Times New Roman;Times;serif" w:hAnsi="Times New Roman;Times;serif"/>
          <w:sz w:val="20"/>
        </w:rPr>
        <w:t>QUARTERLY REPORT PURSUANT TO SECTION 13 OR 15(d) OF THE SECURITIES EXCHANGE ACT OF 1934</w:t>
      </w:r>
    </w:p>
    <w:p>
      <w:pPr>
        <w:pStyle w:val="TextBody"/>
        <w:spacing w:before="120" w:after="200"/>
        <w:ind w:left="0" w:right="0" w:hanging="0"/>
        <w:jc w:val="center"/>
        <w:rPr>
          <w:rFonts w:ascii="Times New Roman;Times;serif" w:hAnsi="Times New Roman;Times;serif"/>
          <w:sz w:val="20"/>
        </w:rPr>
      </w:pPr>
      <w:r>
        <w:rPr>
          <w:rFonts w:ascii="Times New Roman;Times;serif" w:hAnsi="Times New Roman;Times;serif"/>
          <w:sz w:val="20"/>
        </w:rPr>
        <w:t xml:space="preserve">For the quarterly period ended </w:t>
      </w:r>
      <w:r>
        <w:rPr>
          <w:rFonts w:ascii="Times New Roman;Times;serif" w:hAnsi="Times New Roman;Times;serif"/>
          <w:b/>
          <w:sz w:val="20"/>
        </w:rPr>
        <w:t>March 31, 2023</w:t>
      </w:r>
      <w:r>
        <w:rPr>
          <w:rFonts w:ascii="Times New Roman;Times;serif" w:hAnsi="Times New Roman;Times;serif"/>
          <w:sz w:val="20"/>
        </w:rPr>
        <w:t>              </w:t>
      </w:r>
      <w:r>
        <w:rPr>
          <w:rFonts w:ascii="Times New Roman;Times;serif" w:hAnsi="Times New Roman;Times;serif"/>
          <w:b/>
          <w:sz w:val="20"/>
        </w:rPr>
        <w:t>OR</w:t>
      </w:r>
    </w:p>
    <w:p>
      <w:pPr>
        <w:pStyle w:val="TextBody"/>
        <w:spacing w:before="0" w:after="0"/>
        <w:ind w:left="0" w:right="0" w:hanging="0"/>
        <w:rPr/>
      </w:pPr>
      <w:r>
        <w:rPr>
          <w:caps w:val="false"/>
          <w:smallCaps w:val="false"/>
        </w:rPr>
        <w:t>☐</w:t>
      </w:r>
      <w:r>
        <w:rPr>
          <w:rFonts w:ascii="Times New Roman;Times;serif" w:hAnsi="Times New Roman;Times;serif"/>
          <w:sz w:val="20"/>
        </w:rPr>
        <w:t>TRANSITION REPORT PURSUANT TO SECTION 13 OR 15(d) OF THE SECURITIES EXCHANGE ACT OF 1934</w:t>
      </w:r>
    </w:p>
    <w:p>
      <w:pPr>
        <w:pStyle w:val="TextBody"/>
        <w:spacing w:before="120" w:after="200"/>
        <w:ind w:left="0" w:right="0" w:hanging="0"/>
        <w:jc w:val="center"/>
        <w:rPr>
          <w:rFonts w:ascii="Times New Roman;Times;serif" w:hAnsi="Times New Roman;Times;serif"/>
          <w:sz w:val="20"/>
        </w:rPr>
      </w:pPr>
      <w:r>
        <w:rPr>
          <w:rFonts w:ascii="Times New Roman;Times;serif" w:hAnsi="Times New Roman;Times;serif"/>
          <w:sz w:val="20"/>
        </w:rPr>
        <w:t>For the transition period from                     to                    </w:t>
      </w:r>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sz w:val="20"/>
        </w:rPr>
        <w:t>Commission File Number: 001-35589</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FS BANCORP, INC.</w:t>
      </w:r>
    </w:p>
    <w:p>
      <w:pPr>
        <w:pStyle w:val="TextBody"/>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spacing w:before="0" w:after="0"/>
        <w:rPr>
          <w:sz w:val="4"/>
          <w:szCs w:val="4"/>
        </w:rPr>
      </w:pPr>
      <w:r>
        <w:rPr>
          <w:sz w:val="4"/>
          <w:szCs w:val="4"/>
        </w:rPr>
      </w:r>
      <w:bookmarkStart w:id="3" w:name="Tc_0D0a2OFrv0C7BpIMxQzu8w_2_2"/>
      <w:bookmarkStart w:id="4" w:name="Tc_R3qmhzh2uUG4h9V_cNO9yg_2_0"/>
      <w:bookmarkStart w:id="5" w:name="_1fb88323_0289_4790_8318_ed664322fa61"/>
      <w:bookmarkStart w:id="6" w:name="Tc_0D0a2OFrv0C7BpIMxQzu8w_2_2"/>
      <w:bookmarkStart w:id="7" w:name="Tc_R3qmhzh2uUG4h9V_cNO9yg_2_0"/>
      <w:bookmarkStart w:id="8" w:name="_1fb88323_0289_4790_8318_ed664322fa61"/>
      <w:bookmarkEnd w:id="6"/>
      <w:bookmarkEnd w:id="7"/>
      <w:bookmarkEnd w:id="8"/>
    </w:p>
    <w:tbl>
      <w:tblPr>
        <w:tblW w:w="387" w:type="dxa"/>
        <w:jc w:val="left"/>
        <w:tblInd w:w="0" w:type="dxa"/>
        <w:tblCellMar>
          <w:top w:w="0" w:type="dxa"/>
          <w:left w:w="0" w:type="dxa"/>
          <w:bottom w:w="0" w:type="dxa"/>
          <w:right w:w="0" w:type="dxa"/>
        </w:tblCellMar>
      </w:tblPr>
      <w:tblGrid>
        <w:gridCol w:w="124"/>
        <w:gridCol w:w="109"/>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7790" cy="175260"/>
                      <wp:effectExtent l="0" t="0" r="0" b="0"/>
                      <wp:wrapNone/>
                      <wp:docPr id="3" name="Frame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bottom w:val="single" w:sz="8"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1466850"/>
                      <wp:effectExtent l="0" t="0" r="0" b="0"/>
                      <wp:wrapNone/>
                      <wp:docPr id="4" name="Frame4"/>
                      <a:graphic xmlns:a="http://schemas.openxmlformats.org/drawingml/2006/main">
                        <a:graphicData uri="http://schemas.microsoft.com/office/word/2010/wordprocessingShape">
                          <wps:wsp>
                            <wps:cNvSpPr txBox="1"/>
                            <wps:spPr>
                              <a:xfrm>
                                <a:off x="0" y="0"/>
                                <a:ext cx="78740" cy="1466850"/>
                              </a:xfrm>
                              <a:prstGeom prst="rect"/>
                            </wps:spPr>
                            <wps:txbx>
                              <w:txbxContent>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w:t>
                            </w:r>
                          </w:p>
                        </w:txbxContent>
                      </v:textbox>
                    </v:rect>
                  </w:pict>
                </mc:Fallback>
              </mc:AlternateContent>
            </w:r>
          </w:p>
        </w:tc>
        <w:tc>
          <w:tcPr>
            <w:tcW w:w="109" w:type="dxa"/>
            <w:tcBorders>
              <w:bottom w:val="single" w:sz="8"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00"/>
                              <w:ind w:left="0" w:right="0" w:hanging="0"/>
                              <w:jc w:val="both"/>
                              <w:rPr/>
                            </w:pPr>
                            <w:r>
                              <w:rPr/>
                              <w:t>​</w:t>
                            </w:r>
                          </w:p>
                        </w:txbxContent>
                      </v:textbox>
                    </v:rect>
                  </w:pict>
                </mc:Fallback>
              </mc:AlternateContent>
            </w:r>
          </w:p>
        </w:tc>
        <w:tc>
          <w:tcPr>
            <w:tcW w:w="154" w:type="dxa"/>
            <w:tcBorders>
              <w:bottom w:val="single" w:sz="8"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1466850"/>
                      <wp:effectExtent l="0" t="0" r="0" b="0"/>
                      <wp:wrapNone/>
                      <wp:docPr id="6" name="Frame6"/>
                      <a:graphic xmlns:a="http://schemas.openxmlformats.org/drawingml/2006/main">
                        <a:graphicData uri="http://schemas.microsoft.com/office/word/2010/wordprocessingShape">
                          <wps:wsp>
                            <wps:cNvSpPr txBox="1"/>
                            <wps:spPr>
                              <a:xfrm>
                                <a:off x="0" y="0"/>
                                <a:ext cx="97790" cy="1466850"/>
                              </a:xfrm>
                              <a:prstGeom prst="rect"/>
                            </wps:spPr>
                            <wps:txbx>
                              <w:txbxContent>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45-4585178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45-4585178</w:t>
                            </w:r>
                          </w:p>
                        </w:txbxContent>
                      </v:textbox>
                    </v:rect>
                  </w:pict>
                </mc:Fallback>
              </mc:AlternateContent>
            </w:r>
          </w:p>
        </w:tc>
      </w:tr>
      <w:tr>
        <w:trPr/>
        <w:tc>
          <w:tcPr>
            <w:tcW w:w="124"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740" cy="7480935"/>
                      <wp:effectExtent l="0" t="0" r="0" b="0"/>
                      <wp:wrapNone/>
                      <wp:docPr id="7" name="Frame7"/>
                      <a:graphic xmlns:a="http://schemas.openxmlformats.org/drawingml/2006/main">
                        <a:graphicData uri="http://schemas.microsoft.com/office/word/2010/wordprocessingShape">
                          <wps:wsp>
                            <wps:cNvSpPr txBox="1"/>
                            <wps:spPr>
                              <a:xfrm>
                                <a:off x="0" y="0"/>
                                <a:ext cx="78740" cy="7480935"/>
                              </a:xfrm>
                              <a:prstGeom prst="rect"/>
                            </wps:spPr>
                            <wps:txbx>
                              <w:txbxContent>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8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8" name="Frame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00"/>
                              <w:ind w:left="0" w:right="0" w:hanging="0"/>
                              <w:jc w:val="both"/>
                              <w:rPr/>
                            </w:pPr>
                            <w:r>
                              <w:rPr/>
                              <w:t>​</w:t>
                            </w:r>
                          </w:p>
                        </w:txbxContent>
                      </v:textbox>
                    </v:rect>
                  </w:pict>
                </mc:Fallback>
              </mc:AlternateContent>
            </w:r>
          </w:p>
        </w:tc>
        <w:tc>
          <w:tcPr>
            <w:tcW w:w="154"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7790" cy="3667125"/>
                      <wp:effectExtent l="0" t="0" r="0" b="0"/>
                      <wp:wrapNone/>
                      <wp:docPr id="9" name="Frame9"/>
                      <a:graphic xmlns:a="http://schemas.openxmlformats.org/drawingml/2006/main">
                        <a:graphicData uri="http://schemas.microsoft.com/office/word/2010/wordprocessingShape">
                          <wps:wsp>
                            <wps:cNvSpPr txBox="1"/>
                            <wps:spPr>
                              <a:xfrm>
                                <a:off x="0" y="0"/>
                                <a:ext cx="97790" cy="3667125"/>
                              </a:xfrm>
                              <a:prstGeom prst="rect"/>
                            </wps:spPr>
                            <wps:txbx>
                              <w:txbxContent>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88.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v:textbox>
                    </v:rect>
                  </w:pict>
                </mc:Fallback>
              </mc:AlternateConten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6920 220th Street SW, Mountlake Terrace, Washington</w:t>
      </w:r>
      <w:r>
        <w:rPr>
          <w:rFonts w:ascii="Times New Roman;Times;serif" w:hAnsi="Times New Roman;Times;serif"/>
          <w:sz w:val="20"/>
        </w:rPr>
        <w:t>  </w:t>
      </w:r>
      <w:r>
        <w:rPr>
          <w:rFonts w:ascii="Times New Roman;Times;serif" w:hAnsi="Times New Roman;Times;serif"/>
          <w:b/>
          <w:sz w:val="20"/>
        </w:rPr>
        <w:t>98043</w:t>
      </w:r>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(425) 771-5299</w:t>
      </w:r>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spacing w:before="0" w:after="20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spacing w:before="240" w:after="0"/>
        <w:ind w:left="0" w:right="4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spacing w:before="0" w:after="0"/>
        <w:rPr>
          <w:sz w:val="4"/>
          <w:szCs w:val="4"/>
        </w:rPr>
      </w:pPr>
      <w:r>
        <w:rPr>
          <w:sz w:val="4"/>
          <w:szCs w:val="4"/>
        </w:rPr>
      </w:r>
      <w:bookmarkStart w:id="9" w:name="Tc_sDOlfdYHBEOzTpDVfVQLfg_1_2"/>
      <w:bookmarkStart w:id="10" w:name="Tc_kUEcplhTpUy1NPTSEpy5gw_1_1"/>
      <w:bookmarkStart w:id="11" w:name="Tc_bu8ubP5iZ06Fb3M-uIoU4Q_1_0"/>
      <w:bookmarkStart w:id="12" w:name="_0529d8d9_af3c_4382_bb77_7db19523f77a"/>
      <w:bookmarkStart w:id="13" w:name="Tc_sDOlfdYHBEOzTpDVfVQLfg_1_2"/>
      <w:bookmarkStart w:id="14" w:name="Tc_kUEcplhTpUy1NPTSEpy5gw_1_1"/>
      <w:bookmarkStart w:id="15" w:name="Tc_bu8ubP5iZ06Fb3M-uIoU4Q_1_0"/>
      <w:bookmarkStart w:id="16" w:name="_0529d8d9_af3c_4382_bb77_7db19523f77a"/>
      <w:bookmarkEnd w:id="13"/>
      <w:bookmarkEnd w:id="14"/>
      <w:bookmarkEnd w:id="15"/>
      <w:bookmarkEnd w:id="16"/>
    </w:p>
    <w:tbl>
      <w:tblPr>
        <w:tblW w:w="8583" w:type="dxa"/>
        <w:jc w:val="left"/>
        <w:tblInd w:w="0" w:type="dxa"/>
        <w:tblCellMar>
          <w:top w:w="0" w:type="dxa"/>
          <w:left w:w="0" w:type="dxa"/>
          <w:bottom w:w="0" w:type="dxa"/>
          <w:right w:w="0" w:type="dxa"/>
        </w:tblCellMar>
      </w:tblPr>
      <w:tblGrid>
        <w:gridCol w:w="3856"/>
        <w:gridCol w:w="1456"/>
        <w:gridCol w:w="3271"/>
      </w:tblGrid>
      <w:tr>
        <w:trPr/>
        <w:tc>
          <w:tcPr>
            <w:tcW w:w="3856" w:type="dxa"/>
            <w:tcBorders/>
            <w:shd w:fill="auto" w:val="clear"/>
            <w:vAlign w:val="center"/>
          </w:tcPr>
          <w:p>
            <w:pPr>
              <w:pStyle w:val="TableContents"/>
              <w:spacing w:before="0" w:after="283"/>
              <w:ind w:left="0" w:right="0" w:hanging="0"/>
              <w:rPr>
                <w:sz w:val="4"/>
                <w:szCs w:val="4"/>
              </w:rPr>
            </w:pPr>
            <w:r>
              <w:rPr>
                <w:sz w:val="4"/>
                <w:szCs w:val="4"/>
              </w:rPr>
            </w:r>
          </w:p>
        </w:tc>
        <w:tc>
          <w:tcPr>
            <w:tcW w:w="1456" w:type="dxa"/>
            <w:tcBorders/>
            <w:shd w:fill="auto" w:val="clear"/>
            <w:vAlign w:val="center"/>
          </w:tcPr>
          <w:p>
            <w:pPr>
              <w:pStyle w:val="TableContents"/>
              <w:spacing w:before="0" w:after="283"/>
              <w:ind w:left="0" w:right="0" w:hanging="0"/>
              <w:rPr>
                <w:sz w:val="4"/>
                <w:szCs w:val="4"/>
              </w:rPr>
            </w:pPr>
            <w:r>
              <w:rPr>
                <w:sz w:val="4"/>
                <w:szCs w:val="4"/>
              </w:rPr>
            </w:r>
          </w:p>
        </w:tc>
        <w:tc>
          <w:tcPr>
            <w:tcW w:w="3271" w:type="dxa"/>
            <w:tcBorders/>
            <w:shd w:fill="auto" w:val="clear"/>
            <w:vAlign w:val="center"/>
          </w:tcPr>
          <w:p>
            <w:pPr>
              <w:pStyle w:val="TableContents"/>
              <w:spacing w:before="0" w:after="283"/>
              <w:ind w:left="0" w:right="0" w:hanging="0"/>
              <w:rPr>
                <w:sz w:val="4"/>
                <w:szCs w:val="4"/>
              </w:rPr>
            </w:pPr>
            <w:r>
              <w:rPr>
                <w:sz w:val="4"/>
                <w:szCs w:val="4"/>
              </w:rPr>
            </w:r>
          </w:p>
        </w:tc>
      </w:tr>
      <w:tr>
        <w:trPr/>
        <w:tc>
          <w:tcPr>
            <w:tcW w:w="385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120" w:after="0"/>
              <w:ind w:left="0" w:right="0" w:hanging="0"/>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120" w:after="0"/>
              <w:ind w:left="0" w:right="0" w:hanging="0"/>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120" w:after="0"/>
              <w:ind w:left="0" w:right="0" w:hanging="0"/>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85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120" w:after="0"/>
              <w:ind w:left="0" w:right="0" w:hanging="0"/>
              <w:rPr>
                <w:rFonts w:ascii="inherit" w:hAnsi="inherit"/>
                <w:sz w:val="18"/>
              </w:rPr>
            </w:pPr>
            <w:r>
              <w:rPr>
                <w:rFonts w:ascii="inherit" w:hAnsi="inherit"/>
                <w:sz w:val="18"/>
              </w:rPr>
              <w:t>Common Stock, par value $.01 per share</w:t>
            </w:r>
          </w:p>
        </w:tc>
        <w:tc>
          <w:tcPr>
            <w:tcW w:w="145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120" w:after="0"/>
              <w:ind w:left="0" w:right="0" w:hanging="0"/>
              <w:rPr>
                <w:rFonts w:ascii="Times New Roman;Times;serif" w:hAnsi="Times New Roman;Times;serif"/>
                <w:sz w:val="18"/>
              </w:rPr>
            </w:pPr>
            <w:r>
              <w:rPr>
                <w:rFonts w:ascii="Times New Roman;Times;serif" w:hAnsi="Times New Roman;Times;serif"/>
                <w:sz w:val="18"/>
              </w:rPr>
              <w:t>FSBW</w:t>
            </w:r>
          </w:p>
        </w:tc>
        <w:tc>
          <w:tcPr>
            <w:tcW w:w="3271"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pBdr/>
              <w:spacing w:before="120" w:after="0"/>
              <w:ind w:left="0" w:right="0" w:hanging="180"/>
              <w:rPr>
                <w:rFonts w:ascii="inherit" w:hAnsi="inherit"/>
                <w:sz w:val="18"/>
              </w:rPr>
            </w:pPr>
            <w:r>
              <w:rPr>
                <w:rFonts w:ascii="inherit" w:hAnsi="inherit"/>
                <w:sz w:val="18"/>
              </w:rPr>
              <w:t>The NASDAQ Stock Market LLC</w:t>
            </w:r>
          </w:p>
        </w:tc>
      </w:tr>
    </w:tbl>
    <w:p>
      <w:pPr>
        <w:pStyle w:val="TextBody"/>
        <w:spacing w:before="0" w:after="0"/>
        <w:ind w:left="0" w:right="0" w:hanging="0"/>
        <w:rPr/>
      </w:pPr>
      <w:r>
        <w:rPr/>
        <w:t>​</w:t>
      </w:r>
    </w:p>
    <w:p>
      <w:pPr>
        <w:pStyle w:val="TextBody"/>
        <w:spacing w:before="0" w:after="0"/>
        <w:ind w:left="0" w:right="4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120" w:after="2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2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87" w:type="dxa"/>
        <w:jc w:val="left"/>
        <w:tblInd w:w="0" w:type="dxa"/>
        <w:tblCellMar>
          <w:top w:w="0" w:type="dxa"/>
          <w:left w:w="0" w:type="dxa"/>
          <w:bottom w:w="0" w:type="dxa"/>
          <w:right w:w="0" w:type="dxa"/>
        </w:tblCellMar>
      </w:tblPr>
      <w:tblGrid>
        <w:gridCol w:w="124"/>
        <w:gridCol w:w="109"/>
        <w:gridCol w:w="154"/>
      </w:tblGrid>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8740" cy="3105785"/>
                      <wp:effectExtent l="0" t="0" r="0" b="0"/>
                      <wp:wrapNone/>
                      <wp:docPr id="10" name="Frame10"/>
                      <a:graphic xmlns:a="http://schemas.openxmlformats.org/drawingml/2006/main">
                        <a:graphicData uri="http://schemas.microsoft.com/office/word/2010/wordprocessingShape">
                          <wps:wsp>
                            <wps:cNvSpPr txBox="1"/>
                            <wps:spPr>
                              <a:xfrm>
                                <a:off x="0" y="0"/>
                                <a:ext cx="78740" cy="3105785"/>
                              </a:xfrm>
                              <a:prstGeom prst="rect"/>
                            </wps:spPr>
                            <wps:txb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Large accelerated filer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4.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Large accelerated filer ☐</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00"/>
                              <w:ind w:left="0" w:right="0" w:hanging="0"/>
                              <w:jc w:val="both"/>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932305"/>
                      <wp:effectExtent l="0" t="0" r="0" b="0"/>
                      <wp:wrapNone/>
                      <wp:docPr id="12" name="Frame12"/>
                      <a:graphic xmlns:a="http://schemas.openxmlformats.org/drawingml/2006/main">
                        <a:graphicData uri="http://schemas.microsoft.com/office/word/2010/wordprocessingShape">
                          <wps:wsp>
                            <wps:cNvSpPr txBox="1"/>
                            <wps:spPr>
                              <a:xfrm>
                                <a:off x="0" y="0"/>
                                <a:ext cx="97790" cy="1932305"/>
                              </a:xfrm>
                              <a:prstGeom prst="rect"/>
                            </wps:spPr>
                            <wps:txb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Accelerated filer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52.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Accelerated filer ☒</w:t>
                            </w:r>
                          </w:p>
                        </w:txbxContent>
                      </v:textbox>
                    </v:rect>
                  </w:pict>
                </mc:Fallback>
              </mc:AlternateContent>
            </w:r>
          </w:p>
        </w:tc>
      </w:tr>
      <w:tr>
        <w:trPr/>
        <w:tc>
          <w:tcPr>
            <w:tcW w:w="124"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8740" cy="2959100"/>
                      <wp:effectExtent l="0" t="0" r="0" b="0"/>
                      <wp:wrapNone/>
                      <wp:docPr id="13" name="Frame13"/>
                      <a:graphic xmlns:a="http://schemas.openxmlformats.org/drawingml/2006/main">
                        <a:graphicData uri="http://schemas.microsoft.com/office/word/2010/wordprocessingShape">
                          <wps:wsp>
                            <wps:cNvSpPr txBox="1"/>
                            <wps:spPr>
                              <a:xfrm>
                                <a:off x="0" y="0"/>
                                <a:ext cx="78740" cy="2959100"/>
                              </a:xfrm>
                              <a:prstGeom prst="rect"/>
                            </wps:spPr>
                            <wps:txb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Non-accelerated filer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Non-accelerated filer ☐</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00"/>
                              <w:ind w:left="0" w:right="0" w:hanging="0"/>
                              <w:jc w:val="both"/>
                              <w:rPr/>
                            </w:pPr>
                            <w:r>
                              <w:rPr/>
                              <w:t>​</w:t>
                            </w:r>
                          </w:p>
                        </w:txbxContent>
                      </v:textbox>
                    </v:rect>
                  </w:pict>
                </mc:Fallback>
              </mc:AlternateContent>
            </w:r>
          </w:p>
        </w:tc>
        <w:tc>
          <w:tcPr>
            <w:tcW w:w="154"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7790" cy="3105785"/>
                      <wp:effectExtent l="0" t="0" r="0" b="0"/>
                      <wp:wrapNone/>
                      <wp:docPr id="15" name="Frame15"/>
                      <a:graphic xmlns:a="http://schemas.openxmlformats.org/drawingml/2006/main">
                        <a:graphicData uri="http://schemas.microsoft.com/office/word/2010/wordprocessingShape">
                          <wps:wsp>
                            <wps:cNvSpPr txBox="1"/>
                            <wps:spPr>
                              <a:xfrm>
                                <a:off x="0" y="0"/>
                                <a:ext cx="97790" cy="3105785"/>
                              </a:xfrm>
                              <a:prstGeom prst="rect"/>
                            </wps:spPr>
                            <wps:txb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Smaller reporting company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44.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Smaller reporting company ☐</w:t>
                            </w:r>
                          </w:p>
                        </w:txbxContent>
                      </v:textbox>
                    </v:rect>
                  </w:pict>
                </mc:Fallback>
              </mc:AlternateContent>
            </w:r>
          </w:p>
        </w:tc>
      </w:tr>
      <w:tr>
        <w:trPr/>
        <w:tc>
          <w:tcPr>
            <w:tcW w:w="124"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8740" cy="3252470"/>
                      <wp:effectExtent l="0" t="0" r="0" b="0"/>
                      <wp:wrapNone/>
                      <wp:docPr id="16" name="Frame16"/>
                      <a:graphic xmlns:a="http://schemas.openxmlformats.org/drawingml/2006/main">
                        <a:graphicData uri="http://schemas.microsoft.com/office/word/2010/wordprocessingShape">
                          <wps:wsp>
                            <wps:cNvSpPr txBox="1"/>
                            <wps:spPr>
                              <a:xfrm>
                                <a:off x="0" y="0"/>
                                <a:ext cx="78740" cy="3252470"/>
                              </a:xfrm>
                              <a:prstGeom prst="rect"/>
                            </wps:spPr>
                            <wps:txb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Emerging growth company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56.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40" w:after="40"/>
                              <w:ind w:left="0" w:right="0" w:hanging="0"/>
                              <w:rPr>
                                <w:rFonts w:ascii="Times New Roman;Times;serif" w:hAnsi="Times New Roman;Times;serif"/>
                                <w:sz w:val="20"/>
                              </w:rPr>
                            </w:pPr>
                            <w:r>
                              <w:rPr>
                                <w:rFonts w:ascii="Times New Roman;Times;serif" w:hAnsi="Times New Roman;Times;serif"/>
                                <w:sz w:val="20"/>
                              </w:rPr>
                              <w:t>Emerging growth company ☐</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00"/>
                              <w:ind w:left="0" w:right="0" w:hanging="0"/>
                              <w:jc w:val="both"/>
                              <w:rPr/>
                            </w:pPr>
                            <w:r>
                              <w:rPr/>
                              <w:t>​</w:t>
                            </w:r>
                          </w:p>
                        </w:txbxContent>
                      </v:textbox>
                    </v:rect>
                  </w:pict>
                </mc:Fallback>
              </mc:AlternateContent>
            </w:r>
          </w:p>
        </w:tc>
        <w:tc>
          <w:tcPr>
            <w:tcW w:w="154"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175260"/>
                      <wp:effectExtent l="0" t="0" r="0" b="0"/>
                      <wp:wrapNone/>
                      <wp:docPr id="18" name="Frame1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00"/>
                              <w:ind w:left="0" w:right="0" w:hanging="0"/>
                              <w:jc w:val="both"/>
                              <w:rPr/>
                            </w:pPr>
                            <w:r>
                              <w:rPr/>
                              <w:t>​</w:t>
                            </w:r>
                          </w:p>
                        </w:txbxContent>
                      </v:textbox>
                    </v:rect>
                  </w:pict>
                </mc:Fallback>
              </mc:AlternateConten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240" w:after="0"/>
        <w:ind w:left="0" w:right="4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Indicate the number of shares outstanding of each of the issuer’s classes of common stock, as of the latest practicable date:  As of May 5, 2023, there were 7,743,283 outstanding shares of the registrant’s common stock.</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7" w:name="_81c1b40f_4332_43d6_a68b_9d19c9c6862f"/>
      <w:bookmarkEnd w:id="17"/>
      <w:r>
        <w:rPr>
          <w:rFonts w:ascii="Times New Roman;Times;serif" w:hAnsi="Times New Roman;Times;serif"/>
          <w:b/>
          <w:sz w:val="20"/>
        </w:rPr>
        <w:t>FS Bancorp, Inc.</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spacing w:before="0" w:after="200"/>
        <w:ind w:left="0" w:right="0" w:hanging="0"/>
        <w:jc w:val="center"/>
        <w:rPr>
          <w:rFonts w:ascii="Times New Roman;Times;serif" w:hAnsi="Times New Roman;Times;serif"/>
          <w:sz w:val="20"/>
        </w:rPr>
      </w:pPr>
      <w:bookmarkStart w:id="18" w:name="TOC"/>
      <w:bookmarkEnd w:id="18"/>
      <w:r>
        <w:rPr>
          <w:rFonts w:ascii="Times New Roman;Times;serif" w:hAnsi="Times New Roman;Times;serif"/>
          <w:sz w:val="20"/>
        </w:rPr>
        <w:t>Table of Contents</w:t>
      </w:r>
    </w:p>
    <w:tbl>
      <w:tblPr>
        <w:tblW w:w="10205" w:type="dxa"/>
        <w:jc w:val="left"/>
        <w:tblInd w:w="0" w:type="dxa"/>
        <w:tblCellMar>
          <w:top w:w="0" w:type="dxa"/>
          <w:left w:w="0" w:type="dxa"/>
          <w:bottom w:w="0" w:type="dxa"/>
          <w:right w:w="0" w:type="dxa"/>
        </w:tblCellMar>
      </w:tblPr>
      <w:tblGrid>
        <w:gridCol w:w="1366"/>
        <w:gridCol w:w="326"/>
        <w:gridCol w:w="6881"/>
        <w:gridCol w:w="326"/>
        <w:gridCol w:w="1306"/>
      </w:tblGrid>
      <w:tr>
        <w:trPr/>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867410" cy="175260"/>
                      <wp:effectExtent l="0" t="0" r="0" b="0"/>
                      <wp:wrapNone/>
                      <wp:docPr id="19" name="Frame19"/>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69435" cy="175260"/>
                      <wp:effectExtent l="0" t="0" r="0" b="0"/>
                      <wp:wrapNone/>
                      <wp:docPr id="21" name="Frame21"/>
                      <a:graphic xmlns:a="http://schemas.openxmlformats.org/drawingml/2006/main">
                        <a:graphicData uri="http://schemas.microsoft.com/office/word/2010/wordprocessingShape">
                          <wps:wsp>
                            <wps:cNvSpPr txBox="1"/>
                            <wps:spPr>
                              <a:xfrm>
                                <a:off x="0" y="0"/>
                                <a:ext cx="4369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Number</w:t>
            </w:r>
          </w:p>
        </w:tc>
      </w:tr>
      <w:tr>
        <w:trPr/>
        <w:tc>
          <w:tcPr>
            <w:tcW w:w="1366"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PART I</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FINANCIAL INFORMATION</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1FinancialStatements_865169">
              <w:r>
                <w:rPr>
                  <w:rStyle w:val="InternetLink"/>
                  <w:rFonts w:ascii="Times New Roman;Times;serif" w:hAnsi="Times New Roman;Times;serif"/>
                  <w:b w:val="false"/>
                  <w:i w:val="false"/>
                  <w:caps w:val="false"/>
                  <w:smallCaps w:val="false"/>
                  <w:sz w:val="20"/>
                </w:rPr>
                <w:t>Item 1.</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1FinancialStatements_865169">
              <w:r>
                <w:rPr>
                  <w:rStyle w:val="InternetLink"/>
                  <w:rFonts w:ascii="Times New Roman;Times;serif" w:hAnsi="Times New Roman;Times;serif"/>
                  <w:b w:val="false"/>
                  <w:i w:val="false"/>
                  <w:caps w:val="false"/>
                  <w:smallCaps w:val="false"/>
                  <w:sz w:val="20"/>
                </w:rPr>
                <w:t>Financial Statements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BALANCESHEETS_557197">
              <w:r>
                <w:rPr>
                  <w:rStyle w:val="InternetLink"/>
                  <w:rFonts w:ascii="Times New Roman;Times;serif" w:hAnsi="Times New Roman;Times;serif"/>
                  <w:b w:val="false"/>
                  <w:i w:val="false"/>
                  <w:caps w:val="false"/>
                  <w:smallCaps w:val="false"/>
                  <w:sz w:val="20"/>
                </w:rPr>
                <w:t>Consolidated Balance Sheets at March 31, 2023 and December 31, 2022 (Unaudited)</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STATEMENTSOFINCOME_771962">
              <w:r>
                <w:rPr>
                  <w:rStyle w:val="InternetLink"/>
                  <w:rFonts w:ascii="Times New Roman;Times;serif" w:hAnsi="Times New Roman;Times;serif"/>
                  <w:b w:val="false"/>
                  <w:i w:val="false"/>
                  <w:caps w:val="false"/>
                  <w:smallCaps w:val="false"/>
                  <w:sz w:val="20"/>
                </w:rPr>
                <w:t>Consolidated Statements of Income for the Three Months Ended March 31, 2023 and 2022 (Unaudited)</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COMPREHENSIVEINCOME_986400">
              <w:r>
                <w:rPr>
                  <w:rStyle w:val="InternetLink"/>
                  <w:rFonts w:ascii="Times New Roman;Times;serif" w:hAnsi="Times New Roman;Times;serif"/>
                  <w:b w:val="false"/>
                  <w:i w:val="false"/>
                  <w:caps w:val="false"/>
                  <w:smallCaps w:val="false"/>
                  <w:sz w:val="20"/>
                </w:rPr>
                <w:t>Consolidated Statements of Comprehensive Income (Loss) for the Three Months Ended March 31, 2023 and 2022 (Unaudited)</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EQUITY_177924">
              <w:r>
                <w:rPr>
                  <w:rStyle w:val="InternetLink"/>
                  <w:rFonts w:ascii="Times New Roman;Times;serif" w:hAnsi="Times New Roman;Times;serif"/>
                  <w:b w:val="false"/>
                  <w:i w:val="false"/>
                  <w:caps w:val="false"/>
                  <w:smallCaps w:val="false"/>
                  <w:sz w:val="20"/>
                </w:rPr>
                <w:t>Consolidated Statements of Changes in Stockholders’ Equity for the Three Months Ended March 31, 2023 and 2022 (Unaudited)</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 </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CashFlows">
              <w:r>
                <w:rPr>
                  <w:rStyle w:val="InternetLink"/>
                  <w:rFonts w:ascii="Times New Roman;Times;serif" w:hAnsi="Times New Roman;Times;serif"/>
                  <w:b w:val="false"/>
                  <w:i w:val="false"/>
                  <w:caps w:val="false"/>
                  <w:smallCaps w:val="false"/>
                  <w:sz w:val="20"/>
                </w:rPr>
                <w:t>Consolidated Statements of Cash Flows for the Three Months Ended March 31, 2023 and 2022 (Unaudited)</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7 - 8</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NOTE1BASISOFPRESENTATION_751825">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9 - 44</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2ManagementsDiscussion_793392">
              <w:r>
                <w:rPr>
                  <w:rStyle w:val="InternetLink"/>
                  <w:rFonts w:ascii="Times New Roman;Times;serif" w:hAnsi="Times New Roman;Times;serif"/>
                  <w:b w:val="false"/>
                  <w:i w:val="false"/>
                  <w:caps w:val="false"/>
                  <w:smallCaps w:val="false"/>
                  <w:sz w:val="20"/>
                </w:rPr>
                <w:t>Item 2.</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2ManagementsDiscussion_79339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46 - 61</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4ControlsandProcedures_376533">
              <w:r>
                <w:rPr>
                  <w:rStyle w:val="InternetLink"/>
                  <w:rFonts w:ascii="Times New Roman;Times;serif" w:hAnsi="Times New Roman;Times;serif"/>
                  <w:b w:val="false"/>
                  <w:i w:val="false"/>
                  <w:caps w:val="false"/>
                  <w:smallCaps w:val="false"/>
                  <w:sz w:val="20"/>
                </w:rPr>
                <w:t>Item 4.</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4ControlsandProcedures_376533">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PARTII_Otherinformation">
              <w:r>
                <w:rPr>
                  <w:rStyle w:val="InternetLink"/>
                  <w:rFonts w:ascii="Times New Roman;Times;serif" w:hAnsi="Times New Roman;Times;serif"/>
                  <w:b/>
                  <w:i w:val="false"/>
                  <w:caps w:val="false"/>
                  <w:smallCaps w:val="false"/>
                  <w:sz w:val="20"/>
                </w:rPr>
                <w:t>PART II</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PARTII_Otherinformation">
              <w:r>
                <w:rPr>
                  <w:rStyle w:val="InternetLink"/>
                  <w:rFonts w:ascii="Times New Roman;Times;serif" w:hAnsi="Times New Roman;Times;serif"/>
                  <w:b/>
                  <w:i w:val="false"/>
                  <w:caps w:val="false"/>
                  <w:smallCaps w:val="false"/>
                  <w:sz w:val="20"/>
                </w:rPr>
                <w:t>OTHER INFORMATION</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1LegalProceedings_188172">
              <w:r>
                <w:rPr>
                  <w:rStyle w:val="InternetLink"/>
                  <w:rFonts w:ascii="Times New Roman;Times;serif" w:hAnsi="Times New Roman;Times;serif"/>
                  <w:b w:val="false"/>
                  <w:i w:val="false"/>
                  <w:caps w:val="false"/>
                  <w:smallCaps w:val="false"/>
                  <w:sz w:val="20"/>
                </w:rPr>
                <w:t>Item 1.</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1LegalProceedings_188172">
              <w:r>
                <w:rPr>
                  <w:rStyle w:val="InternetLink"/>
                  <w:rFonts w:ascii="Times New Roman;Times;serif" w:hAnsi="Times New Roman;Times;serif"/>
                  <w:b w:val="false"/>
                  <w:i w:val="false"/>
                  <w:caps w:val="false"/>
                  <w:smallCaps w:val="false"/>
                  <w:sz w:val="20"/>
                </w:rPr>
                <w:t>Legal Proceedings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1ARiskFactors_874277">
              <w:r>
                <w:rPr>
                  <w:rStyle w:val="InternetLink"/>
                  <w:rFonts w:ascii="Times New Roman;Times;serif" w:hAnsi="Times New Roman;Times;serif"/>
                  <w:b w:val="false"/>
                  <w:i w:val="false"/>
                  <w:caps w:val="false"/>
                  <w:smallCaps w:val="false"/>
                  <w:sz w:val="20"/>
                </w:rPr>
                <w:t>Item 1A.</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1ARiskFactors_874277">
              <w:r>
                <w:rPr>
                  <w:rStyle w:val="InternetLink"/>
                  <w:rFonts w:ascii="Times New Roman;Times;serif" w:hAnsi="Times New Roman;Times;serif"/>
                  <w:b w:val="false"/>
                  <w:i w:val="false"/>
                  <w:caps w:val="false"/>
                  <w:smallCaps w:val="false"/>
                  <w:sz w:val="20"/>
                </w:rPr>
                <w:t>Risk Factors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3DefaultsUponSeniorSecurities_628892">
              <w:r>
                <w:rPr>
                  <w:rStyle w:val="InternetLink"/>
                  <w:rFonts w:ascii="Times New Roman;Times;serif" w:hAnsi="Times New Roman;Times;serif"/>
                  <w:b w:val="false"/>
                  <w:i w:val="false"/>
                  <w:caps w:val="false"/>
                  <w:smallCaps w:val="false"/>
                  <w:sz w:val="20"/>
                </w:rPr>
                <w:t>Item 3.</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3DefaultsUponSeniorSecurities_628892">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4MineSafetyDisclosures_965935">
              <w:r>
                <w:rPr>
                  <w:rStyle w:val="InternetLink"/>
                  <w:rFonts w:ascii="Times New Roman;Times;serif" w:hAnsi="Times New Roman;Times;serif"/>
                  <w:b w:val="false"/>
                  <w:i w:val="false"/>
                  <w:caps w:val="false"/>
                  <w:smallCaps w:val="false"/>
                  <w:sz w:val="20"/>
                </w:rPr>
                <w:t>Item 4.</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4MineSafetyDisclosures_965935">
              <w:r>
                <w:rPr>
                  <w:rStyle w:val="InternetLink"/>
                  <w:rFonts w:ascii="Times New Roman;Times;serif" w:hAnsi="Times New Roman;Times;serif"/>
                  <w:b w:val="false"/>
                  <w:i w:val="false"/>
                  <w:caps w:val="false"/>
                  <w:smallCaps w:val="false"/>
                  <w:sz w:val="20"/>
                </w:rPr>
                <w:t>Mine Safety Disclosures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Item5OtherInformation_988770">
              <w:r>
                <w:rPr>
                  <w:rStyle w:val="InternetLink"/>
                  <w:rFonts w:ascii="Times New Roman;Times;serif" w:hAnsi="Times New Roman;Times;serif"/>
                  <w:b w:val="false"/>
                  <w:i w:val="false"/>
                  <w:caps w:val="false"/>
                  <w:smallCaps w:val="false"/>
                  <w:sz w:val="20"/>
                </w:rPr>
                <w:t>Item 5.</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Item5OtherInformation_988770">
              <w:r>
                <w:rPr>
                  <w:rStyle w:val="InternetLink"/>
                  <w:rFonts w:ascii="Times New Roman;Times;serif" w:hAnsi="Times New Roman;Times;serif"/>
                  <w:b w:val="false"/>
                  <w:i w:val="false"/>
                  <w:caps w:val="false"/>
                  <w:smallCaps w:val="false"/>
                  <w:sz w:val="20"/>
                </w:rPr>
                <w:t>Other Information</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Exhibits">
              <w:r>
                <w:rPr>
                  <w:rStyle w:val="InternetLink"/>
                  <w:rFonts w:ascii="Times New Roman;Times;serif" w:hAnsi="Times New Roman;Times;serif"/>
                  <w:b w:val="false"/>
                  <w:i w:val="false"/>
                  <w:caps w:val="false"/>
                  <w:smallCaps w:val="false"/>
                  <w:sz w:val="20"/>
                </w:rPr>
                <w:t>Item 6.</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hyperlink w:anchor="Exhibits">
              <w:r>
                <w:rPr>
                  <w:rStyle w:val="InternetLink"/>
                  <w:rFonts w:ascii="Times New Roman;Times;serif" w:hAnsi="Times New Roman;Times;serif"/>
                  <w:b w:val="false"/>
                  <w:i w:val="false"/>
                  <w:caps w:val="false"/>
                  <w:smallCaps w:val="false"/>
                  <w:sz w:val="20"/>
                </w:rPr>
                <w:t>Exhibits</w:t>
              </w:r>
            </w:hyperlink>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pBdr/>
              <w:spacing w:before="0" w:after="0"/>
              <w:ind w:left="0" w:right="0" w:hanging="0"/>
              <w:rPr/>
            </w:pPr>
            <w:hyperlink w:anchor="SIGNATURES_161104">
              <w:r>
                <w:rPr>
                  <w:rStyle w:val="InternetLink"/>
                  <w:rFonts w:ascii="Times New Roman;Times;serif" w:hAnsi="Times New Roman;Times;serif"/>
                  <w:b/>
                  <w:i w:val="false"/>
                  <w:caps w:val="false"/>
                  <w:smallCaps w:val="false"/>
                  <w:sz w:val="20"/>
                </w:rPr>
                <w:t>SIGNATURES</w:t>
              </w:r>
            </w:hyperlink>
          </w:p>
        </w:tc>
        <w:tc>
          <w:tcPr>
            <w:tcW w:w="326" w:type="dxa"/>
            <w:tcBorders/>
            <w:shd w:fill="auto" w:val="clear"/>
            <w:vAlign w:val="center"/>
          </w:tcPr>
          <w:p>
            <w:pPr>
              <w:pStyle w:val="TableContents"/>
              <w:spacing w:before="0" w:after="0"/>
              <w:ind w:left="0" w:right="0" w:hanging="0"/>
              <w:rPr/>
            </w:pPr>
            <w:r>
              <w:rPr/>
              <w:t>​</w:t>
            </w:r>
          </w:p>
        </w:tc>
        <w:tc>
          <w:tcPr>
            <w:tcW w:w="68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pStyle w:val="TextBody"/>
        <w:spacing w:before="0" w:after="20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19" w:name="Item1FinancialStatements_865169"/>
      <w:bookmarkStart w:id="20" w:name="_b8bfbc42_58b7_4eeb_b249_b643134d3652"/>
      <w:bookmarkEnd w:id="19"/>
      <w:bookmarkEnd w:id="20"/>
      <w:r>
        <w:rPr>
          <w:rFonts w:ascii="Times New Roman;Times;serif" w:hAnsi="Times New Roman;Times;serif"/>
          <w:b/>
          <w:sz w:val="20"/>
        </w:rPr>
        <w:t>Item 1.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FS BANCORP, INC. AND SUBSIDIARY</w:t>
      </w:r>
    </w:p>
    <w:p>
      <w:pPr>
        <w:pStyle w:val="TextBody"/>
        <w:spacing w:before="0" w:after="0"/>
        <w:ind w:left="0" w:right="0" w:hanging="0"/>
        <w:jc w:val="center"/>
        <w:rPr>
          <w:rFonts w:ascii="Times New Roman;Times;serif" w:hAnsi="Times New Roman;Times;serif"/>
          <w:b/>
          <w:sz w:val="20"/>
        </w:rPr>
      </w:pPr>
      <w:bookmarkStart w:id="21" w:name="BALANCESHEETS_557197"/>
      <w:bookmarkEnd w:id="21"/>
      <w:r>
        <w:rPr>
          <w:rFonts w:ascii="Times New Roman;Times;serif" w:hAnsi="Times New Roman;Times;serif"/>
          <w:b/>
          <w:sz w:val="20"/>
        </w:rPr>
        <w:t>CONSOLIDATED BALANCE SHEETS</w:t>
      </w:r>
    </w:p>
    <w:p>
      <w:pPr>
        <w:pStyle w:val="TextBody"/>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(Dollars in thousands, except share amounts) (Unaudited)</w:t>
      </w:r>
    </w:p>
    <w:p>
      <w:pPr>
        <w:pStyle w:val="Normal"/>
        <w:spacing w:before="0" w:after="0"/>
        <w:rPr>
          <w:sz w:val="4"/>
          <w:szCs w:val="4"/>
        </w:rPr>
      </w:pPr>
      <w:r>
        <w:rPr>
          <w:sz w:val="4"/>
          <w:szCs w:val="4"/>
        </w:rPr>
      </w:r>
      <w:bookmarkStart w:id="22" w:name="Tc_h6rNDpSqVkGiP2seXN6xAQ_44_5"/>
      <w:bookmarkStart w:id="23" w:name="Tc_Z19Ga_t5SEexPu2nCuueqg_44_2"/>
      <w:bookmarkStart w:id="24" w:name="Tc_GjnduZVxwEyZpSsNN0f6oQ_44_0"/>
      <w:bookmarkStart w:id="25" w:name="Tc_7pvgVzrHwkuWKaF97uX7NA_43_0"/>
      <w:bookmarkStart w:id="26" w:name="Tc_EyD7o4Qv_0SXuLRpSOBK-w_42_0"/>
      <w:bookmarkStart w:id="27" w:name="Tc_JuDCTCw_3Um7IFBZhTiipw_41_0"/>
      <w:bookmarkStart w:id="28" w:name="Tc_mhnY6Ns9qkGTnpwThphMxA_40_0"/>
      <w:bookmarkStart w:id="29" w:name="Tc_y8r39BMJuEC1PWquWslYgg_39_0"/>
      <w:bookmarkStart w:id="30" w:name="Tc_YbLJr7nP_Uy7EaBTHLBQ4A_38_0"/>
      <w:bookmarkStart w:id="31" w:name="Tc_3aV3s-K_qEGcUfcr3_yYng_37_0"/>
      <w:bookmarkStart w:id="32" w:name="Tc_kkouWoFpPUWrnlPy-L-WiQ_36_0"/>
      <w:bookmarkStart w:id="33" w:name="Tc_QZmmV8jyhECMzOi7L9X1vw_35_0"/>
      <w:bookmarkStart w:id="34" w:name="Tc_Mv2fBaDl7k64GjXYTg8f8A_34_0"/>
      <w:bookmarkStart w:id="35" w:name="Tc_5BCL5aOGiUGPc2etpYa3lw_33_0"/>
      <w:bookmarkStart w:id="36" w:name="Tc_YvNIjc4j2kOG7Tct_rai5Q_32_0"/>
      <w:bookmarkStart w:id="37" w:name="Tc_0U7S_J47skW4ihk0M8TUwg_31_0"/>
      <w:bookmarkStart w:id="38" w:name="Tc_mGOVLwRFeUSiBW2ehnye9Q_30_0"/>
      <w:bookmarkStart w:id="39" w:name="Tc_w4j8qoP_7kuexEokKrZ3HQ_29_0"/>
      <w:bookmarkStart w:id="40" w:name="Tc_Dlr7nsmuqE28-AkqFzP5HA_28_0"/>
      <w:bookmarkStart w:id="41" w:name="Tc_uJv0Ew8XYky-iDY1YQbo_w_27_0"/>
      <w:bookmarkStart w:id="42" w:name="Tc_dn-4bOqD9EeZCXjft4c5HQ_26_0"/>
      <w:bookmarkStart w:id="43" w:name="Tc_YBkZ7hPs70mGjXKK3ibY_w_25_5"/>
      <w:bookmarkStart w:id="44" w:name="Tc_ORI3fOhTnU658ek8IpSjPw_25_2"/>
      <w:bookmarkStart w:id="45" w:name="Tc_N31b6trJekqgUWFPmxPOlg_25_0"/>
      <w:bookmarkStart w:id="46" w:name="Tc_oDwniu58UEq8gaQF2zOEiA_24_0"/>
      <w:bookmarkStart w:id="47" w:name="Tc_2KQkIVOch0CMuFKalfUQwA_23_0"/>
      <w:bookmarkStart w:id="48" w:name="Tc_lDKKdNC9VE-eKfufwcjMNw_22_5"/>
      <w:bookmarkStart w:id="49" w:name="Tc_C7x0Dip8BEWzssOyKBRcZA_22_2"/>
      <w:bookmarkStart w:id="50" w:name="Tc_7CckPVNGOkaNYTaTh1pVHg_22_0"/>
      <w:bookmarkStart w:id="51" w:name="Tc_0TuM43TzakCthrD_DUUR3Q_21_0"/>
      <w:bookmarkStart w:id="52" w:name="Tc_fwFIGurIOEmlSIq-7W7JhA_20_0"/>
      <w:bookmarkStart w:id="53" w:name="Tc_p0BoLDhWJEGnx87sd1XyEw_19_0"/>
      <w:bookmarkStart w:id="54" w:name="Tc_eIbM2Gc6wEmuL8Q67BC5Eg_18_0"/>
      <w:bookmarkStart w:id="55" w:name="Tc_XBzEa8jQmUSdgpL4bm4SFQ_17_0"/>
      <w:bookmarkStart w:id="56" w:name="Tc_A38IULMjt0ueUyAET3B4sA_16_0"/>
      <w:bookmarkStart w:id="57" w:name="Tc_qaJ7dI3TtU-doSNf28hR6w_15_0"/>
      <w:bookmarkStart w:id="58" w:name="Tc_KOsocWjUjU2iFTDfwfwFag_14_0"/>
      <w:bookmarkStart w:id="59" w:name="Tc__XDLxwNDNkq5iZTB_--bWg_13_0"/>
      <w:bookmarkStart w:id="60" w:name="Tc_Yf0LYDyZcEaheLXVRockHw_12_0"/>
      <w:bookmarkStart w:id="61" w:name="Tc_ybx_DnxvYUqnUHkGkzF66A_11_0"/>
      <w:bookmarkStart w:id="62" w:name="Tc_4ySIL4WyRUi98KAYuL7dCA_10_0"/>
      <w:bookmarkStart w:id="63" w:name="Tc_KRC-Yql-rEOTpSHI6Joeig_9_0"/>
      <w:bookmarkStart w:id="64" w:name="Tc_-s9bBH5C8EGXIPh5CixGnA_8_0"/>
      <w:bookmarkStart w:id="65" w:name="Tc_UdqzqGla6kmirYh-OGKnFA_7_0"/>
      <w:bookmarkStart w:id="66" w:name="Tc_8Oycri_B2US8Sk0Vcxx33Q_6_0"/>
      <w:bookmarkStart w:id="67" w:name="Tc_7zgBwAOk30ey2jBFggAq-w_5_0"/>
      <w:bookmarkStart w:id="68" w:name="Tc__VHRXyimUUSocE8FtGj1Kw_4_0"/>
      <w:bookmarkStart w:id="69" w:name="Tc_N1OPnkxGfECHkkmcqJ-_XQ_3_5"/>
      <w:bookmarkStart w:id="70" w:name="Tc_dv_n4gWp-0WqV59qWJuwRQ_3_2"/>
      <w:bookmarkStart w:id="71" w:name="Tc_l6JiQL96FUaOD4iUvGL3UA_3_0"/>
      <w:bookmarkStart w:id="72" w:name="Tc_OPcuTCxSM0OniHTAulA_Hw_2_5"/>
      <w:bookmarkStart w:id="73" w:name="Tc_YeJhTM3-q0CV8s1FxQ_PhQ_2_2"/>
      <w:bookmarkStart w:id="74" w:name="Tc_PMK3dnUFt0iPHJ0AU3lDYw_2_0"/>
      <w:bookmarkStart w:id="75" w:name="Tc_1zC9Gt6YY0eSc1_TuNWE1g_1_5"/>
      <w:bookmarkStart w:id="76" w:name="Tc_zTHHvzo1P0GwfsjiWVanJA_1_2"/>
      <w:bookmarkStart w:id="77" w:name="_ef5889f7_dad9_4be7_b8e8_3b282baa3405"/>
      <w:bookmarkStart w:id="78" w:name="Tc_h6rNDpSqVkGiP2seXN6xAQ_44_5"/>
      <w:bookmarkStart w:id="79" w:name="Tc_Z19Ga_t5SEexPu2nCuueqg_44_2"/>
      <w:bookmarkStart w:id="80" w:name="Tc_GjnduZVxwEyZpSsNN0f6oQ_44_0"/>
      <w:bookmarkStart w:id="81" w:name="Tc_7pvgVzrHwkuWKaF97uX7NA_43_0"/>
      <w:bookmarkStart w:id="82" w:name="Tc_EyD7o4Qv_0SXuLRpSOBK-w_42_0"/>
      <w:bookmarkStart w:id="83" w:name="Tc_JuDCTCw_3Um7IFBZhTiipw_41_0"/>
      <w:bookmarkStart w:id="84" w:name="Tc_mhnY6Ns9qkGTnpwThphMxA_40_0"/>
      <w:bookmarkStart w:id="85" w:name="Tc_y8r39BMJuEC1PWquWslYgg_39_0"/>
      <w:bookmarkStart w:id="86" w:name="Tc_YbLJr7nP_Uy7EaBTHLBQ4A_38_0"/>
      <w:bookmarkStart w:id="87" w:name="Tc_3aV3s-K_qEGcUfcr3_yYng_37_0"/>
      <w:bookmarkStart w:id="88" w:name="Tc_kkouWoFpPUWrnlPy-L-WiQ_36_0"/>
      <w:bookmarkStart w:id="89" w:name="Tc_QZmmV8jyhECMzOi7L9X1vw_35_0"/>
      <w:bookmarkStart w:id="90" w:name="Tc_Mv2fBaDl7k64GjXYTg8f8A_34_0"/>
      <w:bookmarkStart w:id="91" w:name="Tc_5BCL5aOGiUGPc2etpYa3lw_33_0"/>
      <w:bookmarkStart w:id="92" w:name="Tc_YvNIjc4j2kOG7Tct_rai5Q_32_0"/>
      <w:bookmarkStart w:id="93" w:name="Tc_0U7S_J47skW4ihk0M8TUwg_31_0"/>
      <w:bookmarkStart w:id="94" w:name="Tc_mGOVLwRFeUSiBW2ehnye9Q_30_0"/>
      <w:bookmarkStart w:id="95" w:name="Tc_w4j8qoP_7kuexEokKrZ3HQ_29_0"/>
      <w:bookmarkStart w:id="96" w:name="Tc_Dlr7nsmuqE28-AkqFzP5HA_28_0"/>
      <w:bookmarkStart w:id="97" w:name="Tc_uJv0Ew8XYky-iDY1YQbo_w_27_0"/>
      <w:bookmarkStart w:id="98" w:name="Tc_dn-4bOqD9EeZCXjft4c5HQ_26_0"/>
      <w:bookmarkStart w:id="99" w:name="Tc_YBkZ7hPs70mGjXKK3ibY_w_25_5"/>
      <w:bookmarkStart w:id="100" w:name="Tc_ORI3fOhTnU658ek8IpSjPw_25_2"/>
      <w:bookmarkStart w:id="101" w:name="Tc_N31b6trJekqgUWFPmxPOlg_25_0"/>
      <w:bookmarkStart w:id="102" w:name="Tc_oDwniu58UEq8gaQF2zOEiA_24_0"/>
      <w:bookmarkStart w:id="103" w:name="Tc_2KQkIVOch0CMuFKalfUQwA_23_0"/>
      <w:bookmarkStart w:id="104" w:name="Tc_lDKKdNC9VE-eKfufwcjMNw_22_5"/>
      <w:bookmarkStart w:id="105" w:name="Tc_C7x0Dip8BEWzssOyKBRcZA_22_2"/>
      <w:bookmarkStart w:id="106" w:name="Tc_7CckPVNGOkaNYTaTh1pVHg_22_0"/>
      <w:bookmarkStart w:id="107" w:name="Tc_0TuM43TzakCthrD_DUUR3Q_21_0"/>
      <w:bookmarkStart w:id="108" w:name="Tc_fwFIGurIOEmlSIq-7W7JhA_20_0"/>
      <w:bookmarkStart w:id="109" w:name="Tc_p0BoLDhWJEGnx87sd1XyEw_19_0"/>
      <w:bookmarkStart w:id="110" w:name="Tc_eIbM2Gc6wEmuL8Q67BC5Eg_18_0"/>
      <w:bookmarkStart w:id="111" w:name="Tc_XBzEa8jQmUSdgpL4bm4SFQ_17_0"/>
      <w:bookmarkStart w:id="112" w:name="Tc_A38IULMjt0ueUyAET3B4sA_16_0"/>
      <w:bookmarkStart w:id="113" w:name="Tc_qaJ7dI3TtU-doSNf28hR6w_15_0"/>
      <w:bookmarkStart w:id="114" w:name="Tc_KOsocWjUjU2iFTDfwfwFag_14_0"/>
      <w:bookmarkStart w:id="115" w:name="Tc__XDLxwNDNkq5iZTB_--bWg_13_0"/>
      <w:bookmarkStart w:id="116" w:name="Tc_Yf0LYDyZcEaheLXVRockHw_12_0"/>
      <w:bookmarkStart w:id="117" w:name="Tc_ybx_DnxvYUqnUHkGkzF66A_11_0"/>
      <w:bookmarkStart w:id="118" w:name="Tc_4ySIL4WyRUi98KAYuL7dCA_10_0"/>
      <w:bookmarkStart w:id="119" w:name="Tc_KRC-Yql-rEOTpSHI6Joeig_9_0"/>
      <w:bookmarkStart w:id="120" w:name="Tc_-s9bBH5C8EGXIPh5CixGnA_8_0"/>
      <w:bookmarkStart w:id="121" w:name="Tc_UdqzqGla6kmirYh-OGKnFA_7_0"/>
      <w:bookmarkStart w:id="122" w:name="Tc_8Oycri_B2US8Sk0Vcxx33Q_6_0"/>
      <w:bookmarkStart w:id="123" w:name="Tc_7zgBwAOk30ey2jBFggAq-w_5_0"/>
      <w:bookmarkStart w:id="124" w:name="Tc__VHRXyimUUSocE8FtGj1Kw_4_0"/>
      <w:bookmarkStart w:id="125" w:name="Tc_N1OPnkxGfECHkkmcqJ-_XQ_3_5"/>
      <w:bookmarkStart w:id="126" w:name="Tc_dv_n4gWp-0WqV59qWJuwRQ_3_2"/>
      <w:bookmarkStart w:id="127" w:name="Tc_l6JiQL96FUaOD4iUvGL3UA_3_0"/>
      <w:bookmarkStart w:id="128" w:name="Tc_OPcuTCxSM0OniHTAulA_Hw_2_5"/>
      <w:bookmarkStart w:id="129" w:name="Tc_YeJhTM3-q0CV8s1FxQ_PhQ_2_2"/>
      <w:bookmarkStart w:id="130" w:name="Tc_PMK3dnUFt0iPHJ0AU3lDYw_2_0"/>
      <w:bookmarkStart w:id="131" w:name="Tc_1zC9Gt6YY0eSc1_TuNWE1g_1_5"/>
      <w:bookmarkStart w:id="132" w:name="Tc_zTHHvzo1P0GwfsjiWVanJA_1_2"/>
      <w:bookmarkStart w:id="133" w:name="_ef5889f7_dad9_4be7_b8e8_3b282baa3405"/>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W w:w="10205" w:type="dxa"/>
        <w:jc w:val="left"/>
        <w:tblInd w:w="0" w:type="dxa"/>
        <w:tblCellMar>
          <w:top w:w="0" w:type="dxa"/>
          <w:left w:w="0" w:type="dxa"/>
          <w:bottom w:w="0" w:type="dxa"/>
          <w:right w:w="0" w:type="dxa"/>
        </w:tblCellMar>
      </w:tblPr>
      <w:tblGrid>
        <w:gridCol w:w="7373"/>
        <w:gridCol w:w="326"/>
        <w:gridCol w:w="196"/>
        <w:gridCol w:w="826"/>
        <w:gridCol w:w="326"/>
        <w:gridCol w:w="201"/>
        <w:gridCol w:w="957"/>
      </w:tblGrid>
      <w:tr>
        <w:trPr/>
        <w:tc>
          <w:tcPr>
            <w:tcW w:w="7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681855" cy="175260"/>
                      <wp:effectExtent l="0" t="0" r="0" b="0"/>
                      <wp:wrapNone/>
                      <wp:docPr id="23" name="Frame23"/>
                      <a:graphic xmlns:a="http://schemas.openxmlformats.org/drawingml/2006/main">
                        <a:graphicData uri="http://schemas.microsoft.com/office/word/2010/wordprocessingShape">
                          <wps:wsp>
                            <wps:cNvSpPr txBox="1"/>
                            <wps:spPr>
                              <a:xfrm>
                                <a:off x="0" y="0"/>
                                <a:ext cx="46818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24510" cy="175260"/>
                      <wp:effectExtent l="0" t="0" r="0" b="0"/>
                      <wp:wrapNone/>
                      <wp:docPr id="26" name="Frame26"/>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7635" cy="175260"/>
                      <wp:effectExtent l="0" t="0" r="0" b="0"/>
                      <wp:wrapNone/>
                      <wp:docPr id="28" name="Frame28"/>
                      <a:graphic xmlns:a="http://schemas.openxmlformats.org/drawingml/2006/main">
                        <a:graphicData uri="http://schemas.microsoft.com/office/word/2010/wordprocessingShape">
                          <wps:wsp>
                            <wps:cNvSpPr txBox="1"/>
                            <wps:spPr>
                              <a:xfrm>
                                <a:off x="0" y="0"/>
                                <a:ext cx="127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07695" cy="175260"/>
                      <wp:effectExtent l="0" t="0" r="0" b="0"/>
                      <wp:wrapNone/>
                      <wp:docPr id="29" name="Frame29"/>
                      <a:graphic xmlns:a="http://schemas.openxmlformats.org/drawingml/2006/main">
                        <a:graphicData uri="http://schemas.microsoft.com/office/word/2010/wordprocessingShape">
                          <wps:wsp>
                            <wps:cNvSpPr txBox="1"/>
                            <wps:spPr>
                              <a:xfrm>
                                <a:off x="0" y="0"/>
                                <a:ext cx="6076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37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22" w:type="dxa"/>
            <w:gridSpan w:val="2"/>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March 31, </w:t>
            </w:r>
          </w:p>
        </w:tc>
        <w:tc>
          <w:tcPr>
            <w:tcW w:w="326" w:type="dxa"/>
            <w:tcBorders/>
            <w:shd w:fill="auto" w:val="clear"/>
            <w:vAlign w:val="center"/>
          </w:tcPr>
          <w:p>
            <w:pPr>
              <w:pStyle w:val="TableContents"/>
              <w:spacing w:before="0" w:after="1"/>
              <w:ind w:left="0" w:right="0" w:hanging="0"/>
              <w:jc w:val="center"/>
              <w:rPr/>
            </w:pPr>
            <w:r>
              <w:rPr/>
              <w:t>    </w:t>
            </w:r>
          </w:p>
        </w:tc>
        <w:tc>
          <w:tcPr>
            <w:tcW w:w="1158" w:type="dxa"/>
            <w:gridSpan w:val="2"/>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December 31, </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ASSETS</w:t>
            </w:r>
          </w:p>
        </w:tc>
        <w:tc>
          <w:tcPr>
            <w:tcW w:w="326" w:type="dxa"/>
            <w:tcBorders/>
            <w:shd w:fill="auto" w:val="clear"/>
            <w:vAlign w:val="center"/>
          </w:tcPr>
          <w:p>
            <w:pPr>
              <w:pStyle w:val="TableContents"/>
              <w:spacing w:before="0" w:after="1"/>
              <w:ind w:left="0" w:right="0" w:hanging="0"/>
              <w:jc w:val="center"/>
              <w:rPr/>
            </w:pPr>
            <w:r>
              <w:rPr/>
              <w:t>​</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2023</w:t>
            </w:r>
          </w:p>
        </w:tc>
        <w:tc>
          <w:tcPr>
            <w:tcW w:w="326" w:type="dxa"/>
            <w:tcBorders/>
            <w:shd w:fill="auto" w:val="clear"/>
            <w:vAlign w:val="center"/>
          </w:tcPr>
          <w:p>
            <w:pPr>
              <w:pStyle w:val="TableContents"/>
              <w:spacing w:before="0" w:after="1"/>
              <w:ind w:left="0" w:right="0" w:hanging="0"/>
              <w:jc w:val="center"/>
              <w:rPr/>
            </w:pPr>
            <w:r>
              <w:rPr/>
              <w:t>​</w:t>
            </w:r>
          </w:p>
        </w:tc>
        <w:tc>
          <w:tcPr>
            <w:tcW w:w="115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2022</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Cash and due from banks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21,481</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10,525</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Interest-bearing deposits at other financial institutions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36,700</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30,912</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cash and cash equivalents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58,181</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41,437</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Certificates of deposit at other financial institutions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4,712</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4,712</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Securities available-for-sale, at fair value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232,373</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229,252</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Securities held-to-maturity, net of allowance for credit losses of $31 and $31, respectively (fair value of $7,924 and $7,929, respectively)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8,469</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8,469</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Loans held for sale, at fair value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23,310</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20,093</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Loans receivable, net (includes $14,960 and $14,035, at fair value, respectively)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2,299,649</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2,190,860</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Accrued interest receivable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12,336</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11,144</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Premises and equipment, net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31,781</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25,119</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Operating lease right-of-use (“ROU”)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7,414</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6,226</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Federal Home Loan Bank (“FHLB”) stock, at cost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3,863</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10,611</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real estate owned (“OREO”)</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570</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570</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Deferred tax asset, net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5,860</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6,670</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Bank owned life insurance (“BOLI”), net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37,020</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36,799</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Servicing rights, held at the lower of cost or fair value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17,599</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18,017</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Goodwill</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3,592</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2,312</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Core deposit intangible, net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20,348</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3,369</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15,731</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17,238</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ASSETS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2,782,808</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5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2,632,898</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pPr>
            <w:r>
              <w:rPr/>
              <w:t>  </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Deposits: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pPr>
            <w:r>
              <w:rPr/>
              <w:t>  </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Noninterest-bearing accounts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746,922</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554,174</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Interest-bearing accounts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1,696,351</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1,573,567</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deposits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2,443,273</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2,127,741</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Borrowings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7,528</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186,528</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Subordinated notes: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pPr>
            <w:r>
              <w:rPr/>
              <w:t>​</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Principal amount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Unamortized debt issuance costs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(523)</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(539)</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subordinated notes less unamortized debt issuance costs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49,477</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49,461</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7,651</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6,474</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liabilities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33,045</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30,997</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2,540,974</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2,401,201</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COMMITMENTS AND CONTINGENCIES (NOTE 10)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pPr>
            <w:r>
              <w:rPr/>
              <w:t>  </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pPr>
            <w:r>
              <w:rPr/>
              <w:t>  </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Preferred stock, $.01 par value; 5,000,000 shares authorized; none issued or outstanding</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Common stock, $.01 par value; 45,000,000 shares authorized; 7,743,283 and 7,736,185 shares issued and outstanding at March 31, 2023 and December 31, 2022, respectively</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56,138</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55,187</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208,342</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202,065</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Accumulated other comprehensive loss, net of tax</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(22,723)</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5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(25,632)</w:t>
            </w:r>
          </w:p>
        </w:tc>
      </w:tr>
      <w:tr>
        <w:trPr/>
        <w:tc>
          <w:tcPr>
            <w:tcW w:w="737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241,834</w:t>
            </w:r>
          </w:p>
        </w:tc>
        <w:tc>
          <w:tcPr>
            <w:tcW w:w="326" w:type="dxa"/>
            <w:tcBorders/>
            <w:shd w:fill="CCEEFF" w:val="clear"/>
            <w:vAlign w:val="center"/>
          </w:tcPr>
          <w:p>
            <w:pPr>
              <w:pStyle w:val="TableContents"/>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231,697</w:t>
            </w:r>
          </w:p>
        </w:tc>
      </w:tr>
      <w:tr>
        <w:trPr/>
        <w:tc>
          <w:tcPr>
            <w:tcW w:w="7373"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2,782,808</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57"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8"/>
              </w:rPr>
            </w:pPr>
            <w:r>
              <w:rPr>
                <w:rFonts w:ascii="Times New Roman;Times;serif" w:hAnsi="Times New Roman;Times;serif"/>
                <w:sz w:val="18"/>
              </w:rPr>
              <w:t>2,632,898</w:t>
            </w:r>
          </w:p>
        </w:tc>
      </w:tr>
    </w:tbl>
    <w:p>
      <w:pPr>
        <w:pStyle w:val="TextBody"/>
        <w:spacing w:before="0" w:after="200"/>
        <w:ind w:left="0" w:right="0" w:hanging="0"/>
        <w:rPr>
          <w:caps w:val="false"/>
          <w:smallCaps w:val="false"/>
        </w:rPr>
      </w:pPr>
      <w:r>
        <w:rPr>
          <w:caps w:val="false"/>
          <w:smallCaps w:val="false"/>
        </w:rPr>
        <w:t>​</w:t>
      </w:r>
    </w:p>
    <w:p>
      <w:pPr>
        <w:pStyle w:val="TextBody"/>
        <w:spacing w:before="0" w:after="200"/>
        <w:ind w:left="0" w:right="0" w:hanging="0"/>
        <w:jc w:val="both"/>
        <w:rPr>
          <w:rFonts w:ascii="Times New Roman;Times;serif" w:hAnsi="Times New Roman;Times;serif"/>
          <w:i/>
          <w:sz w:val="20"/>
        </w:rPr>
      </w:pPr>
      <w:r>
        <w:rPr>
          <w:rFonts w:ascii="Times New Roman;Times;serif" w:hAnsi="Times New Roman;Times;serif"/>
          <w:i/>
          <w:sz w:val="20"/>
        </w:rPr>
        <w:t>See accompanying notes to these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34" w:name="_d6534d46_5658_437b_8d4a_392e1af03758"/>
      <w:bookmarkEnd w:id="134"/>
      <w:r>
        <w:rPr>
          <w:rFonts w:ascii="Times New Roman;Times;serif" w:hAnsi="Times New Roman;Times;serif"/>
          <w:b/>
          <w:sz w:val="20"/>
        </w:rPr>
        <w:t>FS BANCORP, INC. AND SUBSIDIARY</w:t>
      </w:r>
    </w:p>
    <w:p>
      <w:pPr>
        <w:pStyle w:val="TextBody"/>
        <w:spacing w:before="0" w:after="0"/>
        <w:ind w:left="0" w:right="0" w:hanging="0"/>
        <w:jc w:val="center"/>
        <w:rPr>
          <w:rFonts w:ascii="Times New Roman;Times;serif" w:hAnsi="Times New Roman;Times;serif"/>
          <w:b/>
          <w:sz w:val="20"/>
        </w:rPr>
      </w:pPr>
      <w:bookmarkStart w:id="135" w:name="STATEMENTSOFINCOME_771962"/>
      <w:bookmarkEnd w:id="135"/>
      <w:r>
        <w:rPr>
          <w:rFonts w:ascii="Times New Roman;Times;serif" w:hAnsi="Times New Roman;Times;serif"/>
          <w:b/>
          <w:sz w:val="20"/>
        </w:rPr>
        <w:t>CONSOLIDATED STATEMENTS OF INCOME</w:t>
      </w:r>
    </w:p>
    <w:p>
      <w:pPr>
        <w:pStyle w:val="TextBody"/>
        <w:spacing w:before="0" w:after="120"/>
        <w:ind w:left="0" w:right="0" w:hanging="0"/>
        <w:jc w:val="center"/>
        <w:rPr>
          <w:rFonts w:ascii="Times New Roman;Times;serif" w:hAnsi="Times New Roman;Times;serif"/>
          <w:i/>
          <w:sz w:val="20"/>
        </w:rPr>
      </w:pPr>
      <w:r>
        <w:rPr>
          <w:rFonts w:ascii="Times New Roman;Times;serif" w:hAnsi="Times New Roman;Times;serif"/>
          <w:i/>
          <w:sz w:val="20"/>
        </w:rPr>
        <w:t>(Dollars in thousands, except per share amounts) (Unaudited)</w:t>
      </w:r>
    </w:p>
    <w:p>
      <w:pPr>
        <w:pStyle w:val="Normal"/>
        <w:spacing w:before="0" w:after="0"/>
        <w:rPr>
          <w:sz w:val="4"/>
          <w:szCs w:val="4"/>
        </w:rPr>
      </w:pPr>
      <w:r>
        <w:rPr>
          <w:sz w:val="4"/>
          <w:szCs w:val="4"/>
        </w:rPr>
      </w:r>
      <w:bookmarkStart w:id="136" w:name="Tc_cz58t9AEOE62PVZHcJucEQ_39_5"/>
      <w:bookmarkStart w:id="137" w:name="Tc_t37GGnpcBkiX0gHF6sIQyA_39_2"/>
      <w:bookmarkStart w:id="138" w:name="Tc_upski9O-s0mbzUMzX6RM_g_39_0"/>
      <w:bookmarkStart w:id="139" w:name="Tc_c9ol7SUNc0-T4H9lSp4-XA_38_5"/>
      <w:bookmarkStart w:id="140" w:name="Tc_1EcU21mec0OzrdmiIxIVaQ_38_2"/>
      <w:bookmarkStart w:id="141" w:name="Tc_lEOdwvNwy0q7PWjFGAbQWg_38_0"/>
      <w:bookmarkStart w:id="142" w:name="Tc_VO4Z9NJL70eMHp7tTN1N1Q_37_5"/>
      <w:bookmarkStart w:id="143" w:name="Tc_hidTJDYDRk6otBtaw9uMbg_37_2"/>
      <w:bookmarkStart w:id="144" w:name="Tc_6YGdDe8q4UOhYBqey20THQ_37_0"/>
      <w:bookmarkStart w:id="145" w:name="Tc_Csjqw9nX-0KTNqfyPGtv3A_36_0"/>
      <w:bookmarkStart w:id="146" w:name="Tc_UYZxZVsKK0KJX2rro-m6DA_35_0"/>
      <w:bookmarkStart w:id="147" w:name="Tc_ERrywWa-jUCH2gBoWYR82w_34_0"/>
      <w:bookmarkStart w:id="148" w:name="Tc_nuxX2QkQXk6JI_EDH_NiAg_33_0"/>
      <w:bookmarkStart w:id="149" w:name="Tc_aOlEmGOEMkaJ6pcjBUF37g_32_0"/>
      <w:bookmarkStart w:id="150" w:name="Tc_wKhQvSNUvUej_lhUy7tqZQ_31_6"/>
      <w:bookmarkStart w:id="151" w:name="Tc_9lSC7nKo_k2JDIYFCDS0tw_31_0"/>
      <w:bookmarkStart w:id="152" w:name="Tc_5ofR08V3iUKSOtZIhSNPmg_30_0"/>
      <w:bookmarkStart w:id="153" w:name="Tc_9fT1qGhH7UOksktM26Wr-w_29_0"/>
      <w:bookmarkStart w:id="154" w:name="Tc_BkSKtLvtFkiS7KdJ0sow-A_28_0"/>
      <w:bookmarkStart w:id="155" w:name="Tc_YDuDlhRDwkOciup93IO7NQ_27_0"/>
      <w:bookmarkStart w:id="156" w:name="Tc_0VhmXjTOlEGGbon52ZMTbg_26_0"/>
      <w:bookmarkStart w:id="157" w:name="Tc_ZQoGT07tvU6f-2vKcPLNJw_25_0"/>
      <w:bookmarkStart w:id="158" w:name="Tc_sJcerxF-GEG4Q64Ol3M_gw_24_0"/>
      <w:bookmarkStart w:id="159" w:name="Tc_H81b2VZsKkyCrYHEIKbebQ_23_0"/>
      <w:bookmarkStart w:id="160" w:name="Tc_AC56PWqWjE24zE4_16RX5A_22_0"/>
      <w:bookmarkStart w:id="161" w:name="Tc_2J5HggY2GEyUqs4vqcuZ4A_21_0"/>
      <w:bookmarkStart w:id="162" w:name="Tc_vlPDaPsdl0SDweryIoe9-w_20_0"/>
      <w:bookmarkStart w:id="163" w:name="Tc_xxTQPU4TQkmENlSD-TvYrA_19_0"/>
      <w:bookmarkStart w:id="164" w:name="Tc_S4950Zw6vUCI19O38Rhw5A_18_0"/>
      <w:bookmarkStart w:id="165" w:name="Tc_YMnFsg6DY06YRQY7_22XgQ_17_0"/>
      <w:bookmarkStart w:id="166" w:name="Tc_36DghhjijEq36Xocmr9MkA_16_0"/>
      <w:bookmarkStart w:id="167" w:name="Tc_jQ9ewAxU00OoXIT_LRy4jA_15_0"/>
      <w:bookmarkStart w:id="168" w:name="Tc_0apMZnmz2UKZgJESEmQq0g_14_0"/>
      <w:bookmarkStart w:id="169" w:name="Tc_ju0EfWDgEE2AH7D3_i9suQ_13_0"/>
      <w:bookmarkStart w:id="170" w:name="Tc_wT9gtWW6M0WYQ1IOSzAHvg_12_0"/>
      <w:bookmarkStart w:id="171" w:name="Tc_8i05TdhLo06_Lv_ZKTZRKw_11_0"/>
      <w:bookmarkStart w:id="172" w:name="Tc_xX8AOpPAg0ScEeIYIkMKUg_10_0"/>
      <w:bookmarkStart w:id="173" w:name="Tc_8c0kizgnb0OzeebaIMmZTQ_9_0"/>
      <w:bookmarkStart w:id="174" w:name="Tc_02wM_qGBtUWdjS6fUYZEUQ_8_0"/>
      <w:bookmarkStart w:id="175" w:name="Tc_tn_XCdkqv0SYuhNw2Vq0ww_7_0"/>
      <w:bookmarkStart w:id="176" w:name="Tc_7xFcL57FeUqA4txcuq5i6A_6_0"/>
      <w:bookmarkStart w:id="177" w:name="Tc_cZNVUE6WDUCCTAlqXCnMHw_5_5"/>
      <w:bookmarkStart w:id="178" w:name="Tc_coJzeubeKkaRDEdt8YZxUA_5_2"/>
      <w:bookmarkStart w:id="179" w:name="Tc_LQqiZzA3g0erLE45u0hd3g_5_0"/>
      <w:bookmarkStart w:id="180" w:name="Tc_Lhh4V0iVGUqR42fNPOmgiQ_4_0"/>
      <w:bookmarkStart w:id="181" w:name="Tc_e6BbWt5A-EKx00YNp62btw_3_5"/>
      <w:bookmarkStart w:id="182" w:name="Tc_Rp7jWJug7k6jFJARwxn7ag_3_2"/>
      <w:bookmarkStart w:id="183" w:name="Tc_pEdCHk6y-0CDg5ZDX4N8Nw_2_2"/>
      <w:bookmarkStart w:id="184" w:name="Tc_0UsntSV99EKsrpbvzTc1yw_1_2"/>
      <w:bookmarkStart w:id="185" w:name="_7168dbdb_be23_4219_bbc5_5933b58750d0"/>
      <w:bookmarkStart w:id="186" w:name="Tc_cz58t9AEOE62PVZHcJucEQ_39_5"/>
      <w:bookmarkStart w:id="187" w:name="Tc_t37GGnpcBkiX0gHF6sIQyA_39_2"/>
      <w:bookmarkStart w:id="188" w:name="Tc_upski9O-s0mbzUMzX6RM_g_39_0"/>
      <w:bookmarkStart w:id="189" w:name="Tc_c9ol7SUNc0-T4H9lSp4-XA_38_5"/>
      <w:bookmarkStart w:id="190" w:name="Tc_1EcU21mec0OzrdmiIxIVaQ_38_2"/>
      <w:bookmarkStart w:id="191" w:name="Tc_lEOdwvNwy0q7PWjFGAbQWg_38_0"/>
      <w:bookmarkStart w:id="192" w:name="Tc_VO4Z9NJL70eMHp7tTN1N1Q_37_5"/>
      <w:bookmarkStart w:id="193" w:name="Tc_hidTJDYDRk6otBtaw9uMbg_37_2"/>
      <w:bookmarkStart w:id="194" w:name="Tc_6YGdDe8q4UOhYBqey20THQ_37_0"/>
      <w:bookmarkStart w:id="195" w:name="Tc_Csjqw9nX-0KTNqfyPGtv3A_36_0"/>
      <w:bookmarkStart w:id="196" w:name="Tc_UYZxZVsKK0KJX2rro-m6DA_35_0"/>
      <w:bookmarkStart w:id="197" w:name="Tc_ERrywWa-jUCH2gBoWYR82w_34_0"/>
      <w:bookmarkStart w:id="198" w:name="Tc_nuxX2QkQXk6JI_EDH_NiAg_33_0"/>
      <w:bookmarkStart w:id="199" w:name="Tc_aOlEmGOEMkaJ6pcjBUF37g_32_0"/>
      <w:bookmarkStart w:id="200" w:name="Tc_wKhQvSNUvUej_lhUy7tqZQ_31_6"/>
      <w:bookmarkStart w:id="201" w:name="Tc_9lSC7nKo_k2JDIYFCDS0tw_31_0"/>
      <w:bookmarkStart w:id="202" w:name="Tc_5ofR08V3iUKSOtZIhSNPmg_30_0"/>
      <w:bookmarkStart w:id="203" w:name="Tc_9fT1qGhH7UOksktM26Wr-w_29_0"/>
      <w:bookmarkStart w:id="204" w:name="Tc_BkSKtLvtFkiS7KdJ0sow-A_28_0"/>
      <w:bookmarkStart w:id="205" w:name="Tc_YDuDlhRDwkOciup93IO7NQ_27_0"/>
      <w:bookmarkStart w:id="206" w:name="Tc_0VhmXjTOlEGGbon52ZMTbg_26_0"/>
      <w:bookmarkStart w:id="207" w:name="Tc_ZQoGT07tvU6f-2vKcPLNJw_25_0"/>
      <w:bookmarkStart w:id="208" w:name="Tc_sJcerxF-GEG4Q64Ol3M_gw_24_0"/>
      <w:bookmarkStart w:id="209" w:name="Tc_H81b2VZsKkyCrYHEIKbebQ_23_0"/>
      <w:bookmarkStart w:id="210" w:name="Tc_AC56PWqWjE24zE4_16RX5A_22_0"/>
      <w:bookmarkStart w:id="211" w:name="Tc_2J5HggY2GEyUqs4vqcuZ4A_21_0"/>
      <w:bookmarkStart w:id="212" w:name="Tc_vlPDaPsdl0SDweryIoe9-w_20_0"/>
      <w:bookmarkStart w:id="213" w:name="Tc_xxTQPU4TQkmENlSD-TvYrA_19_0"/>
      <w:bookmarkStart w:id="214" w:name="Tc_S4950Zw6vUCI19O38Rhw5A_18_0"/>
      <w:bookmarkStart w:id="215" w:name="Tc_YMnFsg6DY06YRQY7_22XgQ_17_0"/>
      <w:bookmarkStart w:id="216" w:name="Tc_36DghhjijEq36Xocmr9MkA_16_0"/>
      <w:bookmarkStart w:id="217" w:name="Tc_jQ9ewAxU00OoXIT_LRy4jA_15_0"/>
      <w:bookmarkStart w:id="218" w:name="Tc_0apMZnmz2UKZgJESEmQq0g_14_0"/>
      <w:bookmarkStart w:id="219" w:name="Tc_ju0EfWDgEE2AH7D3_i9suQ_13_0"/>
      <w:bookmarkStart w:id="220" w:name="Tc_wT9gtWW6M0WYQ1IOSzAHvg_12_0"/>
      <w:bookmarkStart w:id="221" w:name="Tc_8i05TdhLo06_Lv_ZKTZRKw_11_0"/>
      <w:bookmarkStart w:id="222" w:name="Tc_xX8AOpPAg0ScEeIYIkMKUg_10_0"/>
      <w:bookmarkStart w:id="223" w:name="Tc_8c0kizgnb0OzeebaIMmZTQ_9_0"/>
      <w:bookmarkStart w:id="224" w:name="Tc_02wM_qGBtUWdjS6fUYZEUQ_8_0"/>
      <w:bookmarkStart w:id="225" w:name="Tc_tn_XCdkqv0SYuhNw2Vq0ww_7_0"/>
      <w:bookmarkStart w:id="226" w:name="Tc_7xFcL57FeUqA4txcuq5i6A_6_0"/>
      <w:bookmarkStart w:id="227" w:name="Tc_cZNVUE6WDUCCTAlqXCnMHw_5_5"/>
      <w:bookmarkStart w:id="228" w:name="Tc_coJzeubeKkaRDEdt8YZxUA_5_2"/>
      <w:bookmarkStart w:id="229" w:name="Tc_LQqiZzA3g0erLE45u0hd3g_5_0"/>
      <w:bookmarkStart w:id="230" w:name="Tc_Lhh4V0iVGUqR42fNPOmgiQ_4_0"/>
      <w:bookmarkStart w:id="231" w:name="Tc_e6BbWt5A-EKx00YNp62btw_3_5"/>
      <w:bookmarkStart w:id="232" w:name="Tc_Rp7jWJug7k6jFJARwxn7ag_3_2"/>
      <w:bookmarkStart w:id="233" w:name="Tc_pEdCHk6y-0CDg5ZDX4N8Nw_2_2"/>
      <w:bookmarkStart w:id="234" w:name="Tc_0UsntSV99EKsrpbvzTc1yw_1_2"/>
      <w:bookmarkStart w:id="235" w:name="_7168dbdb_be23_4219_bbc5_5933b58750d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tbl>
      <w:tblPr>
        <w:tblW w:w="10205" w:type="dxa"/>
        <w:jc w:val="left"/>
        <w:tblInd w:w="0" w:type="dxa"/>
        <w:tblCellMar>
          <w:top w:w="0" w:type="dxa"/>
          <w:left w:w="0" w:type="dxa"/>
          <w:bottom w:w="0" w:type="dxa"/>
          <w:right w:w="0" w:type="dxa"/>
        </w:tblCellMar>
      </w:tblPr>
      <w:tblGrid>
        <w:gridCol w:w="7914"/>
        <w:gridCol w:w="326"/>
        <w:gridCol w:w="196"/>
        <w:gridCol w:w="601"/>
        <w:gridCol w:w="326"/>
        <w:gridCol w:w="196"/>
        <w:gridCol w:w="646"/>
      </w:tblGrid>
      <w:tr>
        <w:trPr/>
        <w:tc>
          <w:tcPr>
            <w:tcW w:w="79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25390" cy="175260"/>
                      <wp:effectExtent l="0" t="0" r="0" b="0"/>
                      <wp:wrapNone/>
                      <wp:docPr id="30" name="Frame30"/>
                      <a:graphic xmlns:a="http://schemas.openxmlformats.org/drawingml/2006/main">
                        <a:graphicData uri="http://schemas.microsoft.com/office/word/2010/wordprocessingShape">
                          <wps:wsp>
                            <wps:cNvSpPr txBox="1"/>
                            <wps:spPr>
                              <a:xfrm>
                                <a:off x="0" y="0"/>
                                <a:ext cx="50253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81635" cy="175260"/>
                      <wp:effectExtent l="0" t="0" r="0" b="0"/>
                      <wp:wrapNone/>
                      <wp:docPr id="33" name="Frame33"/>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10210" cy="175260"/>
                      <wp:effectExtent l="0" t="0" r="0" b="0"/>
                      <wp:wrapNone/>
                      <wp:docPr id="36" name="Frame36"/>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91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965" w:type="dxa"/>
            <w:gridSpan w:val="5"/>
            <w:tcBorders/>
            <w:shd w:fill="auto" w:val="cle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 xml:space="preserve">Three Months Ended </w:t>
            </w:r>
          </w:p>
        </w:tc>
      </w:tr>
      <w:tr>
        <w:trPr/>
        <w:tc>
          <w:tcPr>
            <w:tcW w:w="791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March 31, </w:t>
            </w:r>
          </w:p>
        </w:tc>
      </w:tr>
      <w:tr>
        <w:trPr/>
        <w:tc>
          <w:tcPr>
            <w:tcW w:w="791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2023</w:t>
            </w:r>
          </w:p>
        </w:tc>
        <w:tc>
          <w:tcPr>
            <w:tcW w:w="326" w:type="dxa"/>
            <w:tcBorders/>
            <w:shd w:fill="auto" w:val="clear"/>
            <w:vAlign w:val="center"/>
          </w:tcPr>
          <w:p>
            <w:pPr>
              <w:pStyle w:val="TableContents"/>
              <w:spacing w:before="0" w:after="1"/>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8"/>
              </w:rPr>
            </w:pPr>
            <w:r>
              <w:rPr>
                <w:rFonts w:ascii="Times New Roman;Times;serif" w:hAnsi="Times New Roman;Times;serif"/>
                <w:sz w:val="18"/>
              </w:rPr>
              <w:t>2022</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INTEREST INCOME</w:t>
            </w:r>
          </w:p>
        </w:tc>
        <w:tc>
          <w:tcPr>
            <w:tcW w:w="326" w:type="dxa"/>
            <w:tcBorders/>
            <w:shd w:fill="CCEEFF" w:val="clear"/>
            <w:vAlign w:val="center"/>
          </w:tcPr>
          <w:p>
            <w:pPr>
              <w:pStyle w:val="TableContents"/>
              <w:spacing w:before="0" w:after="1"/>
              <w:ind w:left="0" w:right="0" w:hanging="0"/>
              <w:rPr/>
            </w:pPr>
            <w:r>
              <w:rPr/>
              <w:t>​</w:t>
            </w:r>
          </w:p>
        </w:tc>
        <w:tc>
          <w:tcPr>
            <w:tcW w:w="797" w:type="dxa"/>
            <w:gridSpan w:val="2"/>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842" w:type="dxa"/>
            <w:gridSpan w:val="2"/>
            <w:tcBorders/>
            <w:shd w:fill="CCEEFF" w:val="clear"/>
            <w:vAlign w:val="center"/>
          </w:tcPr>
          <w:p>
            <w:pPr>
              <w:pStyle w:val="TableContents"/>
              <w:spacing w:before="0" w:after="1"/>
              <w:ind w:left="0" w:right="0" w:hanging="0"/>
              <w:jc w:val="center"/>
              <w:rPr/>
            </w:pPr>
            <w:r>
              <w:rPr/>
              <w:t>​</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Loans receivable, including fees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35,992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23,047</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and dividends on investment securities, cash and cash equivalents, and certificates of deposit at other financial institutions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2,620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1,579</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interest and dividend income</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38,612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24,626</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INTEREST EXPENSE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pPr>
            <w:r>
              <w:rPr/>
              <w:t>​</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Deposits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6,624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1,285</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Borrowings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841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133</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Subordinated notes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485</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486</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interest expense</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7,950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1,904</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INTEREST INCOME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30,662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22,722</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PROVISION FOR CREDIT LOSSES </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2,108</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1,043</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NET INTEREST INCOME AFTER PROVISION FOR CREDIT LOSSES </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28,554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21,679</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NONINTEREST INCOME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pPr>
            <w:r>
              <w:rPr/>
              <w:t>​</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 charges and fee income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2,608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1,013</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on sale of loans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1,476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3,857</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Earnings on cash surrender value of BOLI</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217</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noninterest income</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914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789</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noninterest income</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5,219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5,876</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NONINTEREST EXPENSE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pPr>
            <w:r>
              <w:rPr/>
              <w:t>​</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Salaries and benefits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13,864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11,972</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Operations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2,692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2,479</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Occupancy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1,520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1,223</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Data processing</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1,568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1,360</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 costs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470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523</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Professional and board fees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678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993</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 Deposit Insurance Corporation (“FDIC”) insurance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580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157</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Marketing and advertising</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188</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Acquisition cost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1,501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core deposit intangible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459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173</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Impairment (recovery) of servicing rights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noninterest expense</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23,524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19,067</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INCOME BEFORE PROVISION FOR INCOME TAXES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10,249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8,488</w:t>
            </w:r>
          </w:p>
        </w:tc>
      </w:tr>
      <w:tr>
        <w:trPr/>
        <w:tc>
          <w:tcPr>
            <w:tcW w:w="7914"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PROVISION FOR INCOME TAXES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2,037</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1,618</w:t>
            </w:r>
          </w:p>
        </w:tc>
      </w:tr>
      <w:tr>
        <w:trPr/>
        <w:tc>
          <w:tcPr>
            <w:tcW w:w="7914"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INCOME</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8,212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6,870</w:t>
            </w:r>
          </w:p>
        </w:tc>
      </w:tr>
      <w:tr>
        <w:trPr/>
        <w:tc>
          <w:tcPr>
            <w:tcW w:w="7914"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Basic earnings per share </w:t>
            </w:r>
            <w:r>
              <w:rPr>
                <w:rFonts w:ascii="Times New Roman;Times;serif" w:hAnsi="Times New Roman;Times;serif"/>
                <w:sz w:val="15"/>
              </w:rPr>
              <w:t>(1)</w:t>
            </w: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0.84</w:t>
            </w:r>
          </w:p>
        </w:tc>
      </w:tr>
      <w:tr>
        <w:trPr/>
        <w:tc>
          <w:tcPr>
            <w:tcW w:w="7914"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Diluted earnings per share </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8"/>
              </w:rPr>
            </w:pPr>
            <w:r>
              <w:rPr>
                <w:rFonts w:ascii="Times New Roman;Times;serif" w:hAnsi="Times New Roman;Times;serif"/>
                <w:sz w:val="18"/>
              </w:rPr>
              <w:t>0.83</w:t>
            </w:r>
          </w:p>
        </w:tc>
      </w:tr>
    </w:tbl>
    <w:p>
      <w:pPr>
        <w:pStyle w:val="TextBody"/>
        <w:spacing w:before="0" w:after="60"/>
        <w:ind w:left="0" w:right="0" w:hanging="0"/>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______________________________</w:t>
      </w:r>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Earnings per share for the three months ended March 31, 2022, was revised due to the improper inclusion of certain unvested shares in the denominator of basic and diluted earnings per share. As a result of the inclusion, earnings per share was understated for the three months ended March 31, 2022. Basic earnings per share for that period was updated to $0.84</w:t>
            </w:r>
            <w:r>
              <w:rPr>
                <w:caps w:val="false"/>
                <w:smallCaps w:val="false"/>
              </w:rPr>
              <w:t xml:space="preserve"> </w:t>
            </w:r>
            <w:r>
              <w:rPr>
                <w:rFonts w:ascii="Times New Roman;Times;serif" w:hAnsi="Times New Roman;Times;serif"/>
                <w:b w:val="false"/>
                <w:i w:val="false"/>
                <w:caps w:val="false"/>
                <w:smallCaps w:val="false"/>
                <w:sz w:val="20"/>
              </w:rPr>
              <w:t>from $0.83</w:t>
            </w:r>
            <w:r>
              <w:rPr>
                <w:caps w:val="false"/>
                <w:smallCaps w:val="false"/>
              </w:rPr>
              <w:t xml:space="preserve"> </w:t>
            </w:r>
            <w:r>
              <w:rPr>
                <w:rFonts w:ascii="Times New Roman;Times;serif" w:hAnsi="Times New Roman;Times;serif"/>
                <w:b w:val="false"/>
                <w:i w:val="false"/>
                <w:caps w:val="false"/>
                <w:smallCaps w:val="false"/>
                <w:sz w:val="20"/>
              </w:rPr>
              <w:t>as previously reported. Diluted earnings per share was updated to $0.83</w:t>
            </w:r>
            <w:r>
              <w:rPr>
                <w:caps w:val="false"/>
                <w:smallCaps w:val="false"/>
              </w:rPr>
              <w:t xml:space="preserve"> </w:t>
            </w:r>
            <w:r>
              <w:rPr>
                <w:rFonts w:ascii="Times New Roman;Times;serif" w:hAnsi="Times New Roman;Times;serif"/>
                <w:b w:val="false"/>
                <w:i w:val="false"/>
                <w:caps w:val="false"/>
                <w:smallCaps w:val="false"/>
                <w:sz w:val="20"/>
              </w:rPr>
              <w:t>from $0.81</w:t>
            </w:r>
            <w:r>
              <w:rPr>
                <w:caps w:val="false"/>
                <w:smallCaps w:val="false"/>
              </w:rPr>
              <w:t xml:space="preserve"> </w:t>
            </w:r>
            <w:r>
              <w:rPr>
                <w:rFonts w:ascii="Times New Roman;Times;serif" w:hAnsi="Times New Roman;Times;serif"/>
                <w:b w:val="false"/>
                <w:i w:val="false"/>
                <w:caps w:val="false"/>
                <w:smallCaps w:val="false"/>
                <w:sz w:val="20"/>
              </w:rPr>
              <w:t>as previously reported.</w:t>
            </w:r>
          </w:p>
        </w:tc>
      </w:tr>
    </w:tbl>
    <w:p>
      <w:pPr>
        <w:pStyle w:val="TextBody"/>
        <w:spacing w:before="0" w:after="200"/>
        <w:ind w:left="0" w:right="0" w:hanging="0"/>
        <w:jc w:val="both"/>
        <w:rPr>
          <w:rFonts w:ascii="Times New Roman;Times;serif" w:hAnsi="Times New Roman;Times;serif"/>
          <w:i/>
          <w:sz w:val="20"/>
        </w:rPr>
      </w:pPr>
      <w:r>
        <w:rPr>
          <w:rFonts w:ascii="Times New Roman;Times;serif" w:hAnsi="Times New Roman;Times;serif"/>
          <w:i/>
          <w:sz w:val="20"/>
        </w:rPr>
        <w:t>See accompanying notes to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36" w:name="_6fe2297b_dbf8_46ca_a4aa_ec28b0ff5fcb"/>
      <w:bookmarkEnd w:id="236"/>
      <w:r>
        <w:rPr>
          <w:rFonts w:ascii="Times New Roman;Times;serif" w:hAnsi="Times New Roman;Times;serif"/>
          <w:b/>
          <w:sz w:val="20"/>
        </w:rPr>
        <w:t>FS BANCORP, INC. AND SUBSIDIARY</w:t>
      </w:r>
    </w:p>
    <w:p>
      <w:pPr>
        <w:pStyle w:val="TextBody"/>
        <w:spacing w:before="0" w:after="0"/>
        <w:ind w:left="0" w:right="0" w:hanging="0"/>
        <w:jc w:val="center"/>
        <w:rPr>
          <w:rFonts w:ascii="Times New Roman;Times;serif" w:hAnsi="Times New Roman;Times;serif"/>
          <w:b/>
          <w:sz w:val="20"/>
        </w:rPr>
      </w:pPr>
      <w:bookmarkStart w:id="237" w:name="COMPREHENSIVEINCOME_986400"/>
      <w:bookmarkEnd w:id="237"/>
      <w:r>
        <w:rPr>
          <w:rFonts w:ascii="Times New Roman;Times;serif" w:hAnsi="Times New Roman;Times;serif"/>
          <w:b/>
          <w:sz w:val="20"/>
        </w:rPr>
        <w:t>CONSOLIDATED STATEMENTS OF COMPREHENSIVE INCOME (LOSS)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i/>
          <w:sz w:val="20"/>
        </w:rPr>
        <w:t>(In thousands</w:t>
      </w:r>
      <w:r>
        <w:rPr>
          <w:rFonts w:ascii="Times New Roman;Times;serif" w:hAnsi="Times New Roman;Times;serif"/>
          <w:sz w:val="20"/>
        </w:rPr>
        <w:t xml:space="preserve">) </w:t>
      </w:r>
      <w:r>
        <w:rPr>
          <w:rFonts w:ascii="Times New Roman;Times;serif" w:hAnsi="Times New Roman;Times;serif"/>
          <w:i/>
          <w:sz w:val="20"/>
        </w:rPr>
        <w:t>(Unaudited)</w:t>
      </w:r>
    </w:p>
    <w:p>
      <w:pPr>
        <w:pStyle w:val="Normal"/>
        <w:spacing w:before="0" w:after="0"/>
        <w:rPr>
          <w:sz w:val="4"/>
          <w:szCs w:val="4"/>
        </w:rPr>
      </w:pPr>
      <w:r>
        <w:rPr>
          <w:sz w:val="4"/>
          <w:szCs w:val="4"/>
        </w:rPr>
      </w:r>
      <w:bookmarkStart w:id="238" w:name="Tc_YZ7sOyk_4USjHtftLm3vWw_15_5"/>
      <w:bookmarkStart w:id="239" w:name="Tc_eQW4_pO7YkWEySPdNZq6Gg_15_2"/>
      <w:bookmarkStart w:id="240" w:name="Tc_eGMTdrjO3U6kByKhsYBs_Q_15_0"/>
      <w:bookmarkStart w:id="241" w:name="Tc_hAVcYrRkO0aHLlOjrLa5LQ_14_0"/>
      <w:bookmarkStart w:id="242" w:name="Tc_4g5P9SOUJ0yunGOgO5C1jg_13_0"/>
      <w:bookmarkStart w:id="243" w:name="Tc_ZRyKcq9fhUe4Sm_T7bTvug_12_0"/>
      <w:bookmarkStart w:id="244" w:name="Tc_1C-IH_oOrUm_2c3kEgpr_A_11_0"/>
      <w:bookmarkStart w:id="245" w:name="Tc_bXCeulNX9k-YNO5-MEJB1w_10_0"/>
      <w:bookmarkStart w:id="246" w:name="Tc_rZbAnbvJE0u62zUWK2s5Yw_9_0"/>
      <w:bookmarkStart w:id="247" w:name="Tc_UOHi8DBjNESucoiyPkBJtg_8_0"/>
      <w:bookmarkStart w:id="248" w:name="Tc_I2Z0io52dE-TNEEsNixiXQ_7_0"/>
      <w:bookmarkStart w:id="249" w:name="Tc_HbwiJd5MJEORv_5drQxGvQ_6_0"/>
      <w:bookmarkStart w:id="250" w:name="Tc_NBbtFzCt5kaceKRR44zM7Q_5_0"/>
      <w:bookmarkStart w:id="251" w:name="Tc_TQF9n1xXtEe4ujhmy-Ifkw_4_5"/>
      <w:bookmarkStart w:id="252" w:name="Tc_lNxSbzsYmUqXheoq0aw7QA_4_2"/>
      <w:bookmarkStart w:id="253" w:name="Tc_L7zmUBVtp0Ku5V18pUwjbw_4_0"/>
      <w:bookmarkStart w:id="254" w:name="Tc_gx4TYhURW0agrywpsLD_3g_3_5"/>
      <w:bookmarkStart w:id="255" w:name="Tc_5AzSIdgIZE6gVpir-u4I8g_3_2"/>
      <w:bookmarkStart w:id="256" w:name="Tc_-o1Ax-8a10yFTu7eJ7Fv4g_2_2"/>
      <w:bookmarkStart w:id="257" w:name="Tc_x2hRJX1Sy0m2pd_dc1Gqug_1_2"/>
      <w:bookmarkStart w:id="258" w:name="_9bb778e3_2493_4c17_9bc5_a994c2db4c25"/>
      <w:bookmarkStart w:id="259" w:name="Tc_YZ7sOyk_4USjHtftLm3vWw_15_5"/>
      <w:bookmarkStart w:id="260" w:name="Tc_eQW4_pO7YkWEySPdNZq6Gg_15_2"/>
      <w:bookmarkStart w:id="261" w:name="Tc_eGMTdrjO3U6kByKhsYBs_Q_15_0"/>
      <w:bookmarkStart w:id="262" w:name="Tc_hAVcYrRkO0aHLlOjrLa5LQ_14_0"/>
      <w:bookmarkStart w:id="263" w:name="Tc_4g5P9SOUJ0yunGOgO5C1jg_13_0"/>
      <w:bookmarkStart w:id="264" w:name="Tc_ZRyKcq9fhUe4Sm_T7bTvug_12_0"/>
      <w:bookmarkStart w:id="265" w:name="Tc_1C-IH_oOrUm_2c3kEgpr_A_11_0"/>
      <w:bookmarkStart w:id="266" w:name="Tc_bXCeulNX9k-YNO5-MEJB1w_10_0"/>
      <w:bookmarkStart w:id="267" w:name="Tc_rZbAnbvJE0u62zUWK2s5Yw_9_0"/>
      <w:bookmarkStart w:id="268" w:name="Tc_UOHi8DBjNESucoiyPkBJtg_8_0"/>
      <w:bookmarkStart w:id="269" w:name="Tc_I2Z0io52dE-TNEEsNixiXQ_7_0"/>
      <w:bookmarkStart w:id="270" w:name="Tc_HbwiJd5MJEORv_5drQxGvQ_6_0"/>
      <w:bookmarkStart w:id="271" w:name="Tc_NBbtFzCt5kaceKRR44zM7Q_5_0"/>
      <w:bookmarkStart w:id="272" w:name="Tc_TQF9n1xXtEe4ujhmy-Ifkw_4_5"/>
      <w:bookmarkStart w:id="273" w:name="Tc_lNxSbzsYmUqXheoq0aw7QA_4_2"/>
      <w:bookmarkStart w:id="274" w:name="Tc_L7zmUBVtp0Ku5V18pUwjbw_4_0"/>
      <w:bookmarkStart w:id="275" w:name="Tc_gx4TYhURW0agrywpsLD_3g_3_5"/>
      <w:bookmarkStart w:id="276" w:name="Tc_5AzSIdgIZE6gVpir-u4I8g_3_2"/>
      <w:bookmarkStart w:id="277" w:name="Tc_-o1Ax-8a10yFTu7eJ7Fv4g_2_2"/>
      <w:bookmarkStart w:id="278" w:name="Tc_x2hRJX1Sy0m2pd_dc1Gqug_1_2"/>
      <w:bookmarkStart w:id="279" w:name="_9bb778e3_2493_4c17_9bc5_a994c2db4c25"/>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tbl>
      <w:tblPr>
        <w:tblW w:w="8870" w:type="dxa"/>
        <w:jc w:val="left"/>
        <w:tblInd w:w="0" w:type="dxa"/>
        <w:tblCellMar>
          <w:top w:w="0" w:type="dxa"/>
          <w:left w:w="0" w:type="dxa"/>
          <w:bottom w:w="0" w:type="dxa"/>
          <w:right w:w="0" w:type="dxa"/>
        </w:tblCellMar>
      </w:tblPr>
      <w:tblGrid>
        <w:gridCol w:w="6481"/>
        <w:gridCol w:w="326"/>
        <w:gridCol w:w="211"/>
        <w:gridCol w:w="691"/>
        <w:gridCol w:w="109"/>
        <w:gridCol w:w="211"/>
        <w:gridCol w:w="841"/>
      </w:tblGrid>
      <w:tr>
        <w:trPr/>
        <w:tc>
          <w:tcPr>
            <w:tcW w:w="6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115435" cy="175260"/>
                      <wp:effectExtent l="0" t="0" r="0" b="0"/>
                      <wp:wrapNone/>
                      <wp:docPr id="37" name="Frame37"/>
                      <a:graphic xmlns:a="http://schemas.openxmlformats.org/drawingml/2006/main">
                        <a:graphicData uri="http://schemas.microsoft.com/office/word/2010/wordprocessingShape">
                          <wps:wsp>
                            <wps:cNvSpPr txBox="1"/>
                            <wps:spPr>
                              <a:xfrm>
                                <a:off x="0" y="0"/>
                                <a:ext cx="4115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8785" cy="175260"/>
                      <wp:effectExtent l="0" t="0" r="0" b="0"/>
                      <wp:wrapNone/>
                      <wp:docPr id="40" name="Frame4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34035" cy="175260"/>
                      <wp:effectExtent l="0" t="0" r="0" b="0"/>
                      <wp:wrapNone/>
                      <wp:docPr id="43" name="Frame43"/>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4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063" w:type="dxa"/>
            <w:gridSpan w:val="5"/>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r>
      <w:tr>
        <w:trPr/>
        <w:tc>
          <w:tcPr>
            <w:tcW w:w="64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06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64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109" w:type="dxa"/>
            <w:tcBorders/>
            <w:shd w:fill="auto" w:val="clear"/>
            <w:vAlign w:val="center"/>
          </w:tcPr>
          <w:p>
            <w:pPr>
              <w:pStyle w:val="TableContents"/>
              <w:spacing w:before="0" w:after="1"/>
              <w:ind w:left="0" w:right="0" w:hanging="0"/>
              <w:jc w:val="center"/>
              <w:rPr/>
            </w:pPr>
            <w:r>
              <w:rPr/>
              <w:t>​</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8,212</w:t>
            </w:r>
          </w:p>
        </w:tc>
        <w:tc>
          <w:tcPr>
            <w:tcW w:w="109"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6,870</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  </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Securities available-for-sale:</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  </w:t>
            </w:r>
          </w:p>
        </w:tc>
        <w:tc>
          <w:tcPr>
            <w:tcW w:w="109"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pPr>
            <w:r>
              <w:rPr/>
              <w:t>  </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 (loss) during period</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6,136</w:t>
            </w:r>
          </w:p>
        </w:tc>
        <w:tc>
          <w:tcPr>
            <w:tcW w:w="109"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(20,973)</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(provision) benefit related to unrealized holding gain (loss)</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(1,320)</w:t>
            </w:r>
          </w:p>
        </w:tc>
        <w:tc>
          <w:tcPr>
            <w:tcW w:w="109"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4,510</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Derivative financial instruments:</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derivative (loss) gain during period</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(1,517)</w:t>
            </w:r>
          </w:p>
        </w:tc>
        <w:tc>
          <w:tcPr>
            <w:tcW w:w="109"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2,827</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benefit (provision) related to unrealized derivative (loss) gain</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Reclassification adjustment for realized (gain) loss, net included in net income</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c>
          <w:tcPr>
            <w:tcW w:w="109"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provision (benefit) related to reclassification, net</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shd w:fill="auto" w:val="clear"/>
            <w:vAlign w:val="center"/>
          </w:tcPr>
          <w:p>
            <w:pPr>
              <w:pStyle w:val="TableContents"/>
              <w:spacing w:before="0" w:after="1"/>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 net of tax</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2,909</w:t>
            </w:r>
          </w:p>
        </w:tc>
        <w:tc>
          <w:tcPr>
            <w:tcW w:w="109" w:type="dxa"/>
            <w:tcBorders/>
            <w:shd w:fill="CCEEFF" w:val="clear"/>
            <w:vAlign w:val="center"/>
          </w:tcPr>
          <w:p>
            <w:pPr>
              <w:pStyle w:val="TableContents"/>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(14,166)</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COMPREHENSIVE INCOME (LOSS)</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11,121</w:t>
            </w:r>
          </w:p>
        </w:tc>
        <w:tc>
          <w:tcPr>
            <w:tcW w:w="109" w:type="dxa"/>
            <w:tcBorders/>
            <w:shd w:fill="auto" w:val="clear"/>
            <w:vAlign w:val="center"/>
          </w:tcPr>
          <w:p>
            <w:pPr>
              <w:pStyle w:val="TableContents"/>
              <w:spacing w:before="0" w:after="1"/>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(7,296)</w:t>
            </w:r>
          </w:p>
        </w:tc>
      </w:tr>
    </w:tbl>
    <w:p>
      <w:pPr>
        <w:pStyle w:val="TextBody"/>
        <w:spacing w:before="240" w:after="200"/>
        <w:ind w:left="0" w:right="0" w:hanging="0"/>
        <w:jc w:val="both"/>
        <w:rPr>
          <w:rFonts w:ascii="Times New Roman;Times;serif" w:hAnsi="Times New Roman;Times;serif"/>
          <w:sz w:val="20"/>
        </w:rPr>
      </w:pPr>
      <w:r>
        <w:rPr>
          <w:rFonts w:ascii="Times New Roman;Times;serif" w:hAnsi="Times New Roman;Times;serif"/>
          <w:i/>
          <w:sz w:val="20"/>
        </w:rPr>
        <w:t>See accompanying notes to these consolidated financial statements</w:t>
      </w:r>
      <w:r>
        <w:rPr>
          <w:rFonts w:ascii="Times New Roman;Times;serif" w:hAnsi="Times New Roman;Times;serif"/>
          <w:sz w:val="20"/>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80" w:name="_16d8c3bf_c2a1_4590_b4f8_07c23c8d9967"/>
      <w:bookmarkEnd w:id="280"/>
      <w:r>
        <w:rPr>
          <w:rFonts w:ascii="Times New Roman;Times;serif" w:hAnsi="Times New Roman;Times;serif"/>
          <w:b/>
          <w:sz w:val="20"/>
        </w:rPr>
        <w:t>FS BANCORP, INC. AND SUBSIDIARY</w:t>
      </w:r>
    </w:p>
    <w:p>
      <w:pPr>
        <w:pStyle w:val="TextBody"/>
        <w:spacing w:before="0" w:after="0"/>
        <w:ind w:left="0" w:right="0" w:hanging="0"/>
        <w:jc w:val="center"/>
        <w:rPr>
          <w:rFonts w:ascii="Times New Roman;Times;serif" w:hAnsi="Times New Roman;Times;serif"/>
          <w:b/>
          <w:sz w:val="20"/>
        </w:rPr>
      </w:pPr>
      <w:bookmarkStart w:id="281" w:name="EQUITY_177924"/>
      <w:bookmarkEnd w:id="281"/>
      <w:r>
        <w:rPr>
          <w:rFonts w:ascii="Times New Roman;Times;serif" w:hAnsi="Times New Roman;Times;serif"/>
          <w:b/>
          <w:sz w:val="20"/>
        </w:rPr>
        <w:t>CONSOLIDATED STATEMENTS OF CHANGES IN STOCKHOLDERS’ EQUITY</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(Dollars in thousands, except share amounts) (Unaudited)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Three Months Ended March 31, 2022 and 2023</w:t>
      </w:r>
    </w:p>
    <w:p>
      <w:pPr>
        <w:pStyle w:val="Normal"/>
        <w:spacing w:before="0" w:after="0"/>
        <w:rPr>
          <w:sz w:val="4"/>
          <w:szCs w:val="4"/>
        </w:rPr>
      </w:pPr>
      <w:r>
        <w:rPr>
          <w:sz w:val="4"/>
          <w:szCs w:val="4"/>
        </w:rPr>
      </w:r>
      <w:bookmarkStart w:id="282" w:name="Tc_qmluFbnF10ORcGbrRLgwYw_25_16"/>
      <w:bookmarkStart w:id="283" w:name="Tc_HK12ZIZsHEuUJJ7yJjaMTQ_25_13"/>
      <w:bookmarkStart w:id="284" w:name="Tc_aKCZDdC1SUivkOJA2sFhBw_25_10"/>
      <w:bookmarkStart w:id="285" w:name="Tc_rNumpuPuxEaD1KFu5e9dBA_25_7"/>
      <w:bookmarkStart w:id="286" w:name="Tc_loSTLiRSx06L7k8TgokR0Q_25_4"/>
      <w:bookmarkStart w:id="287" w:name="Tc_dheY3zUt3E2y5622jxCetw_25_0"/>
      <w:bookmarkStart w:id="288" w:name="Tc_e-GcVbqFfUG64nHeFp2Y2A_24_16"/>
      <w:bookmarkStart w:id="289" w:name="Tc_xvAGw3lB4Eaybz_Q_Z6MRQ_24_11"/>
      <w:bookmarkStart w:id="290" w:name="Tc_-D1Ex93Y4UGAZfNz6lyHDA_24_8"/>
      <w:bookmarkStart w:id="291" w:name="Tc_j4yLMh3fCkOF8mqFh-Fk2g_24_5"/>
      <w:bookmarkStart w:id="292" w:name="Tc_GfJfqhHOl0Kd3XpINqzXiA_24_4"/>
      <w:bookmarkStart w:id="293" w:name="Tc_BtN5WpcF-kKmX5Va6m_0Tg_24_2"/>
      <w:bookmarkStart w:id="294" w:name="Tc_qG6dIc-ZbkmmwF-fHW83Tg_24_0"/>
      <w:bookmarkStart w:id="295" w:name="Tc_6eTl3Ioo7E2X0nEjQzipbg_23_16"/>
      <w:bookmarkStart w:id="296" w:name="Tc_qLQCIoroqkusVgMfsZqLEA_23_14"/>
      <w:bookmarkStart w:id="297" w:name="Tc_B3OyEU5nMkmAAH70jF4hHg_23_11"/>
      <w:bookmarkStart w:id="298" w:name="Tc_2tU3GDn8j0uRV4_9VhgZxA_23_5"/>
      <w:bookmarkStart w:id="299" w:name="Tc_JmiG_sFzs0iQxPZkqWrZ9g_23_4"/>
      <w:bookmarkStart w:id="300" w:name="Tc_2-6X6EDLbkaebl7Yysttig_23_0"/>
      <w:bookmarkStart w:id="301" w:name="Tc_J4Aj_Xo-KEG-OTbLImrSMQ_22_16"/>
      <w:bookmarkStart w:id="302" w:name="Tc_1tbQbeC--UqPRhN1N5ChGw_22_14"/>
      <w:bookmarkStart w:id="303" w:name="Tc_4G-mwqeLJE-S6SuMxMBGVA_22_11"/>
      <w:bookmarkStart w:id="304" w:name="Tc_TFvHNLd2J0SyCS8TPc5cZQ_22_5"/>
      <w:bookmarkStart w:id="305" w:name="Tc_TxWkeM-xOUSPfysRVJz1Nw_22_4"/>
      <w:bookmarkStart w:id="306" w:name="Tc_ImQl9-jNhU-gw2CZyxGaWg_22_0"/>
      <w:bookmarkStart w:id="307" w:name="Tc_lURmuWPb4EuvicbttpVYGg_21_16"/>
      <w:bookmarkStart w:id="308" w:name="Tc_z98AcHA2aU69QqevDHARtQ_21_14"/>
      <w:bookmarkStart w:id="309" w:name="Tc_pg4uKbRYAkW3B5wSO2Ziiw_21_11"/>
      <w:bookmarkStart w:id="310" w:name="Tc_mkJhtcX0jUmYkLwGZ473ug_21_8"/>
      <w:bookmarkStart w:id="311" w:name="Tc_EPqNsJiMmUy0u8RczIZBMg_21_5"/>
      <w:bookmarkStart w:id="312" w:name="Tc_bro6pzA7_Eq3vlvzsd5GGw_21_4"/>
      <w:bookmarkStart w:id="313" w:name="Tc_4OMpHpH0xEi0dnA916VcyA_21_0"/>
      <w:bookmarkStart w:id="314" w:name="Tc_TXbIMxGuykytwaKIDaXoHA_20_16"/>
      <w:bookmarkStart w:id="315" w:name="Tc_9rMYlSnPBUesyF3ZWYqiaA_20_14"/>
      <w:bookmarkStart w:id="316" w:name="Tc_V5xMbVzDSEmk5wsJ21Wc7w_20_11"/>
      <w:bookmarkStart w:id="317" w:name="Tc_udsixhrMb0CA5nYDsxKx6Q_20_5"/>
      <w:bookmarkStart w:id="318" w:name="Tc_xxgjmO1Q3UCtqI_YVVvsBw_20_4"/>
      <w:bookmarkStart w:id="319" w:name="Tc_QRabuUW5P0-LZT7LW_YiGQ_20_0"/>
      <w:bookmarkStart w:id="320" w:name="Tc_t9fjIQOVBUqoAG8LLedqwQ_19_16"/>
      <w:bookmarkStart w:id="321" w:name="Tc_tUTQfjsyN0e3rvDDdINMSA_19_14"/>
      <w:bookmarkStart w:id="322" w:name="Tc_Eg5BQ6TZc0yx0uF0aG5bfQ_19_11"/>
      <w:bookmarkStart w:id="323" w:name="Tc_NIbwj84ilki52ZktHk-SkQ_19_5"/>
      <w:bookmarkStart w:id="324" w:name="Tc_Ag6l0lyxTkGFJdQH_q7NHQ_19_4"/>
      <w:bookmarkStart w:id="325" w:name="Tc_RA0nzzokbEe-hiLU340t-A_19_2"/>
      <w:bookmarkStart w:id="326" w:name="Tc_V5WnKF1oK0ii4AyHreASPA_19_0"/>
      <w:bookmarkStart w:id="327" w:name="Tc_xLL7CQI2iECIF7VMt9p7xg_18_16"/>
      <w:bookmarkStart w:id="328" w:name="Tc_g6lkerhlz0yeiXrxFXnkUg_18_14"/>
      <w:bookmarkStart w:id="329" w:name="Tc_zb1pCxNTN0SeVyp5hKW3og_18_8"/>
      <w:bookmarkStart w:id="330" w:name="Tc_5abKibUUlEeu9fzsMNQoXQ_18_5"/>
      <w:bookmarkStart w:id="331" w:name="Tc_o3JATKnzZkKEKxHM0TQK0A_18_4"/>
      <w:bookmarkStart w:id="332" w:name="Tc_Sdche4Q1ek61i7zr3zywBw_18_2"/>
      <w:bookmarkStart w:id="333" w:name="Tc_L4IwbUgQj0eiB0Nf4n-arg_18_0"/>
      <w:bookmarkStart w:id="334" w:name="Tc_OkpqWTkvOkaa95A-vk_mmA_17_16"/>
      <w:bookmarkStart w:id="335" w:name="Tc_skEYsRB1_E-1PywFsL87sw_17_14"/>
      <w:bookmarkStart w:id="336" w:name="Tc_0i_-zVcb-kihF6buabehjA_17_8"/>
      <w:bookmarkStart w:id="337" w:name="Tc_nIGA-1dviE6ljDjOc0XmQQ_17_5"/>
      <w:bookmarkStart w:id="338" w:name="Tc_ajaDq_CtQEW4b7hTdIjfQQ_17_4"/>
      <w:bookmarkStart w:id="339" w:name="Tc_PPaMc7ybAUeo5f5jAnq5DA_17_2"/>
      <w:bookmarkStart w:id="340" w:name="Tc_jdu2b1XCsUKUqFjrNkPGcw_17_0"/>
      <w:bookmarkStart w:id="341" w:name="Tc_QxS1XpbdoEqb0VaGgiKUcg_16_16"/>
      <w:bookmarkStart w:id="342" w:name="Tc_DQWZlE5jnkmy7s2xwYsROQ_16_13"/>
      <w:bookmarkStart w:id="343" w:name="Tc_SfawXzCN30Wn6IHK2KYSTw_16_10"/>
      <w:bookmarkStart w:id="344" w:name="Tc_2fAMBH1D1EuTM6MLOOorIg_16_7"/>
      <w:bookmarkStart w:id="345" w:name="Tc_5cTd2VMjLUC-BVQD-ZnmJA_16_4"/>
      <w:bookmarkStart w:id="346" w:name="Tc_OPBzMv5DHEeZGdqniXPIZA_16_0"/>
      <w:bookmarkStart w:id="347" w:name="Tc_KuBbdSC8CUqlasy2RxeYvg_14_16"/>
      <w:bookmarkStart w:id="348" w:name="Tc_psCgxOtoZkuzvknCrOzy5g_14_13"/>
      <w:bookmarkStart w:id="349" w:name="Tc_tWhV4TjaXkmGFxQljeV6GA_14_10"/>
      <w:bookmarkStart w:id="350" w:name="Tc_VdFfJwuodkmZ1_IzL_xW3A_14_7"/>
      <w:bookmarkStart w:id="351" w:name="Tc_qTzPyLDGgE2KHZhCTEZZaA_14_4"/>
      <w:bookmarkStart w:id="352" w:name="Tc_Dz3QIkJinUqxw1HazNRxfw_14_0"/>
      <w:bookmarkStart w:id="353" w:name="Tc_wuXn8bHWMEmD1aqNF3ip-A_13_16"/>
      <w:bookmarkStart w:id="354" w:name="Tc_a25ygQuWyUCeEJTiX_6QDQ_13_11"/>
      <w:bookmarkStart w:id="355" w:name="Tc_b8FY1y06p0GjGBFFT_pITg_13_8"/>
      <w:bookmarkStart w:id="356" w:name="Tc_woCP_KqvnU6rVW8igFy9WA_13_5"/>
      <w:bookmarkStart w:id="357" w:name="Tc_h5R2X8DgHkWBiYi5r-LljQ_13_4"/>
      <w:bookmarkStart w:id="358" w:name="Tc_HC5lycVYOU6PCWal42NMqw_13_2"/>
      <w:bookmarkStart w:id="359" w:name="Tc_ImrU_wZJc0eEa1F0YfVEQA_13_0"/>
      <w:bookmarkStart w:id="360" w:name="Tc_-jbphTIARE6v8Diw6A6blg_12_16"/>
      <w:bookmarkStart w:id="361" w:name="Tc_EYMWhm68b0OkqevwsMbSfw_12_14"/>
      <w:bookmarkStart w:id="362" w:name="Tc_hnjCp87zwUWOhAA4gtRLRw_12_11"/>
      <w:bookmarkStart w:id="363" w:name="Tc_O2ILM_XR30SKLhKWlkIIXA_12_5"/>
      <w:bookmarkStart w:id="364" w:name="Tc_cvoRUaNYPU-OdFXMe95Qmg_12_4"/>
      <w:bookmarkStart w:id="365" w:name="Tc_yny39fTXhUKfHiz_ABLMdg_12_0"/>
      <w:bookmarkStart w:id="366" w:name="Tc_g0OYfEwPFEC2vCpoEL03hA_11_16"/>
      <w:bookmarkStart w:id="367" w:name="Tc_RgYft7y0s0KSHddWnVCXvg_11_14"/>
      <w:bookmarkStart w:id="368" w:name="Tc_sZ5GtCijcU-lF9j_FetUYQ_11_11"/>
      <w:bookmarkStart w:id="369" w:name="Tc_YALZKzZlyEaHWX-1fd1cUQ_11_4"/>
      <w:bookmarkStart w:id="370" w:name="Tc_tYgpBPpFAEabEVJAwFCm6A_11_0"/>
      <w:bookmarkStart w:id="371" w:name="Tc_L9tTx4Fy006DqS14afxW7g_10_16"/>
      <w:bookmarkStart w:id="372" w:name="Tc__Z9wtYvj90GAOVcAIh3CUg_10_14"/>
      <w:bookmarkStart w:id="373" w:name="Tc__5yki_YQbk2p1MJxTvsihw_10_11"/>
      <w:bookmarkStart w:id="374" w:name="Tc_k8UkQXlwJkyOdkce-DkKpw_10_5"/>
      <w:bookmarkStart w:id="375" w:name="Tc_THsTpwxM7E28Pk3gvv5K4A_10_4"/>
      <w:bookmarkStart w:id="376" w:name="Tc_Zum9ARp-jEaI4a_oaTOjvQ_10_2"/>
      <w:bookmarkStart w:id="377" w:name="Tc_caXDpp1qlESf6H85tt7CDg_10_0"/>
      <w:bookmarkStart w:id="378" w:name="Tc_BNUEVvhOfE-RgAT5jRkd-Q_9_16"/>
      <w:bookmarkStart w:id="379" w:name="Tc_Mdvrv3BVJ06aPiDFRlsCtQ_9_14"/>
      <w:bookmarkStart w:id="380" w:name="Tc_8nGUS7PFcUql-5iViYtqIQ_9_8"/>
      <w:bookmarkStart w:id="381" w:name="Tc_gYw1lyyymUOL5Tq6g5VkFQ_9_5"/>
      <w:bookmarkStart w:id="382" w:name="Tc_5ztB6DrtsEK8dG1e5PyZFw_9_4"/>
      <w:bookmarkStart w:id="383" w:name="Tc_xxuMYIhqSk6INDybL8Oi1A_9_2"/>
      <w:bookmarkStart w:id="384" w:name="Tc_gf7pzkym1kepJCLoTdVwFw_9_0"/>
      <w:bookmarkStart w:id="385" w:name="Tc_a3jw2HHirk-krVG8vHqsgg_8_16"/>
      <w:bookmarkStart w:id="386" w:name="Tc_Uz3Tt3kT0UiqapwslIhU1g_8_14"/>
      <w:bookmarkStart w:id="387" w:name="Tc_dPJuon4WM0askiggk1wBNA_8_8"/>
      <w:bookmarkStart w:id="388" w:name="Tc_MBFWxU8Q8Uyf_ZZhT2oJ-g_8_5"/>
      <w:bookmarkStart w:id="389" w:name="Tc_9-zhdVWcrU6yfROl44N2IQ_8_4"/>
      <w:bookmarkStart w:id="390" w:name="Tc_7G2lVFBddkmviMAJ6DQIgQ_8_2"/>
      <w:bookmarkStart w:id="391" w:name="Tc_hLcClMqLtUOglhc3E8viQQ_8_0"/>
      <w:bookmarkStart w:id="392" w:name="Tc_X9y_21sAaUefXaDI1SmXAA_7_16"/>
      <w:bookmarkStart w:id="393" w:name="Tc_bWsorzbFC0mtDbyPV32TdA_7_14"/>
      <w:bookmarkStart w:id="394" w:name="Tc_ktFaYQibwESEfcIsGtZmFA_7_8"/>
      <w:bookmarkStart w:id="395" w:name="Tc_hIaRoSulhUWTouufN24cyQ_7_5"/>
      <w:bookmarkStart w:id="396" w:name="Tc_38RjQjIZzkiNBeo8miN9wQ_7_4"/>
      <w:bookmarkStart w:id="397" w:name="Tc_NMP5D_WFzES4mnas_h9x_Q_7_2"/>
      <w:bookmarkStart w:id="398" w:name="Tc_fgdfR8aIWkWIvGIQuU8pjQ_7_0"/>
      <w:bookmarkStart w:id="399" w:name="Tc_l4jkQ5RNJU2Yxsj2iyFH2w_6_16"/>
      <w:bookmarkStart w:id="400" w:name="Tc_lkEYEUtDa0ycU6dgUWcmWQ_6_13"/>
      <w:bookmarkStart w:id="401" w:name="Tc_6ifXup8izEGQ45bsiTkMmQ_6_10"/>
      <w:bookmarkStart w:id="402" w:name="Tc_vhJUPbabq0OGRJnRWEksTg_6_7"/>
      <w:bookmarkStart w:id="403" w:name="Tc_M-gYIh2U4Uy93ZzVvSi64A_6_4"/>
      <w:bookmarkStart w:id="404" w:name="Tc_D27VOi6OkkysnFexBIsF9g_6_0"/>
      <w:bookmarkStart w:id="405" w:name="Tc_WaHT_lMBfkGBhDmkiVsHCw_5_16"/>
      <w:bookmarkStart w:id="406" w:name="Tc_gnYwr6PZUUC3H1jtPkZ1EQ_5_13"/>
      <w:bookmarkStart w:id="407" w:name="Tc__q33w1JQvkiLQANC61wCZg_5_10"/>
      <w:bookmarkStart w:id="408" w:name="Tc_v-W8QeiYm0yOkV_BCwy67Q_5_7"/>
      <w:bookmarkStart w:id="409" w:name="Tc_eLm8mOWG5EiZfgPjMX55CA_5_4"/>
      <w:bookmarkStart w:id="410" w:name="Tc_dSmU8BLueUCB8aXk6-0KzA_5_2"/>
      <w:bookmarkStart w:id="411" w:name="Tc_gVPErhlf5EeFeu75KxhMpQ_4_16"/>
      <w:bookmarkStart w:id="412" w:name="Tc_ntQoK2LNUE-Qp58V8h12JQ_4_13"/>
      <w:bookmarkStart w:id="413" w:name="Tc_jvfE3NSXok6aQgpT0KGYxg_4_10"/>
      <w:bookmarkStart w:id="414" w:name="Tc_df9Jxarfv0Swb4IOdVse1g_4_7"/>
      <w:bookmarkStart w:id="415" w:name="Tc_MsGRiMF_wkC1tkdexRy89g_4_2"/>
      <w:bookmarkStart w:id="416" w:name="Tc_Zdxutfe5UUSmyC61xf63Eg_3_16"/>
      <w:bookmarkStart w:id="417" w:name="Tc_b0oIXzDZfU64NEAj9ELiag_3_13"/>
      <w:bookmarkStart w:id="418" w:name="Tc_Dz1U9WpgWkOmRkK_fE0SsQ_3_7"/>
      <w:bookmarkStart w:id="419" w:name="Tc_zNNSDRxe30-D5-vZ8L3KQg_2_13"/>
      <w:bookmarkStart w:id="420" w:name="Tc_q6rahHOHu02VtaoDoHqKfg_1_13"/>
      <w:bookmarkStart w:id="421" w:name="_a44fb1a4_6553_41b3_a1cf_1881d9465dc2"/>
      <w:bookmarkStart w:id="422" w:name="Tc_qmluFbnF10ORcGbrRLgwYw_25_16"/>
      <w:bookmarkStart w:id="423" w:name="Tc_HK12ZIZsHEuUJJ7yJjaMTQ_25_13"/>
      <w:bookmarkStart w:id="424" w:name="Tc_aKCZDdC1SUivkOJA2sFhBw_25_10"/>
      <w:bookmarkStart w:id="425" w:name="Tc_rNumpuPuxEaD1KFu5e9dBA_25_7"/>
      <w:bookmarkStart w:id="426" w:name="Tc_loSTLiRSx06L7k8TgokR0Q_25_4"/>
      <w:bookmarkStart w:id="427" w:name="Tc_dheY3zUt3E2y5622jxCetw_25_0"/>
      <w:bookmarkStart w:id="428" w:name="Tc_e-GcVbqFfUG64nHeFp2Y2A_24_16"/>
      <w:bookmarkStart w:id="429" w:name="Tc_xvAGw3lB4Eaybz_Q_Z6MRQ_24_11"/>
      <w:bookmarkStart w:id="430" w:name="Tc_-D1Ex93Y4UGAZfNz6lyHDA_24_8"/>
      <w:bookmarkStart w:id="431" w:name="Tc_j4yLMh3fCkOF8mqFh-Fk2g_24_5"/>
      <w:bookmarkStart w:id="432" w:name="Tc_GfJfqhHOl0Kd3XpINqzXiA_24_4"/>
      <w:bookmarkStart w:id="433" w:name="Tc_BtN5WpcF-kKmX5Va6m_0Tg_24_2"/>
      <w:bookmarkStart w:id="434" w:name="Tc_qG6dIc-ZbkmmwF-fHW83Tg_24_0"/>
      <w:bookmarkStart w:id="435" w:name="Tc_6eTl3Ioo7E2X0nEjQzipbg_23_16"/>
      <w:bookmarkStart w:id="436" w:name="Tc_qLQCIoroqkusVgMfsZqLEA_23_14"/>
      <w:bookmarkStart w:id="437" w:name="Tc_B3OyEU5nMkmAAH70jF4hHg_23_11"/>
      <w:bookmarkStart w:id="438" w:name="Tc_2tU3GDn8j0uRV4_9VhgZxA_23_5"/>
      <w:bookmarkStart w:id="439" w:name="Tc_JmiG_sFzs0iQxPZkqWrZ9g_23_4"/>
      <w:bookmarkStart w:id="440" w:name="Tc_2-6X6EDLbkaebl7Yysttig_23_0"/>
      <w:bookmarkStart w:id="441" w:name="Tc_J4Aj_Xo-KEG-OTbLImrSMQ_22_16"/>
      <w:bookmarkStart w:id="442" w:name="Tc_1tbQbeC--UqPRhN1N5ChGw_22_14"/>
      <w:bookmarkStart w:id="443" w:name="Tc_4G-mwqeLJE-S6SuMxMBGVA_22_11"/>
      <w:bookmarkStart w:id="444" w:name="Tc_TFvHNLd2J0SyCS8TPc5cZQ_22_5"/>
      <w:bookmarkStart w:id="445" w:name="Tc_TxWkeM-xOUSPfysRVJz1Nw_22_4"/>
      <w:bookmarkStart w:id="446" w:name="Tc_ImQl9-jNhU-gw2CZyxGaWg_22_0"/>
      <w:bookmarkStart w:id="447" w:name="Tc_lURmuWPb4EuvicbttpVYGg_21_16"/>
      <w:bookmarkStart w:id="448" w:name="Tc_z98AcHA2aU69QqevDHARtQ_21_14"/>
      <w:bookmarkStart w:id="449" w:name="Tc_pg4uKbRYAkW3B5wSO2Ziiw_21_11"/>
      <w:bookmarkStart w:id="450" w:name="Tc_mkJhtcX0jUmYkLwGZ473ug_21_8"/>
      <w:bookmarkStart w:id="451" w:name="Tc_EPqNsJiMmUy0u8RczIZBMg_21_5"/>
      <w:bookmarkStart w:id="452" w:name="Tc_bro6pzA7_Eq3vlvzsd5GGw_21_4"/>
      <w:bookmarkStart w:id="453" w:name="Tc_4OMpHpH0xEi0dnA916VcyA_21_0"/>
      <w:bookmarkStart w:id="454" w:name="Tc_TXbIMxGuykytwaKIDaXoHA_20_16"/>
      <w:bookmarkStart w:id="455" w:name="Tc_9rMYlSnPBUesyF3ZWYqiaA_20_14"/>
      <w:bookmarkStart w:id="456" w:name="Tc_V5xMbVzDSEmk5wsJ21Wc7w_20_11"/>
      <w:bookmarkStart w:id="457" w:name="Tc_udsixhrMb0CA5nYDsxKx6Q_20_5"/>
      <w:bookmarkStart w:id="458" w:name="Tc_xxgjmO1Q3UCtqI_YVVvsBw_20_4"/>
      <w:bookmarkStart w:id="459" w:name="Tc_QRabuUW5P0-LZT7LW_YiGQ_20_0"/>
      <w:bookmarkStart w:id="460" w:name="Tc_t9fjIQOVBUqoAG8LLedqwQ_19_16"/>
      <w:bookmarkStart w:id="461" w:name="Tc_tUTQfjsyN0e3rvDDdINMSA_19_14"/>
      <w:bookmarkStart w:id="462" w:name="Tc_Eg5BQ6TZc0yx0uF0aG5bfQ_19_11"/>
      <w:bookmarkStart w:id="463" w:name="Tc_NIbwj84ilki52ZktHk-SkQ_19_5"/>
      <w:bookmarkStart w:id="464" w:name="Tc_Ag6l0lyxTkGFJdQH_q7NHQ_19_4"/>
      <w:bookmarkStart w:id="465" w:name="Tc_RA0nzzokbEe-hiLU340t-A_19_2"/>
      <w:bookmarkStart w:id="466" w:name="Tc_V5WnKF1oK0ii4AyHreASPA_19_0"/>
      <w:bookmarkStart w:id="467" w:name="Tc_xLL7CQI2iECIF7VMt9p7xg_18_16"/>
      <w:bookmarkStart w:id="468" w:name="Tc_g6lkerhlz0yeiXrxFXnkUg_18_14"/>
      <w:bookmarkStart w:id="469" w:name="Tc_zb1pCxNTN0SeVyp5hKW3og_18_8"/>
      <w:bookmarkStart w:id="470" w:name="Tc_5abKibUUlEeu9fzsMNQoXQ_18_5"/>
      <w:bookmarkStart w:id="471" w:name="Tc_o3JATKnzZkKEKxHM0TQK0A_18_4"/>
      <w:bookmarkStart w:id="472" w:name="Tc_Sdche4Q1ek61i7zr3zywBw_18_2"/>
      <w:bookmarkStart w:id="473" w:name="Tc_L4IwbUgQj0eiB0Nf4n-arg_18_0"/>
      <w:bookmarkStart w:id="474" w:name="Tc_OkpqWTkvOkaa95A-vk_mmA_17_16"/>
      <w:bookmarkStart w:id="475" w:name="Tc_skEYsRB1_E-1PywFsL87sw_17_14"/>
      <w:bookmarkStart w:id="476" w:name="Tc_0i_-zVcb-kihF6buabehjA_17_8"/>
      <w:bookmarkStart w:id="477" w:name="Tc_nIGA-1dviE6ljDjOc0XmQQ_17_5"/>
      <w:bookmarkStart w:id="478" w:name="Tc_ajaDq_CtQEW4b7hTdIjfQQ_17_4"/>
      <w:bookmarkStart w:id="479" w:name="Tc_PPaMc7ybAUeo5f5jAnq5DA_17_2"/>
      <w:bookmarkStart w:id="480" w:name="Tc_jdu2b1XCsUKUqFjrNkPGcw_17_0"/>
      <w:bookmarkStart w:id="481" w:name="Tc_QxS1XpbdoEqb0VaGgiKUcg_16_16"/>
      <w:bookmarkStart w:id="482" w:name="Tc_DQWZlE5jnkmy7s2xwYsROQ_16_13"/>
      <w:bookmarkStart w:id="483" w:name="Tc_SfawXzCN30Wn6IHK2KYSTw_16_10"/>
      <w:bookmarkStart w:id="484" w:name="Tc_2fAMBH1D1EuTM6MLOOorIg_16_7"/>
      <w:bookmarkStart w:id="485" w:name="Tc_5cTd2VMjLUC-BVQD-ZnmJA_16_4"/>
      <w:bookmarkStart w:id="486" w:name="Tc_OPBzMv5DHEeZGdqniXPIZA_16_0"/>
      <w:bookmarkStart w:id="487" w:name="Tc_KuBbdSC8CUqlasy2RxeYvg_14_16"/>
      <w:bookmarkStart w:id="488" w:name="Tc_psCgxOtoZkuzvknCrOzy5g_14_13"/>
      <w:bookmarkStart w:id="489" w:name="Tc_tWhV4TjaXkmGFxQljeV6GA_14_10"/>
      <w:bookmarkStart w:id="490" w:name="Tc_VdFfJwuodkmZ1_IzL_xW3A_14_7"/>
      <w:bookmarkStart w:id="491" w:name="Tc_qTzPyLDGgE2KHZhCTEZZaA_14_4"/>
      <w:bookmarkStart w:id="492" w:name="Tc_Dz3QIkJinUqxw1HazNRxfw_14_0"/>
      <w:bookmarkStart w:id="493" w:name="Tc_wuXn8bHWMEmD1aqNF3ip-A_13_16"/>
      <w:bookmarkStart w:id="494" w:name="Tc_a25ygQuWyUCeEJTiX_6QDQ_13_11"/>
      <w:bookmarkStart w:id="495" w:name="Tc_b8FY1y06p0GjGBFFT_pITg_13_8"/>
      <w:bookmarkStart w:id="496" w:name="Tc_woCP_KqvnU6rVW8igFy9WA_13_5"/>
      <w:bookmarkStart w:id="497" w:name="Tc_h5R2X8DgHkWBiYi5r-LljQ_13_4"/>
      <w:bookmarkStart w:id="498" w:name="Tc_HC5lycVYOU6PCWal42NMqw_13_2"/>
      <w:bookmarkStart w:id="499" w:name="Tc_ImrU_wZJc0eEa1F0YfVEQA_13_0"/>
      <w:bookmarkStart w:id="500" w:name="Tc_-jbphTIARE6v8Diw6A6blg_12_16"/>
      <w:bookmarkStart w:id="501" w:name="Tc_EYMWhm68b0OkqevwsMbSfw_12_14"/>
      <w:bookmarkStart w:id="502" w:name="Tc_hnjCp87zwUWOhAA4gtRLRw_12_11"/>
      <w:bookmarkStart w:id="503" w:name="Tc_O2ILM_XR30SKLhKWlkIIXA_12_5"/>
      <w:bookmarkStart w:id="504" w:name="Tc_cvoRUaNYPU-OdFXMe95Qmg_12_4"/>
      <w:bookmarkStart w:id="505" w:name="Tc_yny39fTXhUKfHiz_ABLMdg_12_0"/>
      <w:bookmarkStart w:id="506" w:name="Tc_g0OYfEwPFEC2vCpoEL03hA_11_16"/>
      <w:bookmarkStart w:id="507" w:name="Tc_RgYft7y0s0KSHddWnVCXvg_11_14"/>
      <w:bookmarkStart w:id="508" w:name="Tc_sZ5GtCijcU-lF9j_FetUYQ_11_11"/>
      <w:bookmarkStart w:id="509" w:name="Tc_YALZKzZlyEaHWX-1fd1cUQ_11_4"/>
      <w:bookmarkStart w:id="510" w:name="Tc_tYgpBPpFAEabEVJAwFCm6A_11_0"/>
      <w:bookmarkStart w:id="511" w:name="Tc_L9tTx4Fy006DqS14afxW7g_10_16"/>
      <w:bookmarkStart w:id="512" w:name="Tc__Z9wtYvj90GAOVcAIh3CUg_10_14"/>
      <w:bookmarkStart w:id="513" w:name="Tc__5yki_YQbk2p1MJxTvsihw_10_11"/>
      <w:bookmarkStart w:id="514" w:name="Tc_k8UkQXlwJkyOdkce-DkKpw_10_5"/>
      <w:bookmarkStart w:id="515" w:name="Tc_THsTpwxM7E28Pk3gvv5K4A_10_4"/>
      <w:bookmarkStart w:id="516" w:name="Tc_Zum9ARp-jEaI4a_oaTOjvQ_10_2"/>
      <w:bookmarkStart w:id="517" w:name="Tc_caXDpp1qlESf6H85tt7CDg_10_0"/>
      <w:bookmarkStart w:id="518" w:name="Tc_BNUEVvhOfE-RgAT5jRkd-Q_9_16"/>
      <w:bookmarkStart w:id="519" w:name="Tc_Mdvrv3BVJ06aPiDFRlsCtQ_9_14"/>
      <w:bookmarkStart w:id="520" w:name="Tc_8nGUS7PFcUql-5iViYtqIQ_9_8"/>
      <w:bookmarkStart w:id="521" w:name="Tc_gYw1lyyymUOL5Tq6g5VkFQ_9_5"/>
      <w:bookmarkStart w:id="522" w:name="Tc_5ztB6DrtsEK8dG1e5PyZFw_9_4"/>
      <w:bookmarkStart w:id="523" w:name="Tc_xxuMYIhqSk6INDybL8Oi1A_9_2"/>
      <w:bookmarkStart w:id="524" w:name="Tc_gf7pzkym1kepJCLoTdVwFw_9_0"/>
      <w:bookmarkStart w:id="525" w:name="Tc_a3jw2HHirk-krVG8vHqsgg_8_16"/>
      <w:bookmarkStart w:id="526" w:name="Tc_Uz3Tt3kT0UiqapwslIhU1g_8_14"/>
      <w:bookmarkStart w:id="527" w:name="Tc_dPJuon4WM0askiggk1wBNA_8_8"/>
      <w:bookmarkStart w:id="528" w:name="Tc_MBFWxU8Q8Uyf_ZZhT2oJ-g_8_5"/>
      <w:bookmarkStart w:id="529" w:name="Tc_9-zhdVWcrU6yfROl44N2IQ_8_4"/>
      <w:bookmarkStart w:id="530" w:name="Tc_7G2lVFBddkmviMAJ6DQIgQ_8_2"/>
      <w:bookmarkStart w:id="531" w:name="Tc_hLcClMqLtUOglhc3E8viQQ_8_0"/>
      <w:bookmarkStart w:id="532" w:name="Tc_X9y_21sAaUefXaDI1SmXAA_7_16"/>
      <w:bookmarkStart w:id="533" w:name="Tc_bWsorzbFC0mtDbyPV32TdA_7_14"/>
      <w:bookmarkStart w:id="534" w:name="Tc_ktFaYQibwESEfcIsGtZmFA_7_8"/>
      <w:bookmarkStart w:id="535" w:name="Tc_hIaRoSulhUWTouufN24cyQ_7_5"/>
      <w:bookmarkStart w:id="536" w:name="Tc_38RjQjIZzkiNBeo8miN9wQ_7_4"/>
      <w:bookmarkStart w:id="537" w:name="Tc_NMP5D_WFzES4mnas_h9x_Q_7_2"/>
      <w:bookmarkStart w:id="538" w:name="Tc_fgdfR8aIWkWIvGIQuU8pjQ_7_0"/>
      <w:bookmarkStart w:id="539" w:name="Tc_l4jkQ5RNJU2Yxsj2iyFH2w_6_16"/>
      <w:bookmarkStart w:id="540" w:name="Tc_lkEYEUtDa0ycU6dgUWcmWQ_6_13"/>
      <w:bookmarkStart w:id="541" w:name="Tc_6ifXup8izEGQ45bsiTkMmQ_6_10"/>
      <w:bookmarkStart w:id="542" w:name="Tc_vhJUPbabq0OGRJnRWEksTg_6_7"/>
      <w:bookmarkStart w:id="543" w:name="Tc_M-gYIh2U4Uy93ZzVvSi64A_6_4"/>
      <w:bookmarkStart w:id="544" w:name="Tc_D27VOi6OkkysnFexBIsF9g_6_0"/>
      <w:bookmarkStart w:id="545" w:name="Tc_WaHT_lMBfkGBhDmkiVsHCw_5_16"/>
      <w:bookmarkStart w:id="546" w:name="Tc_gnYwr6PZUUC3H1jtPkZ1EQ_5_13"/>
      <w:bookmarkStart w:id="547" w:name="Tc__q33w1JQvkiLQANC61wCZg_5_10"/>
      <w:bookmarkStart w:id="548" w:name="Tc_v-W8QeiYm0yOkV_BCwy67Q_5_7"/>
      <w:bookmarkStart w:id="549" w:name="Tc_eLm8mOWG5EiZfgPjMX55CA_5_4"/>
      <w:bookmarkStart w:id="550" w:name="Tc_dSmU8BLueUCB8aXk6-0KzA_5_2"/>
      <w:bookmarkStart w:id="551" w:name="Tc_gVPErhlf5EeFeu75KxhMpQ_4_16"/>
      <w:bookmarkStart w:id="552" w:name="Tc_ntQoK2LNUE-Qp58V8h12JQ_4_13"/>
      <w:bookmarkStart w:id="553" w:name="Tc_jvfE3NSXok6aQgpT0KGYxg_4_10"/>
      <w:bookmarkStart w:id="554" w:name="Tc_df9Jxarfv0Swb4IOdVse1g_4_7"/>
      <w:bookmarkStart w:id="555" w:name="Tc_MsGRiMF_wkC1tkdexRy89g_4_2"/>
      <w:bookmarkStart w:id="556" w:name="Tc_Zdxutfe5UUSmyC61xf63Eg_3_16"/>
      <w:bookmarkStart w:id="557" w:name="Tc_b0oIXzDZfU64NEAj9ELiag_3_13"/>
      <w:bookmarkStart w:id="558" w:name="Tc_Dz1U9WpgWkOmRkK_fE0SsQ_3_7"/>
      <w:bookmarkStart w:id="559" w:name="Tc_zNNSDRxe30-D5-vZ8L3KQg_2_13"/>
      <w:bookmarkStart w:id="560" w:name="Tc_q6rahHOHu02VtaoDoHqKfg_1_13"/>
      <w:bookmarkStart w:id="561" w:name="_a44fb1a4_6553_41b3_a1cf_1881d9465dc2"/>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tbl>
      <w:tblPr>
        <w:tblW w:w="10205" w:type="dxa"/>
        <w:jc w:val="left"/>
        <w:tblInd w:w="0" w:type="dxa"/>
        <w:tblCellMar>
          <w:top w:w="0" w:type="dxa"/>
          <w:left w:w="0" w:type="dxa"/>
          <w:bottom w:w="0" w:type="dxa"/>
          <w:right w:w="0" w:type="dxa"/>
        </w:tblCellMar>
      </w:tblPr>
      <w:tblGrid>
        <w:gridCol w:w="2474"/>
        <w:gridCol w:w="326"/>
        <w:gridCol w:w="931"/>
        <w:gridCol w:w="326"/>
        <w:gridCol w:w="256"/>
        <w:gridCol w:w="420"/>
        <w:gridCol w:w="326"/>
        <w:gridCol w:w="211"/>
        <w:gridCol w:w="678"/>
        <w:gridCol w:w="326"/>
        <w:gridCol w:w="211"/>
        <w:gridCol w:w="781"/>
        <w:gridCol w:w="326"/>
        <w:gridCol w:w="263"/>
        <w:gridCol w:w="923"/>
        <w:gridCol w:w="326"/>
        <w:gridCol w:w="211"/>
        <w:gridCol w:w="890"/>
      </w:tblGrid>
      <w:tr>
        <w:trPr/>
        <w:tc>
          <w:tcPr>
            <w:tcW w:w="24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70990" cy="175260"/>
                      <wp:effectExtent l="0" t="0" r="0" b="0"/>
                      <wp:wrapNone/>
                      <wp:docPr id="44" name="Frame44"/>
                      <a:graphic xmlns:a="http://schemas.openxmlformats.org/drawingml/2006/main">
                        <a:graphicData uri="http://schemas.microsoft.com/office/word/2010/wordprocessingShape">
                          <wps:wsp>
                            <wps:cNvSpPr txBox="1"/>
                            <wps:spPr>
                              <a:xfrm>
                                <a:off x="0" y="0"/>
                                <a:ext cx="1570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91185" cy="175260"/>
                      <wp:effectExtent l="0" t="0" r="0" b="0"/>
                      <wp:wrapNone/>
                      <wp:docPr id="46" name="Frame4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2560" cy="175260"/>
                      <wp:effectExtent l="0" t="0" r="0" b="0"/>
                      <wp:wrapNone/>
                      <wp:docPr id="48" name="Frame48"/>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66700" cy="175260"/>
                      <wp:effectExtent l="0" t="0" r="0" b="0"/>
                      <wp:wrapNone/>
                      <wp:docPr id="49" name="Frame49"/>
                      <a:graphic xmlns:a="http://schemas.openxmlformats.org/drawingml/2006/main">
                        <a:graphicData uri="http://schemas.microsoft.com/office/word/2010/wordprocessingShape">
                          <wps:wsp>
                            <wps:cNvSpPr txBox="1"/>
                            <wps:spPr>
                              <a:xfrm>
                                <a:off x="0" y="0"/>
                                <a:ext cx="266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30530" cy="175260"/>
                      <wp:effectExtent l="0" t="0" r="0" b="0"/>
                      <wp:wrapNone/>
                      <wp:docPr id="52" name="Frame52"/>
                      <a:graphic xmlns:a="http://schemas.openxmlformats.org/drawingml/2006/main">
                        <a:graphicData uri="http://schemas.microsoft.com/office/word/2010/wordprocessingShape">
                          <wps:wsp>
                            <wps:cNvSpPr txBox="1"/>
                            <wps:spPr>
                              <a:xfrm>
                                <a:off x="0" y="0"/>
                                <a:ext cx="430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5935" cy="175260"/>
                      <wp:effectExtent l="0" t="0" r="0" b="0"/>
                      <wp:wrapNone/>
                      <wp:docPr id="55" name="Frame5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7005" cy="175260"/>
                      <wp:effectExtent l="0" t="0" r="0" b="0"/>
                      <wp:wrapNone/>
                      <wp:docPr id="57" name="Frame57"/>
                      <a:graphic xmlns:a="http://schemas.openxmlformats.org/drawingml/2006/main">
                        <a:graphicData uri="http://schemas.microsoft.com/office/word/2010/wordprocessingShape">
                          <wps:wsp>
                            <wps:cNvSpPr txBox="1"/>
                            <wps:spPr>
                              <a:xfrm>
                                <a:off x="0" y="0"/>
                                <a:ext cx="167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86105" cy="175260"/>
                      <wp:effectExtent l="0" t="0" r="0" b="0"/>
                      <wp:wrapNone/>
                      <wp:docPr id="58" name="Frame58"/>
                      <a:graphic xmlns:a="http://schemas.openxmlformats.org/drawingml/2006/main">
                        <a:graphicData uri="http://schemas.microsoft.com/office/word/2010/wordprocessingShape">
                          <wps:wsp>
                            <wps:cNvSpPr txBox="1"/>
                            <wps:spPr>
                              <a:xfrm>
                                <a:off x="0" y="0"/>
                                <a:ext cx="586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65150" cy="175260"/>
                      <wp:effectExtent l="0" t="0" r="0" b="0"/>
                      <wp:wrapNone/>
                      <wp:docPr id="61" name="Frame61"/>
                      <a:graphic xmlns:a="http://schemas.openxmlformats.org/drawingml/2006/main">
                        <a:graphicData uri="http://schemas.microsoft.com/office/word/2010/wordprocessingShape">
                          <wps:wsp>
                            <wps:cNvSpPr txBox="1"/>
                            <wps:spPr>
                              <a:xfrm>
                                <a:off x="0" y="0"/>
                                <a:ext cx="565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56" w:type="dxa"/>
            <w:tcBorders/>
            <w:shd w:fill="auto" w:val="clear"/>
            <w:vAlign w:val="center"/>
          </w:tcPr>
          <w:p>
            <w:pPr>
              <w:pStyle w:val="TableContents"/>
              <w:spacing w:before="0" w:after="0"/>
              <w:ind w:left="0" w:right="0" w:hanging="0"/>
              <w:jc w:val="center"/>
              <w:rPr/>
            </w:pPr>
            <w:r>
              <w:rPr/>
              <w:t>​</w:t>
            </w:r>
          </w:p>
        </w:tc>
        <w:tc>
          <w:tcPr>
            <w:tcW w:w="42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8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Accumulated</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center"/>
              <w:rPr/>
            </w:pPr>
            <w:r>
              <w:rPr/>
              <w:t>​</w:t>
            </w:r>
          </w:p>
        </w:tc>
      </w:tr>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42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jc w:val="center"/>
              <w:rPr/>
            </w:pPr>
            <w:r>
              <w:rPr/>
              <w:t>​</w:t>
            </w:r>
          </w:p>
        </w:tc>
      </w:tr>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pPr>
            <w:r>
              <w:rPr/>
              <w:t>​</w:t>
            </w:r>
          </w:p>
        </w:tc>
        <w:tc>
          <w:tcPr>
            <w:tcW w:w="42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9"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Additional</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Comprehensive</w:t>
            </w:r>
          </w:p>
        </w:tc>
        <w:tc>
          <w:tcPr>
            <w:tcW w:w="326" w:type="dxa"/>
            <w:tcBorders/>
            <w:shd w:fill="auto" w:val="clear"/>
            <w:vAlign w:val="center"/>
          </w:tcPr>
          <w:p>
            <w:pPr>
              <w:pStyle w:val="TableContents"/>
              <w:spacing w:before="0" w:after="0"/>
              <w:ind w:left="0" w:right="0" w:hanging="0"/>
              <w:rPr/>
            </w:pPr>
            <w:r>
              <w:rPr/>
              <w:t>​</w:t>
            </w:r>
          </w:p>
        </w:tc>
        <w:tc>
          <w:tcPr>
            <w:tcW w:w="1101"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3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26" w:type="dxa"/>
            <w:tcBorders/>
            <w:shd w:fill="auto" w:val="clear"/>
            <w:vAlign w:val="center"/>
          </w:tcPr>
          <w:p>
            <w:pPr>
              <w:pStyle w:val="TableContents"/>
              <w:spacing w:before="0" w:after="0"/>
              <w:ind w:left="0" w:right="0" w:hanging="0"/>
              <w:rPr/>
            </w:pPr>
            <w:r>
              <w:rPr/>
              <w:t>​</w:t>
            </w:r>
          </w:p>
        </w:tc>
        <w:tc>
          <w:tcPr>
            <w:tcW w:w="889"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Paid-in</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Retained</w:t>
            </w:r>
          </w:p>
        </w:tc>
        <w:tc>
          <w:tcPr>
            <w:tcW w:w="326" w:type="dxa"/>
            <w:tcBorders/>
            <w:shd w:fill="auto" w:val="clear"/>
            <w:vAlign w:val="center"/>
          </w:tcPr>
          <w:p>
            <w:pPr>
              <w:pStyle w:val="TableContents"/>
              <w:spacing w:before="0" w:after="0"/>
              <w:ind w:left="0" w:right="0" w:hanging="0"/>
              <w:jc w:val="center"/>
              <w:rPr/>
            </w:pPr>
            <w:r>
              <w:rPr/>
              <w:t>​</w:t>
            </w:r>
          </w:p>
        </w:tc>
        <w:tc>
          <w:tcPr>
            <w:tcW w:w="118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Income (Loss),</w:t>
            </w:r>
          </w:p>
        </w:tc>
        <w:tc>
          <w:tcPr>
            <w:tcW w:w="326" w:type="dxa"/>
            <w:tcBorders/>
            <w:shd w:fill="auto" w:val="clear"/>
            <w:vAlign w:val="center"/>
          </w:tcPr>
          <w:p>
            <w:pPr>
              <w:pStyle w:val="TableContents"/>
              <w:spacing w:before="0" w:after="0"/>
              <w:ind w:left="0" w:right="0" w:hanging="0"/>
              <w:rPr/>
            </w:pPr>
            <w:r>
              <w:rPr/>
              <w:t>​</w:t>
            </w:r>
          </w:p>
        </w:tc>
        <w:tc>
          <w:tcPr>
            <w:tcW w:w="1101"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Stockholders’</w:t>
            </w:r>
          </w:p>
        </w:tc>
      </w:tr>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6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Amount</w:t>
            </w:r>
          </w:p>
        </w:tc>
        <w:tc>
          <w:tcPr>
            <w:tcW w:w="326" w:type="dxa"/>
            <w:tcBorders/>
            <w:shd w:fill="auto" w:val="clear"/>
            <w:vAlign w:val="center"/>
          </w:tcPr>
          <w:p>
            <w:pPr>
              <w:pStyle w:val="TableContents"/>
              <w:spacing w:before="0" w:after="0"/>
              <w:ind w:left="0" w:right="0" w:hanging="0"/>
              <w:jc w:val="center"/>
              <w:rPr/>
            </w:pPr>
            <w:r>
              <w:rPr/>
              <w:t>​</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Capital</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Earnings</w:t>
            </w:r>
          </w:p>
        </w:tc>
        <w:tc>
          <w:tcPr>
            <w:tcW w:w="326" w:type="dxa"/>
            <w:tcBorders/>
            <w:shd w:fill="auto" w:val="clear"/>
            <w:vAlign w:val="center"/>
          </w:tcPr>
          <w:p>
            <w:pPr>
              <w:pStyle w:val="TableContents"/>
              <w:spacing w:before="0" w:after="0"/>
              <w:ind w:left="0" w:right="0" w:hanging="0"/>
              <w:jc w:val="center"/>
              <w:rPr/>
            </w:pPr>
            <w:r>
              <w:rPr/>
              <w:t>​</w:t>
            </w:r>
          </w:p>
        </w:tc>
        <w:tc>
          <w:tcPr>
            <w:tcW w:w="11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Net of Tax</w:t>
            </w:r>
          </w:p>
        </w:tc>
        <w:tc>
          <w:tcPr>
            <w:tcW w:w="326" w:type="dxa"/>
            <w:tcBorders/>
            <w:shd w:fill="auto" w:val="clear"/>
            <w:vAlign w:val="center"/>
          </w:tcPr>
          <w:p>
            <w:pPr>
              <w:pStyle w:val="TableContents"/>
              <w:spacing w:before="0" w:after="0"/>
              <w:ind w:left="0" w:right="0" w:hanging="0"/>
              <w:rPr/>
            </w:pPr>
            <w:r>
              <w:rPr/>
              <w:t>​</w:t>
            </w:r>
          </w:p>
        </w:tc>
        <w:tc>
          <w:tcPr>
            <w:tcW w:w="11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Equity</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BALANCE, January 1, 2022</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8,169,887</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67,958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179,215</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247,507</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6,870</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6,870</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Cumulative effect of new accounting standard (Topic 326) - impact in year of adoption</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92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Dividends paid ($0.20 per share)</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 </w:t>
            </w:r>
          </w:p>
        </w:tc>
        <w:tc>
          <w:tcPr>
            <w:tcW w:w="92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repurchased - repurchase plan</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(115,356)</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 exercised, net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12,680</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 </w:t>
            </w:r>
          </w:p>
        </w:tc>
        <w:tc>
          <w:tcPr>
            <w:tcW w:w="92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(14,166)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(14,166)</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BALANCE, March 31, 2022</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8,067,211</w:t>
            </w:r>
          </w:p>
        </w:tc>
        <w:tc>
          <w:tcPr>
            <w:tcW w:w="326" w:type="dxa"/>
            <w:tcBorders/>
            <w:shd w:fill="CCEEFF" w:val="clear"/>
            <w:vAlign w:val="center"/>
          </w:tcPr>
          <w:p>
            <w:pPr>
              <w:pStyle w:val="TableContents"/>
              <w:spacing w:before="0" w:after="0"/>
              <w:ind w:left="0" w:right="0" w:hanging="0"/>
              <w:rPr/>
            </w:pPr>
            <w:r>
              <w:rPr/>
              <w:t>​</w:t>
            </w:r>
          </w:p>
        </w:tc>
        <w:tc>
          <w:tcPr>
            <w:tcW w:w="25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65,035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184,748</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235,950</w:t>
            </w:r>
          </w:p>
        </w:tc>
      </w:tr>
      <w:tr>
        <w:trPr/>
        <w:tc>
          <w:tcPr>
            <w:tcW w:w="24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pPr>
            <w:r>
              <w:rPr/>
              <w:t>​</w:t>
            </w:r>
          </w:p>
        </w:tc>
        <w:tc>
          <w:tcPr>
            <w:tcW w:w="4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w:t>
            </w:r>
          </w:p>
        </w:tc>
        <w:tc>
          <w:tcPr>
            <w:tcW w:w="92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0" w:type="dxa"/>
            <w:tcBorders/>
            <w:shd w:fill="auto" w:val="clear"/>
            <w:vAlign w:val="center"/>
          </w:tcPr>
          <w:p>
            <w:pPr>
              <w:pStyle w:val="TableContents"/>
              <w:spacing w:before="0" w:after="0"/>
              <w:ind w:left="0" w:right="0" w:hanging="0"/>
              <w:rPr/>
            </w:pPr>
            <w:r>
              <w:rPr/>
              <w:t>​</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BALANCE, January 1, 2023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7,736,185</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202,065</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231,697</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8,212</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8,212</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Dividends paid ($0.25 per share)</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 </w:t>
            </w:r>
          </w:p>
        </w:tc>
        <w:tc>
          <w:tcPr>
            <w:tcW w:w="92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common stock- employee stock purchase plan</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7,350</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 </w:t>
            </w:r>
          </w:p>
        </w:tc>
        <w:tc>
          <w:tcPr>
            <w:tcW w:w="92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stock awards forfeited</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(4,812)</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repurchased for employee/director taxes paid on restricted stock awards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3" w:type="dxa"/>
            <w:tcBorders/>
            <w:shd w:fill="CCEEFF" w:val="clear"/>
            <w:vAlign w:val="center"/>
          </w:tcPr>
          <w:p>
            <w:pPr>
              <w:pStyle w:val="TableContents"/>
              <w:spacing w:before="0" w:after="0"/>
              <w:ind w:left="0" w:right="0" w:hanging="0"/>
              <w:rPr/>
            </w:pPr>
            <w:r>
              <w:rPr/>
              <w:t>​</w:t>
            </w:r>
          </w:p>
        </w:tc>
        <w:tc>
          <w:tcPr>
            <w:tcW w:w="92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 exercised, net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3" w:type="dxa"/>
            <w:tcBorders/>
            <w:shd w:fill="auto" w:val="clear"/>
            <w:vAlign w:val="center"/>
          </w:tcPr>
          <w:p>
            <w:pPr>
              <w:pStyle w:val="TableContents"/>
              <w:spacing w:before="0" w:after="0"/>
              <w:ind w:left="0" w:right="0" w:hanging="0"/>
              <w:rPr/>
            </w:pPr>
            <w:r>
              <w:rPr/>
              <w:t> </w:t>
            </w:r>
          </w:p>
        </w:tc>
        <w:tc>
          <w:tcPr>
            <w:tcW w:w="9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4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2,909</w:t>
            </w:r>
          </w:p>
        </w:tc>
      </w:tr>
      <w:tr>
        <w:trPr/>
        <w:tc>
          <w:tcPr>
            <w:tcW w:w="2474"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BALANCE, March 31, 2023</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7,743,283</w:t>
            </w:r>
          </w:p>
        </w:tc>
        <w:tc>
          <w:tcPr>
            <w:tcW w:w="326" w:type="dxa"/>
            <w:tcBorders/>
            <w:shd w:fill="auto" w:val="clear"/>
            <w:vAlign w:val="center"/>
          </w:tcPr>
          <w:p>
            <w:pPr>
              <w:pStyle w:val="TableContents"/>
              <w:spacing w:before="0" w:after="0"/>
              <w:ind w:left="0" w:right="0" w:hanging="0"/>
              <w:rPr/>
            </w:pPr>
            <w:r>
              <w:rPr/>
              <w:t>​</w:t>
            </w:r>
          </w:p>
        </w:tc>
        <w:tc>
          <w:tcPr>
            <w:tcW w:w="25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56,138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208,342</w:t>
            </w:r>
          </w:p>
        </w:tc>
        <w:tc>
          <w:tcPr>
            <w:tcW w:w="326" w:type="dxa"/>
            <w:tcBorders/>
            <w:shd w:fill="auto" w:val="clear"/>
            <w:vAlign w:val="center"/>
          </w:tcPr>
          <w:p>
            <w:pPr>
              <w:pStyle w:val="TableContents"/>
              <w:spacing w:before="0" w:after="0"/>
              <w:ind w:left="0" w:right="0" w:hanging="0"/>
              <w:rPr/>
            </w:pPr>
            <w:r>
              <w:rPr/>
              <w:t>​</w:t>
            </w:r>
          </w:p>
        </w:tc>
        <w:tc>
          <w:tcPr>
            <w:tcW w:w="26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(22,723)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241,834</w:t>
            </w:r>
          </w:p>
        </w:tc>
      </w:tr>
    </w:tbl>
    <w:p>
      <w:pPr>
        <w:pStyle w:val="TextBody"/>
        <w:spacing w:before="0" w:after="60"/>
        <w:ind w:left="0" w:right="0" w:hanging="0"/>
        <w:rPr/>
      </w:pPr>
      <w:r>
        <w:rPr/>
        <w:t>​</w:t>
      </w:r>
    </w:p>
    <w:p>
      <w:pPr>
        <w:pStyle w:val="TextBody"/>
        <w:spacing w:before="0" w:after="200"/>
        <w:ind w:left="0" w:right="0" w:hanging="0"/>
        <w:jc w:val="both"/>
        <w:rPr>
          <w:rFonts w:ascii="Times New Roman;Times;serif" w:hAnsi="Times New Roman;Times;serif"/>
          <w:i/>
          <w:sz w:val="20"/>
        </w:rPr>
      </w:pPr>
      <w:r>
        <w:rPr>
          <w:rFonts w:ascii="Times New Roman;Times;serif" w:hAnsi="Times New Roman;Times;serif"/>
          <w:i/>
          <w:sz w:val="20"/>
        </w:rPr>
        <w:t>See accompanying notes to these consolidated financial statements.</w:t>
      </w:r>
    </w:p>
    <w:p>
      <w:pPr>
        <w:pStyle w:val="TextBody"/>
        <w:spacing w:before="0" w:after="0"/>
        <w:ind w:left="0" w:right="0" w:hanging="0"/>
        <w:rPr/>
      </w:pPr>
      <w:bookmarkStart w:id="562" w:name="EQUITY2"/>
      <w:bookmarkEnd w:id="562"/>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FS BANCORP, INC. AND SUBSIDIARY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(In thousands) (Unaudited)</w:t>
      </w:r>
    </w:p>
    <w:p>
      <w:pPr>
        <w:pStyle w:val="TextBody"/>
        <w:spacing w:before="0" w:after="0"/>
        <w:ind w:left="0" w:right="0" w:hanging="0"/>
        <w:rPr/>
      </w:pPr>
      <w:bookmarkStart w:id="563" w:name="CashFlows"/>
      <w:bookmarkStart w:id="564" w:name="_e1f4c190_1031_43e7_8a8e_851e15b90bcd"/>
      <w:bookmarkEnd w:id="563"/>
      <w:bookmarkEnd w:id="564"/>
      <w:r>
        <w:rPr/>
        <w:t>​</w:t>
      </w:r>
    </w:p>
    <w:p>
      <w:pPr>
        <w:pStyle w:val="Normal"/>
        <w:spacing w:before="0" w:after="0"/>
        <w:rPr>
          <w:sz w:val="4"/>
          <w:szCs w:val="4"/>
        </w:rPr>
      </w:pPr>
      <w:r>
        <w:rPr>
          <w:sz w:val="4"/>
          <w:szCs w:val="4"/>
        </w:rPr>
      </w:r>
      <w:bookmarkStart w:id="565" w:name="Tc_RpwqWj2-LECYLBVw7R4IbQ_43_5"/>
      <w:bookmarkStart w:id="566" w:name="Tc_zJfGNpQ8Ikm0C1RZhbU2NQ_43_2"/>
      <w:bookmarkStart w:id="567" w:name="Tc_pu1UlFl1ZUOky4y12rVGkw_43_0"/>
      <w:bookmarkStart w:id="568" w:name="Tc_XlggnktJeUmB-rcxWXifKw_42_0"/>
      <w:bookmarkStart w:id="569" w:name="Tc_sPQI4lDPAk27m2qhSjl1sg_40_0"/>
      <w:bookmarkStart w:id="570" w:name="Tc_0HkPPddG80yQMIHCH7sZNA_39_0"/>
      <w:bookmarkStart w:id="571" w:name="Tc_K0Y2nBN1VUSjI_gYS929EQ_38_3"/>
      <w:bookmarkStart w:id="572" w:name="Tc_6oG5mJEVdkiakFtmhqLBeg_38_0"/>
      <w:bookmarkStart w:id="573" w:name="Tc_ydNW9gkPb0iL6woewS8hfA_37_6"/>
      <w:bookmarkStart w:id="574" w:name="Tc_6bzNsUjjQkK2hEA59j1g0w_37_0"/>
      <w:bookmarkStart w:id="575" w:name="Tc_M_5Kx1xkW0SoV-gXsZZqbg_36_6"/>
      <w:bookmarkStart w:id="576" w:name="Tc_k8qTA_LT5kerhQnlz1KMjQ_36_0"/>
      <w:bookmarkStart w:id="577" w:name="Tc_pW30sZyHOUG1VK2nKe4ghA_35_0"/>
      <w:bookmarkStart w:id="578" w:name="Tc_xoh6pPaPxkC19m_YNVaZ0Q_34_0"/>
      <w:bookmarkStart w:id="579" w:name="Tc_Sv-fdOwwhEKymXJNLx-xdg_33_0"/>
      <w:bookmarkStart w:id="580" w:name="Tc_ipecAANyDEqRWKQ5feDHvQ_32_0"/>
      <w:bookmarkStart w:id="581" w:name="Tc_50RO867ozkqJt3QR_00KmQ_31_0"/>
      <w:bookmarkStart w:id="582" w:name="Tc_5j_wb56bFkmbmXtqCgMW-w_30_0"/>
      <w:bookmarkStart w:id="583" w:name="Tc_4Ko4V_-DsECwaeLeBqGPXg_29_0"/>
      <w:bookmarkStart w:id="584" w:name="Tc_C6FRtY1k5kSsZHfUG1rHTg_28_0"/>
      <w:bookmarkStart w:id="585" w:name="Tc_WsAqYsCiJ0m7CQawMxzLlw_27_3"/>
      <w:bookmarkStart w:id="586" w:name="Tc_H2j31AyLo0OjFzWtQt0Gwg_27_0"/>
      <w:bookmarkStart w:id="587" w:name="Tc_D1Nssg4bCEGnbya6DzeDkQ_26_0"/>
      <w:bookmarkStart w:id="588" w:name="Tc_T087_ybFdEegeuMSQcwT6Q_25_0"/>
      <w:bookmarkStart w:id="589" w:name="Tc_c7W20Cizz06JptECeo4oPA_24_6"/>
      <w:bookmarkStart w:id="590" w:name="Tc_Ije_pY0GHEeZYFkpJR3VwQ_24_0"/>
      <w:bookmarkStart w:id="591" w:name="Tc_JgN01ETmG0WRw8xXHIadPw_23_0"/>
      <w:bookmarkStart w:id="592" w:name="Tc_G4DYQO2VoUKa5c5orJ6TOg_22_3"/>
      <w:bookmarkStart w:id="593" w:name="Tc_6W7vfu6aM0Kn07mzDt0n-w_22_0"/>
      <w:bookmarkStart w:id="594" w:name="Tc_BuKNxsbc_EKRsjnvkcLhmg_21_3"/>
      <w:bookmarkStart w:id="595" w:name="Tc_uynhFdTNGEOaMgZQu0-lGA_21_0"/>
      <w:bookmarkStart w:id="596" w:name="Tc_HTeSLiqjZ0S-zMFFoUOXIA_20_0"/>
      <w:bookmarkStart w:id="597" w:name="Tc_JOUeJ84nUEiMhf2O_7gFFw_19_0"/>
      <w:bookmarkStart w:id="598" w:name="Tc_vCgMBnkg7kWVN4dgrZvlfg_18_0"/>
      <w:bookmarkStart w:id="599" w:name="Tc_TcSZesL0kkCOzrVEg2PZkw_17_0"/>
      <w:bookmarkStart w:id="600" w:name="Tc_dmsQSYfjd066IOft34vmNg_16_0"/>
      <w:bookmarkStart w:id="601" w:name="Tc_o14NtLzhlkqqlsmDavVGoA_15_0"/>
      <w:bookmarkStart w:id="602" w:name="Tc_4QOlExY9SEG5yPBUFzIjHQ_14_0"/>
      <w:bookmarkStart w:id="603" w:name="Tc_gGcWE-w8VE-ig4mNdB17lA_13_0"/>
      <w:bookmarkStart w:id="604" w:name="Tc_mVOzO8uO9EaZ-QXrhAuBsg_12_0"/>
      <w:bookmarkStart w:id="605" w:name="Tc_OZWs1bwuTEu3Cx7Q50Es4Q_11_0"/>
      <w:bookmarkStart w:id="606" w:name="Tc_lnWhiTw4iU-tAhkze-4XXA_10_0"/>
      <w:bookmarkStart w:id="607" w:name="Tc_FLJum4GTyE2RFhJ-GZnXDA_9_0"/>
      <w:bookmarkStart w:id="608" w:name="Tc_bQdPTVdWvUq-cxxbouJ89g_8_0"/>
      <w:bookmarkStart w:id="609" w:name="Tc_tVzgL7LAwEOgRyBskH14gQ_7_0"/>
      <w:bookmarkStart w:id="610" w:name="Tc_xz_ZrXN-30WwQTHMuf7Ycg_6_0"/>
      <w:bookmarkStart w:id="611" w:name="Tc_vl5Yqtp8dEuLCC4Xmhnocw_5_0"/>
      <w:bookmarkStart w:id="612" w:name="Tc_8s6zQWaPnEi48t1VuhKaxA_4_0"/>
      <w:bookmarkStart w:id="613" w:name="Tc_NRmWgUOf80CxeORcgAVdsg_3_5"/>
      <w:bookmarkStart w:id="614" w:name="Tc_AJlKQiiLhU-q10FzPRE4xg_3_2"/>
      <w:bookmarkStart w:id="615" w:name="Tc_HnkLRtdmtka7Osg3wizj6g_3_0"/>
      <w:bookmarkStart w:id="616" w:name="Tc_3mQmjPum4EiaJ38r5wEn9w_2_5"/>
      <w:bookmarkStart w:id="617" w:name="Tc_G1FHtOtleUK40EvqmD9mcg_2_2"/>
      <w:bookmarkStart w:id="618" w:name="Tc_P9IlC-Ns9kyvHA-VpHHjyg_2_0"/>
      <w:bookmarkStart w:id="619" w:name="Tc_VPXBAdXYDUaTNyJULO4kLQ_1_2"/>
      <w:bookmarkStart w:id="620" w:name="_4a7af374_e3ce_4cbb_b2e3_4d1921483d70"/>
      <w:bookmarkStart w:id="621" w:name="Tc_RpwqWj2-LECYLBVw7R4IbQ_43_5"/>
      <w:bookmarkStart w:id="622" w:name="Tc_zJfGNpQ8Ikm0C1RZhbU2NQ_43_2"/>
      <w:bookmarkStart w:id="623" w:name="Tc_pu1UlFl1ZUOky4y12rVGkw_43_0"/>
      <w:bookmarkStart w:id="624" w:name="Tc_XlggnktJeUmB-rcxWXifKw_42_0"/>
      <w:bookmarkStart w:id="625" w:name="Tc_sPQI4lDPAk27m2qhSjl1sg_40_0"/>
      <w:bookmarkStart w:id="626" w:name="Tc_0HkPPddG80yQMIHCH7sZNA_39_0"/>
      <w:bookmarkStart w:id="627" w:name="Tc_K0Y2nBN1VUSjI_gYS929EQ_38_3"/>
      <w:bookmarkStart w:id="628" w:name="Tc_6oG5mJEVdkiakFtmhqLBeg_38_0"/>
      <w:bookmarkStart w:id="629" w:name="Tc_ydNW9gkPb0iL6woewS8hfA_37_6"/>
      <w:bookmarkStart w:id="630" w:name="Tc_6bzNsUjjQkK2hEA59j1g0w_37_0"/>
      <w:bookmarkStart w:id="631" w:name="Tc_M_5Kx1xkW0SoV-gXsZZqbg_36_6"/>
      <w:bookmarkStart w:id="632" w:name="Tc_k8qTA_LT5kerhQnlz1KMjQ_36_0"/>
      <w:bookmarkStart w:id="633" w:name="Tc_pW30sZyHOUG1VK2nKe4ghA_35_0"/>
      <w:bookmarkStart w:id="634" w:name="Tc_xoh6pPaPxkC19m_YNVaZ0Q_34_0"/>
      <w:bookmarkStart w:id="635" w:name="Tc_Sv-fdOwwhEKymXJNLx-xdg_33_0"/>
      <w:bookmarkStart w:id="636" w:name="Tc_ipecAANyDEqRWKQ5feDHvQ_32_0"/>
      <w:bookmarkStart w:id="637" w:name="Tc_50RO867ozkqJt3QR_00KmQ_31_0"/>
      <w:bookmarkStart w:id="638" w:name="Tc_5j_wb56bFkmbmXtqCgMW-w_30_0"/>
      <w:bookmarkStart w:id="639" w:name="Tc_4Ko4V_-DsECwaeLeBqGPXg_29_0"/>
      <w:bookmarkStart w:id="640" w:name="Tc_C6FRtY1k5kSsZHfUG1rHTg_28_0"/>
      <w:bookmarkStart w:id="641" w:name="Tc_WsAqYsCiJ0m7CQawMxzLlw_27_3"/>
      <w:bookmarkStart w:id="642" w:name="Tc_H2j31AyLo0OjFzWtQt0Gwg_27_0"/>
      <w:bookmarkStart w:id="643" w:name="Tc_D1Nssg4bCEGnbya6DzeDkQ_26_0"/>
      <w:bookmarkStart w:id="644" w:name="Tc_T087_ybFdEegeuMSQcwT6Q_25_0"/>
      <w:bookmarkStart w:id="645" w:name="Tc_c7W20Cizz06JptECeo4oPA_24_6"/>
      <w:bookmarkStart w:id="646" w:name="Tc_Ije_pY0GHEeZYFkpJR3VwQ_24_0"/>
      <w:bookmarkStart w:id="647" w:name="Tc_JgN01ETmG0WRw8xXHIadPw_23_0"/>
      <w:bookmarkStart w:id="648" w:name="Tc_G4DYQO2VoUKa5c5orJ6TOg_22_3"/>
      <w:bookmarkStart w:id="649" w:name="Tc_6W7vfu6aM0Kn07mzDt0n-w_22_0"/>
      <w:bookmarkStart w:id="650" w:name="Tc_BuKNxsbc_EKRsjnvkcLhmg_21_3"/>
      <w:bookmarkStart w:id="651" w:name="Tc_uynhFdTNGEOaMgZQu0-lGA_21_0"/>
      <w:bookmarkStart w:id="652" w:name="Tc_HTeSLiqjZ0S-zMFFoUOXIA_20_0"/>
      <w:bookmarkStart w:id="653" w:name="Tc_JOUeJ84nUEiMhf2O_7gFFw_19_0"/>
      <w:bookmarkStart w:id="654" w:name="Tc_vCgMBnkg7kWVN4dgrZvlfg_18_0"/>
      <w:bookmarkStart w:id="655" w:name="Tc_TcSZesL0kkCOzrVEg2PZkw_17_0"/>
      <w:bookmarkStart w:id="656" w:name="Tc_dmsQSYfjd066IOft34vmNg_16_0"/>
      <w:bookmarkStart w:id="657" w:name="Tc_o14NtLzhlkqqlsmDavVGoA_15_0"/>
      <w:bookmarkStart w:id="658" w:name="Tc_4QOlExY9SEG5yPBUFzIjHQ_14_0"/>
      <w:bookmarkStart w:id="659" w:name="Tc_gGcWE-w8VE-ig4mNdB17lA_13_0"/>
      <w:bookmarkStart w:id="660" w:name="Tc_mVOzO8uO9EaZ-QXrhAuBsg_12_0"/>
      <w:bookmarkStart w:id="661" w:name="Tc_OZWs1bwuTEu3Cx7Q50Es4Q_11_0"/>
      <w:bookmarkStart w:id="662" w:name="Tc_lnWhiTw4iU-tAhkze-4XXA_10_0"/>
      <w:bookmarkStart w:id="663" w:name="Tc_FLJum4GTyE2RFhJ-GZnXDA_9_0"/>
      <w:bookmarkStart w:id="664" w:name="Tc_bQdPTVdWvUq-cxxbouJ89g_8_0"/>
      <w:bookmarkStart w:id="665" w:name="Tc_tVzgL7LAwEOgRyBskH14gQ_7_0"/>
      <w:bookmarkStart w:id="666" w:name="Tc_xz_ZrXN-30WwQTHMuf7Ycg_6_0"/>
      <w:bookmarkStart w:id="667" w:name="Tc_vl5Yqtp8dEuLCC4Xmhnocw_5_0"/>
      <w:bookmarkStart w:id="668" w:name="Tc_8s6zQWaPnEi48t1VuhKaxA_4_0"/>
      <w:bookmarkStart w:id="669" w:name="Tc_NRmWgUOf80CxeORcgAVdsg_3_5"/>
      <w:bookmarkStart w:id="670" w:name="Tc_AJlKQiiLhU-q10FzPRE4xg_3_2"/>
      <w:bookmarkStart w:id="671" w:name="Tc_HnkLRtdmtka7Osg3wizj6g_3_0"/>
      <w:bookmarkStart w:id="672" w:name="Tc_3mQmjPum4EiaJ38r5wEn9w_2_5"/>
      <w:bookmarkStart w:id="673" w:name="Tc_G1FHtOtleUK40EvqmD9mcg_2_2"/>
      <w:bookmarkStart w:id="674" w:name="Tc_P9IlC-Ns9kyvHA-VpHHjyg_2_0"/>
      <w:bookmarkStart w:id="675" w:name="Tc_VPXBAdXYDUaTNyJULO4kLQ_1_2"/>
      <w:bookmarkStart w:id="676" w:name="_4a7af374_e3ce_4cbb_b2e3_4d1921483d7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tbl>
      <w:tblPr>
        <w:tblW w:w="9641" w:type="dxa"/>
        <w:jc w:val="left"/>
        <w:tblInd w:w="0" w:type="dxa"/>
        <w:tblCellMar>
          <w:top w:w="0" w:type="dxa"/>
          <w:left w:w="0" w:type="dxa"/>
          <w:bottom w:w="0" w:type="dxa"/>
          <w:right w:w="0" w:type="dxa"/>
        </w:tblCellMar>
      </w:tblPr>
      <w:tblGrid>
        <w:gridCol w:w="6481"/>
        <w:gridCol w:w="386"/>
        <w:gridCol w:w="220"/>
        <w:gridCol w:w="942"/>
        <w:gridCol w:w="403"/>
        <w:gridCol w:w="220"/>
        <w:gridCol w:w="989"/>
      </w:tblGrid>
      <w:tr>
        <w:trPr/>
        <w:tc>
          <w:tcPr>
            <w:tcW w:w="6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115435" cy="175260"/>
                      <wp:effectExtent l="0" t="0" r="0" b="0"/>
                      <wp:wrapNone/>
                      <wp:docPr id="62" name="Frame62"/>
                      <a:graphic xmlns:a="http://schemas.openxmlformats.org/drawingml/2006/main">
                        <a:graphicData uri="http://schemas.microsoft.com/office/word/2010/wordprocessingShape">
                          <wps:wsp>
                            <wps:cNvSpPr txBox="1"/>
                            <wps:spPr>
                              <a:xfrm>
                                <a:off x="0" y="0"/>
                                <a:ext cx="4115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5110" cy="175260"/>
                      <wp:effectExtent l="0" t="0" r="0" b="0"/>
                      <wp:wrapNone/>
                      <wp:docPr id="63" name="Frame63"/>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9700" cy="175260"/>
                      <wp:effectExtent l="0" t="0" r="0" b="0"/>
                      <wp:wrapNone/>
                      <wp:docPr id="64" name="Frame64"/>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98170" cy="175260"/>
                      <wp:effectExtent l="0" t="0" r="0" b="0"/>
                      <wp:wrapNone/>
                      <wp:docPr id="65" name="Frame65"/>
                      <a:graphic xmlns:a="http://schemas.openxmlformats.org/drawingml/2006/main">
                        <a:graphicData uri="http://schemas.microsoft.com/office/word/2010/wordprocessingShape">
                          <wps:wsp>
                            <wps:cNvSpPr txBox="1"/>
                            <wps:spPr>
                              <a:xfrm>
                                <a:off x="0" y="0"/>
                                <a:ext cx="598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55905" cy="175260"/>
                      <wp:effectExtent l="0" t="0" r="0" b="0"/>
                      <wp:wrapNone/>
                      <wp:docPr id="66" name="Frame66"/>
                      <a:graphic xmlns:a="http://schemas.openxmlformats.org/drawingml/2006/main">
                        <a:graphicData uri="http://schemas.microsoft.com/office/word/2010/wordprocessingShape">
                          <wps:wsp>
                            <wps:cNvSpPr txBox="1"/>
                            <wps:spPr>
                              <a:xfrm>
                                <a:off x="0" y="0"/>
                                <a:ext cx="255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9700" cy="175260"/>
                      <wp:effectExtent l="0" t="0" r="0" b="0"/>
                      <wp:wrapNone/>
                      <wp:docPr id="67" name="Frame67"/>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28015" cy="175260"/>
                      <wp:effectExtent l="0" t="0" r="0" b="0"/>
                      <wp:wrapNone/>
                      <wp:docPr id="68" name="Frame68"/>
                      <a:graphic xmlns:a="http://schemas.openxmlformats.org/drawingml/2006/main">
                        <a:graphicData uri="http://schemas.microsoft.com/office/word/2010/wordprocessingShape">
                          <wps:wsp>
                            <wps:cNvSpPr txBox="1"/>
                            <wps:spPr>
                              <a:xfrm>
                                <a:off x="0" y="0"/>
                                <a:ext cx="6280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481"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     </w:t>
            </w:r>
          </w:p>
        </w:tc>
        <w:tc>
          <w:tcPr>
            <w:tcW w:w="277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Three Months Ended March 31, </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b/>
                <w:sz w:val="21"/>
              </w:rPr>
            </w:pPr>
            <w:r>
              <w:rPr>
                <w:rFonts w:ascii="Times New Roman;Times;serif" w:hAnsi="Times New Roman;Times;serif"/>
                <w:b/>
                <w:sz w:val="21"/>
              </w:rPr>
              <w:t>CASH FLOWS FROM OPERATING ACTIVITIES</w:t>
            </w:r>
          </w:p>
        </w:tc>
        <w:tc>
          <w:tcPr>
            <w:tcW w:w="386" w:type="dxa"/>
            <w:tcBorders/>
            <w:shd w:fill="auto" w:val="clear"/>
            <w:vAlign w:val="center"/>
          </w:tcPr>
          <w:p>
            <w:pPr>
              <w:pStyle w:val="TableContents"/>
              <w:spacing w:before="0" w:after="1"/>
              <w:ind w:left="0" w:right="0" w:hanging="0"/>
              <w:rPr/>
            </w:pPr>
            <w:r>
              <w:rPr/>
              <w:t>    </w:t>
            </w:r>
          </w:p>
        </w:tc>
        <w:tc>
          <w:tcPr>
            <w:tcW w:w="11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403" w:type="dxa"/>
            <w:tcBorders/>
            <w:shd w:fill="auto" w:val="clear"/>
            <w:vAlign w:val="center"/>
          </w:tcPr>
          <w:p>
            <w:pPr>
              <w:pStyle w:val="TableContents"/>
              <w:spacing w:before="0" w:after="1"/>
              <w:ind w:left="0" w:right="0" w:hanging="0"/>
              <w:rPr/>
            </w:pPr>
            <w:r>
              <w:rPr/>
              <w:t>     </w:t>
            </w:r>
          </w:p>
        </w:tc>
        <w:tc>
          <w:tcPr>
            <w:tcW w:w="12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8,212</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6,870</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i/>
                <w:sz w:val="20"/>
              </w:rPr>
              <w:t>Adjustments to reconcile net income</w:t>
            </w:r>
            <w:r>
              <w:rPr>
                <w:rFonts w:ascii="Times New Roman;Times;serif" w:hAnsi="Times New Roman;Times;serif"/>
                <w:sz w:val="20"/>
              </w:rPr>
              <w:t xml:space="preserve"> </w:t>
            </w:r>
            <w:r>
              <w:rPr>
                <w:rFonts w:ascii="Times New Roman;Times;serif" w:hAnsi="Times New Roman;Times;serif"/>
                <w:i/>
                <w:sz w:val="20"/>
              </w:rPr>
              <w:t>to net cash from operating activities</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pPr>
            <w:r>
              <w:rPr/>
              <w:t>  </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pPr>
            <w:r>
              <w:rPr/>
              <w:t>  </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Provision for credit losses</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2,108</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1,043</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amortization and accretion</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3,358</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4,289</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Compensation expense related to stock options and restricted stock awards</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cash surrender value of BOLI</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Gain on sale of loans held for sale</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(1,476)</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(3,857)</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Origination of loans held for sale</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(73,050)</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(211,575)</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Proceeds from sale of loans held for sale</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78,316</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302,553</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Impairment (recovery) of servicing rights</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Changes in operating assets and liabilities</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pPr>
            <w:r>
              <w:rPr/>
              <w:t>  </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pPr>
            <w:r>
              <w:rPr/>
              <w:t>  </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interest receivable</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assets</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liabilities</w:t>
            </w:r>
          </w:p>
        </w:tc>
        <w:tc>
          <w:tcPr>
            <w:tcW w:w="38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1,700</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from operating activities</w:t>
            </w:r>
          </w:p>
        </w:tc>
        <w:tc>
          <w:tcPr>
            <w:tcW w:w="386"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4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18,471</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97,942</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b/>
                <w:sz w:val="21"/>
              </w:rPr>
            </w:pPr>
            <w:r>
              <w:rPr>
                <w:rFonts w:ascii="Times New Roman;Times;serif" w:hAnsi="Times New Roman;Times;serif"/>
                <w:b/>
                <w:sz w:val="21"/>
              </w:rPr>
              <w:t>CASH FLOWS FROM (USED BY) INVESTING ACTIVITIES</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pPr>
            <w:r>
              <w:rPr/>
              <w:t>  </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pPr>
            <w:r>
              <w:rPr/>
              <w:t>  </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Activity in securities available-for-sale:</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pPr>
            <w:r>
              <w:rPr/>
              <w:t>  </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pPr>
            <w:r>
              <w:rPr/>
              <w:t>  </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Maturities, prepayments, and calls</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2,497</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3,333</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Purchases</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pPr>
            <w:r>
              <w:rPr/>
              <w:t>—</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(16,762)</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Maturities of certificates of deposit at other financial institutions</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pPr>
            <w:r>
              <w:rPr/>
              <w:t>—</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2,365</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Portfolio loan originations and principal collections, net</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(55,269)</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(73,340)</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from acquisitions</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336,157</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w:t>
            </w:r>
          </w:p>
        </w:tc>
        <w:tc>
          <w:tcPr>
            <w:tcW w:w="989" w:type="dxa"/>
            <w:tcBorders/>
            <w:shd w:fill="auto" w:val="clear"/>
            <w:vAlign w:val="center"/>
          </w:tcPr>
          <w:p>
            <w:pPr>
              <w:pStyle w:val="TableContents"/>
              <w:spacing w:before="0" w:after="1"/>
              <w:ind w:left="0" w:right="0" w:hanging="0"/>
              <w:jc w:val="right"/>
              <w:rPr/>
            </w:pPr>
            <w:r>
              <w:rPr/>
              <w:t>—</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of portfolio loans</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(829)</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(2,806)</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of premises and equipment</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(954)</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Proceeds from bank owned life insurance death benefits</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w:t>
            </w:r>
          </w:p>
        </w:tc>
        <w:tc>
          <w:tcPr>
            <w:tcW w:w="942" w:type="dxa"/>
            <w:tcBorders/>
            <w:shd w:fill="CCEEFF" w:val="clear"/>
            <w:vAlign w:val="center"/>
          </w:tcPr>
          <w:p>
            <w:pPr>
              <w:pStyle w:val="TableContents"/>
              <w:spacing w:before="0" w:after="1"/>
              <w:ind w:left="0" w:right="0" w:hanging="0"/>
              <w:jc w:val="right"/>
              <w:rPr/>
            </w:pPr>
            <w:r>
              <w:rPr/>
              <w:t>—</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FHLB stock, net</w:t>
            </w:r>
          </w:p>
        </w:tc>
        <w:tc>
          <w:tcPr>
            <w:tcW w:w="38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6,748</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from (used by) investing activities</w:t>
            </w:r>
          </w:p>
        </w:tc>
        <w:tc>
          <w:tcPr>
            <w:tcW w:w="386"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4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288,350</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(86,839)</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b/>
                <w:sz w:val="21"/>
              </w:rPr>
            </w:pPr>
            <w:r>
              <w:rPr>
                <w:rFonts w:ascii="Times New Roman;Times;serif" w:hAnsi="Times New Roman;Times;serif"/>
                <w:b/>
                <w:sz w:val="21"/>
              </w:rPr>
              <w:t>CASH FLOWS USED BY FINANCING ACTIVITIES</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pPr>
            <w:r>
              <w:rPr/>
              <w:t>  </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pPr>
            <w:r>
              <w:rPr/>
              <w:t>  </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(decrease) increase in deposits</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(109,439)</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4,021</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Proceeds from borrowings</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382,500</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38,000</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Repayments of borrowings</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(561,500)</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(45,000)</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Dividends paid on common stock</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(1,935)</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 </w:t>
            </w:r>
          </w:p>
        </w:tc>
        <w:tc>
          <w:tcPr>
            <w:tcW w:w="9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(1,634)</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Proceeds from stock options exercised, net</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 </w:t>
            </w:r>
          </w:p>
        </w:tc>
        <w:tc>
          <w:tcPr>
            <w:tcW w:w="9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Common stock repurchased for employee taxes paid on restricted stock awards</w:t>
            </w:r>
          </w:p>
        </w:tc>
        <w:tc>
          <w:tcPr>
            <w:tcW w:w="38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9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shd w:fill="auto" w:val="clear"/>
            <w:vAlign w:val="center"/>
          </w:tcPr>
          <w:p>
            <w:pPr>
              <w:pStyle w:val="TableContents"/>
              <w:spacing w:before="0" w:after="1"/>
              <w:ind w:left="0" w:right="0" w:hanging="0"/>
              <w:rPr/>
            </w:pPr>
            <w:r>
              <w:rPr/>
              <w:t>​</w:t>
            </w:r>
          </w:p>
        </w:tc>
        <w:tc>
          <w:tcPr>
            <w:tcW w:w="989" w:type="dxa"/>
            <w:tcBorders/>
            <w:shd w:fill="auto" w:val="clear"/>
            <w:vAlign w:val="center"/>
          </w:tcPr>
          <w:p>
            <w:pPr>
              <w:pStyle w:val="TableContents"/>
              <w:spacing w:before="0" w:after="1"/>
              <w:ind w:left="0" w:right="0" w:hanging="0"/>
              <w:jc w:val="right"/>
              <w:rPr/>
            </w:pPr>
            <w:r>
              <w:rPr/>
              <w:t>—</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common stock - employee stock purchase plan</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w:t>
            </w:r>
          </w:p>
        </w:tc>
        <w:tc>
          <w:tcPr>
            <w:tcW w:w="9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w:t>
            </w:r>
          </w:p>
        </w:tc>
        <w:tc>
          <w:tcPr>
            <w:tcW w:w="989" w:type="dxa"/>
            <w:tcBorders/>
            <w:shd w:fill="CCEEFF" w:val="clear"/>
            <w:vAlign w:val="center"/>
          </w:tcPr>
          <w:p>
            <w:pPr>
              <w:pStyle w:val="TableContents"/>
              <w:spacing w:before="0" w:after="1"/>
              <w:ind w:left="0" w:right="0" w:hanging="0"/>
              <w:jc w:val="right"/>
              <w:rPr/>
            </w:pPr>
            <w:r>
              <w:rPr/>
              <w:t>—</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Common stock repurchased - repurchase plan</w:t>
            </w:r>
          </w:p>
        </w:tc>
        <w:tc>
          <w:tcPr>
            <w:tcW w:w="38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4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(3,445)</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by financing activities</w:t>
            </w:r>
          </w:p>
        </w:tc>
        <w:tc>
          <w:tcPr>
            <w:tcW w:w="386"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4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(290,077)</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(7,988)</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b/>
                <w:sz w:val="21"/>
              </w:rPr>
            </w:pPr>
            <w:r>
              <w:rPr>
                <w:rFonts w:ascii="Times New Roman;Times;serif" w:hAnsi="Times New Roman;Times;serif"/>
                <w:b/>
                <w:sz w:val="21"/>
              </w:rPr>
              <w:t>NET INCREASE IN CASH AND CASH EQUIVALENTS</w:t>
            </w:r>
          </w:p>
        </w:tc>
        <w:tc>
          <w:tcPr>
            <w:tcW w:w="38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16,744</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3,115</w:t>
            </w:r>
          </w:p>
        </w:tc>
      </w:tr>
      <w:tr>
        <w:trPr/>
        <w:tc>
          <w:tcPr>
            <w:tcW w:w="6481" w:type="dxa"/>
            <w:tcBorders/>
            <w:shd w:fill="CCEEFF" w:val="clear"/>
            <w:vAlign w:val="center"/>
          </w:tcPr>
          <w:p>
            <w:pPr>
              <w:pStyle w:val="TableContents"/>
              <w:spacing w:before="0" w:after="1"/>
              <w:ind w:left="0" w:right="0" w:hanging="0"/>
              <w:rPr/>
            </w:pPr>
            <w:r>
              <w:rPr/>
              <w:t>​</w:t>
            </w:r>
          </w:p>
        </w:tc>
        <w:tc>
          <w:tcPr>
            <w:tcW w:w="38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w:t>
            </w:r>
          </w:p>
        </w:tc>
        <w:tc>
          <w:tcPr>
            <w:tcW w:w="942" w:type="dxa"/>
            <w:tcBorders/>
            <w:shd w:fill="CCEEFF" w:val="clear"/>
            <w:vAlign w:val="center"/>
          </w:tcPr>
          <w:p>
            <w:pPr>
              <w:pStyle w:val="TableContents"/>
              <w:spacing w:before="0" w:after="1"/>
              <w:ind w:left="0" w:right="0" w:hanging="0"/>
              <w:jc w:val="right"/>
              <w:rPr/>
            </w:pPr>
            <w:r>
              <w:rPr/>
              <w:t>​</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shd w:fill="CCEEFF" w:val="clear"/>
            <w:vAlign w:val="center"/>
          </w:tcPr>
          <w:p>
            <w:pPr>
              <w:pStyle w:val="TableContents"/>
              <w:spacing w:before="0" w:after="1"/>
              <w:ind w:left="0" w:right="0" w:hanging="0"/>
              <w:rPr/>
            </w:pPr>
            <w:r>
              <w:rPr/>
              <w:t>​</w:t>
            </w:r>
          </w:p>
        </w:tc>
        <w:tc>
          <w:tcPr>
            <w:tcW w:w="989" w:type="dxa"/>
            <w:tcBorders/>
            <w:shd w:fill="CCEEFF" w:val="clear"/>
            <w:vAlign w:val="center"/>
          </w:tcPr>
          <w:p>
            <w:pPr>
              <w:pStyle w:val="TableContents"/>
              <w:spacing w:before="0" w:after="1"/>
              <w:ind w:left="0" w:right="0" w:hanging="0"/>
              <w:jc w:val="right"/>
              <w:rPr/>
            </w:pPr>
            <w:r>
              <w:rPr/>
              <w:t>​</w:t>
            </w:r>
          </w:p>
        </w:tc>
      </w:tr>
      <w:tr>
        <w:trPr/>
        <w:tc>
          <w:tcPr>
            <w:tcW w:w="648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AND CASH EQUIVALENTS, beginning of period</w:t>
            </w:r>
          </w:p>
        </w:tc>
        <w:tc>
          <w:tcPr>
            <w:tcW w:w="38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41,437</w:t>
            </w:r>
          </w:p>
        </w:tc>
        <w:tc>
          <w:tcPr>
            <w:tcW w:w="403" w:type="dxa"/>
            <w:tcBorders/>
            <w:shd w:fill="auto" w:val="clear"/>
            <w:vAlign w:val="center"/>
          </w:tcPr>
          <w:p>
            <w:pPr>
              <w:pStyle w:val="TableContents"/>
              <w:spacing w:before="0" w:after="1"/>
              <w:ind w:left="0" w:right="0" w:hanging="0"/>
              <w:jc w:val="right"/>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26,491</w:t>
            </w:r>
          </w:p>
        </w:tc>
      </w:tr>
      <w:tr>
        <w:trPr/>
        <w:tc>
          <w:tcPr>
            <w:tcW w:w="648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AND CASH EQUIVALENTS, end of period</w:t>
            </w:r>
          </w:p>
        </w:tc>
        <w:tc>
          <w:tcPr>
            <w:tcW w:w="386" w:type="dxa"/>
            <w:tcBorders/>
            <w:shd w:fill="CCEEFF" w:val="clear"/>
            <w:vAlign w:val="center"/>
          </w:tcPr>
          <w:p>
            <w:pPr>
              <w:pStyle w:val="TableContents"/>
              <w:spacing w:before="0" w:after="1"/>
              <w:ind w:left="0" w:right="0" w:hanging="0"/>
              <w:rPr/>
            </w:pPr>
            <w:r>
              <w:rPr/>
              <w:t>​</w:t>
            </w:r>
          </w:p>
        </w:tc>
        <w:tc>
          <w:tcPr>
            <w:tcW w:w="2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58,181</w:t>
            </w:r>
          </w:p>
        </w:tc>
        <w:tc>
          <w:tcPr>
            <w:tcW w:w="403" w:type="dxa"/>
            <w:tcBorders/>
            <w:shd w:fill="CCEEFF" w:val="clear"/>
            <w:vAlign w:val="center"/>
          </w:tcPr>
          <w:p>
            <w:pPr>
              <w:pStyle w:val="TableContents"/>
              <w:spacing w:before="0" w:after="1"/>
              <w:ind w:left="0" w:right="0" w:hanging="0"/>
              <w:jc w:val="right"/>
              <w:rPr/>
            </w:pPr>
            <w:r>
              <w:rPr/>
              <w:t>​</w:t>
            </w:r>
          </w:p>
        </w:tc>
        <w:tc>
          <w:tcPr>
            <w:tcW w:w="2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29,606</w:t>
            </w:r>
          </w:p>
        </w:tc>
      </w:tr>
    </w:tbl>
    <w:p>
      <w:pPr>
        <w:pStyle w:val="TextBody"/>
        <w:spacing w:before="0" w:after="200"/>
        <w:ind w:left="0" w:right="0" w:hanging="0"/>
        <w:jc w:val="both"/>
        <w:rPr/>
      </w:pPr>
      <w:r>
        <w:rPr/>
        <w:t>​</w:t>
      </w:r>
    </w:p>
    <w:p>
      <w:pPr>
        <w:pStyle w:val="TextBody"/>
        <w:spacing w:before="0" w:after="200"/>
        <w:ind w:left="0" w:right="0" w:hanging="0"/>
        <w:jc w:val="center"/>
        <w:rPr/>
      </w:pPr>
      <w:r>
        <w:rPr/>
        <w:t>​</w:t>
      </w:r>
    </w:p>
    <w:p>
      <w:pPr>
        <w:pStyle w:val="TextBody"/>
        <w:spacing w:before="0" w:after="200"/>
        <w:ind w:left="0" w:right="0" w:hanging="0"/>
        <w:jc w:val="center"/>
        <w:rPr/>
      </w:pPr>
      <w:r>
        <w:rPr/>
        <w:t>​</w:t>
      </w:r>
    </w:p>
    <w:p>
      <w:pPr>
        <w:pStyle w:val="TextBody"/>
        <w:spacing w:before="0" w:after="20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FS BANCORP, INC. AND SUBSIDIARY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spacing w:before="0" w:after="240"/>
        <w:ind w:left="0" w:right="0" w:hanging="0"/>
        <w:jc w:val="center"/>
        <w:rPr>
          <w:rFonts w:ascii="Times New Roman;Times;serif" w:hAnsi="Times New Roman;Times;serif"/>
          <w:i/>
          <w:sz w:val="20"/>
        </w:rPr>
      </w:pPr>
      <w:r>
        <w:rPr>
          <w:rFonts w:ascii="Times New Roman;Times;serif" w:hAnsi="Times New Roman;Times;serif"/>
          <w:i/>
          <w:sz w:val="20"/>
        </w:rPr>
        <w:t>(In thousands) (Unaudited)</w:t>
      </w:r>
    </w:p>
    <w:p>
      <w:pPr>
        <w:pStyle w:val="TextBody"/>
        <w:spacing w:before="0" w:after="0"/>
        <w:ind w:left="0" w:right="0" w:hanging="0"/>
        <w:rPr/>
      </w:pPr>
      <w:r>
        <w:rPr/>
        <w:t>​</w:t>
      </w:r>
    </w:p>
    <w:p>
      <w:pPr>
        <w:pStyle w:val="Normal"/>
        <w:spacing w:before="0" w:after="0"/>
        <w:rPr>
          <w:sz w:val="4"/>
          <w:szCs w:val="4"/>
        </w:rPr>
      </w:pPr>
      <w:r>
        <w:rPr>
          <w:sz w:val="4"/>
          <w:szCs w:val="4"/>
        </w:rPr>
      </w:r>
      <w:bookmarkStart w:id="677" w:name="Tc_1n8FaF6iakiy3-Ft9QtVvg_13_6"/>
      <w:bookmarkStart w:id="678" w:name="Tc_Anfzxd5QA0mVekOr-R3Ueg_13_0"/>
      <w:bookmarkStart w:id="679" w:name="Tc_vGGGROnOLkGQLh7TMjQGAQ_12_6"/>
      <w:bookmarkStart w:id="680" w:name="Tc_9NvcwfuZxUeMx0KeWPR8UA_12_0"/>
      <w:bookmarkStart w:id="681" w:name="Tc_YiD3MvLK60OvG6ZJKBesQA_11_0"/>
      <w:bookmarkStart w:id="682" w:name="Tc_EgOYhqImNUKga5wc8RDZTg_10_0"/>
      <w:bookmarkStart w:id="683" w:name="Tc_ycuzKZMFL0qzh12Qlkcg-Q_9_0"/>
      <w:bookmarkStart w:id="684" w:name="Tc_5R5M3WO06E6jejYSB9-LlQ_8_0"/>
      <w:bookmarkStart w:id="685" w:name="Tc_dWvlZN9vV0uh-NVUyOqNkQ_7_5"/>
      <w:bookmarkStart w:id="686" w:name="Tc_iWPesa4P7EaZ5Mwmk35p0w_7_2"/>
      <w:bookmarkStart w:id="687" w:name="Tc_aUuzUk5qJkGEYWKJqqWJCw_7_0"/>
      <w:bookmarkStart w:id="688" w:name="Tc_heW4oRAWc0qY3enbfJUe9g_6_0"/>
      <w:bookmarkStart w:id="689" w:name="Tc_NhyE7ur2pU-kyp8q44mMmw_4_6"/>
      <w:bookmarkStart w:id="690" w:name="Tc_l5cMcloxY0SeUPIa-ghnIA_4_3"/>
      <w:bookmarkStart w:id="691" w:name="Tc_MoyLdL1zyE29a8tp1GFh-w_4_0"/>
      <w:bookmarkStart w:id="692" w:name="Tc_4adISlSENEmwF16_RmODMg_3_5"/>
      <w:bookmarkStart w:id="693" w:name="Tc_7WoF0UqSOEiAfPahLV5DFw_3_2"/>
      <w:bookmarkStart w:id="694" w:name="Tc_KdiHhmiXpUiB35M4gg3D0g_3_0"/>
      <w:bookmarkStart w:id="695" w:name="Tc_ZJYkp1Sk8UWQWv1m7TOCnA_2_0"/>
      <w:bookmarkStart w:id="696" w:name="Tc_3hBdJBzHGkKbIAZB67JzZQ_1_0"/>
      <w:bookmarkStart w:id="697" w:name="_2641a0b3_9afd_4fea_9a01_20a46c675b72"/>
      <w:bookmarkStart w:id="698" w:name="Tc_1n8FaF6iakiy3-Ft9QtVvg_13_6"/>
      <w:bookmarkStart w:id="699" w:name="Tc_Anfzxd5QA0mVekOr-R3Ueg_13_0"/>
      <w:bookmarkStart w:id="700" w:name="Tc_vGGGROnOLkGQLh7TMjQGAQ_12_6"/>
      <w:bookmarkStart w:id="701" w:name="Tc_9NvcwfuZxUeMx0KeWPR8UA_12_0"/>
      <w:bookmarkStart w:id="702" w:name="Tc_YiD3MvLK60OvG6ZJKBesQA_11_0"/>
      <w:bookmarkStart w:id="703" w:name="Tc_EgOYhqImNUKga5wc8RDZTg_10_0"/>
      <w:bookmarkStart w:id="704" w:name="Tc_ycuzKZMFL0qzh12Qlkcg-Q_9_0"/>
      <w:bookmarkStart w:id="705" w:name="Tc_5R5M3WO06E6jejYSB9-LlQ_8_0"/>
      <w:bookmarkStart w:id="706" w:name="Tc_dWvlZN9vV0uh-NVUyOqNkQ_7_5"/>
      <w:bookmarkStart w:id="707" w:name="Tc_iWPesa4P7EaZ5Mwmk35p0w_7_2"/>
      <w:bookmarkStart w:id="708" w:name="Tc_aUuzUk5qJkGEYWKJqqWJCw_7_0"/>
      <w:bookmarkStart w:id="709" w:name="Tc_heW4oRAWc0qY3enbfJUe9g_6_0"/>
      <w:bookmarkStart w:id="710" w:name="Tc_NhyE7ur2pU-kyp8q44mMmw_4_6"/>
      <w:bookmarkStart w:id="711" w:name="Tc_l5cMcloxY0SeUPIa-ghnIA_4_3"/>
      <w:bookmarkStart w:id="712" w:name="Tc_MoyLdL1zyE29a8tp1GFh-w_4_0"/>
      <w:bookmarkStart w:id="713" w:name="Tc_4adISlSENEmwF16_RmODMg_3_5"/>
      <w:bookmarkStart w:id="714" w:name="Tc_7WoF0UqSOEiAfPahLV5DFw_3_2"/>
      <w:bookmarkStart w:id="715" w:name="Tc_KdiHhmiXpUiB35M4gg3D0g_3_0"/>
      <w:bookmarkStart w:id="716" w:name="Tc_ZJYkp1Sk8UWQWv1m7TOCnA_2_0"/>
      <w:bookmarkStart w:id="717" w:name="Tc_3hBdJBzHGkKbIAZB67JzZQ_1_0"/>
      <w:bookmarkStart w:id="718" w:name="_2641a0b3_9afd_4fea_9a01_20a46c675b72"/>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tbl>
      <w:tblPr>
        <w:tblW w:w="10205" w:type="dxa"/>
        <w:jc w:val="left"/>
        <w:tblInd w:w="0" w:type="dxa"/>
        <w:tblCellMar>
          <w:top w:w="0" w:type="dxa"/>
          <w:left w:w="0" w:type="dxa"/>
          <w:bottom w:w="0" w:type="dxa"/>
          <w:right w:w="0" w:type="dxa"/>
        </w:tblCellMar>
      </w:tblPr>
      <w:tblGrid>
        <w:gridCol w:w="7956"/>
        <w:gridCol w:w="109"/>
        <w:gridCol w:w="211"/>
        <w:gridCol w:w="781"/>
        <w:gridCol w:w="109"/>
        <w:gridCol w:w="211"/>
        <w:gridCol w:w="828"/>
      </w:tblGrid>
      <w:tr>
        <w:trPr/>
        <w:tc>
          <w:tcPr>
            <w:tcW w:w="7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052060" cy="175260"/>
                      <wp:effectExtent l="0" t="0" r="0" b="0"/>
                      <wp:wrapNone/>
                      <wp:docPr id="69" name="Frame69"/>
                      <a:graphic xmlns:a="http://schemas.openxmlformats.org/drawingml/2006/main">
                        <a:graphicData uri="http://schemas.microsoft.com/office/word/2010/wordprocessingShape">
                          <wps:wsp>
                            <wps:cNvSpPr txBox="1"/>
                            <wps:spPr>
                              <a:xfrm>
                                <a:off x="0" y="0"/>
                                <a:ext cx="5052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5935" cy="175260"/>
                      <wp:effectExtent l="0" t="0" r="0" b="0"/>
                      <wp:wrapNone/>
                      <wp:docPr id="72" name="Frame7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25780" cy="175260"/>
                      <wp:effectExtent l="0" t="0" r="0" b="0"/>
                      <wp:wrapNone/>
                      <wp:docPr id="75" name="Frame75"/>
                      <a:graphic xmlns:a="http://schemas.openxmlformats.org/drawingml/2006/main">
                        <a:graphicData uri="http://schemas.microsoft.com/office/word/2010/wordprocessingShape">
                          <wps:wsp>
                            <wps:cNvSpPr txBox="1"/>
                            <wps:spPr>
                              <a:xfrm>
                                <a:off x="0" y="0"/>
                                <a:ext cx="525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9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SUPPLEMENTARY DISCLOSURES OF CASH FLOW INFORMATION</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828" w:type="dxa"/>
            <w:tcBorders/>
            <w:shd w:fill="auto" w:val="clear"/>
            <w:vAlign w:val="center"/>
          </w:tcPr>
          <w:p>
            <w:pPr>
              <w:pStyle w:val="TableContents"/>
              <w:spacing w:before="0" w:after="0"/>
              <w:ind w:left="0" w:right="0" w:hanging="0"/>
              <w:jc w:val="right"/>
              <w:rPr/>
            </w:pPr>
            <w:r>
              <w:rPr/>
              <w:t>​</w:t>
            </w:r>
          </w:p>
        </w:tc>
      </w:tr>
      <w:tr>
        <w:trPr/>
        <w:tc>
          <w:tcPr>
            <w:tcW w:w="7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during the period for:</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828" w:type="dxa"/>
            <w:tcBorders/>
            <w:shd w:fill="CCEEFF" w:val="clear"/>
            <w:vAlign w:val="center"/>
          </w:tcPr>
          <w:p>
            <w:pPr>
              <w:pStyle w:val="TableContents"/>
              <w:spacing w:before="0" w:after="0"/>
              <w:ind w:left="0" w:right="0" w:hanging="0"/>
              <w:jc w:val="right"/>
              <w:rPr/>
            </w:pPr>
            <w:r>
              <w:rPr/>
              <w:t>​</w:t>
            </w:r>
          </w:p>
        </w:tc>
      </w:tr>
      <w:tr>
        <w:trPr/>
        <w:tc>
          <w:tcPr>
            <w:tcW w:w="7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on deposits and borrowings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7,064</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r>
      <w:tr>
        <w:trPr/>
        <w:tc>
          <w:tcPr>
            <w:tcW w:w="7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828" w:type="dxa"/>
            <w:tcBorders/>
            <w:shd w:fill="CCEEFF" w:val="clear"/>
            <w:vAlign w:val="center"/>
          </w:tcPr>
          <w:p>
            <w:pPr>
              <w:pStyle w:val="TableContents"/>
              <w:spacing w:before="0" w:after="0"/>
              <w:ind w:left="0" w:right="0" w:hanging="0"/>
              <w:jc w:val="right"/>
              <w:rPr/>
            </w:pPr>
            <w:r>
              <w:rPr/>
              <w:t>—</w:t>
            </w:r>
          </w:p>
        </w:tc>
      </w:tr>
      <w:tr>
        <w:trPr/>
        <w:tc>
          <w:tcPr>
            <w:tcW w:w="79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828" w:type="dxa"/>
            <w:tcBorders/>
            <w:shd w:fill="auto" w:val="clear"/>
            <w:vAlign w:val="center"/>
          </w:tcPr>
          <w:p>
            <w:pPr>
              <w:pStyle w:val="TableContents"/>
              <w:spacing w:before="0" w:after="0"/>
              <w:ind w:left="0" w:right="0" w:hanging="0"/>
              <w:jc w:val="right"/>
              <w:rPr/>
            </w:pPr>
            <w:r>
              <w:rPr/>
              <w:t>​</w:t>
            </w:r>
          </w:p>
        </w:tc>
      </w:tr>
      <w:tr>
        <w:trPr/>
        <w:tc>
          <w:tcPr>
            <w:tcW w:w="7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0"/>
              </w:rPr>
              <w:t>SUPPLEMENTARY DISCLOSURES OF NONCASH</w:t>
            </w:r>
            <w:r>
              <w:rPr>
                <w:rFonts w:ascii="Times New Roman;Times;serif" w:hAnsi="Times New Roman;Times;serif"/>
                <w:sz w:val="20"/>
              </w:rPr>
              <w:t xml:space="preserve"> </w:t>
            </w:r>
            <w:r>
              <w:rPr>
                <w:rFonts w:ascii="Times New Roman;Times;serif" w:hAnsi="Times New Roman;Times;serif"/>
                <w:b/>
                <w:sz w:val="20"/>
              </w:rPr>
              <w:t>OPERATING,</w:t>
            </w:r>
            <w:r>
              <w:rPr>
                <w:rFonts w:ascii="Times New Roman;Times;serif" w:hAnsi="Times New Roman;Times;serif"/>
                <w:sz w:val="20"/>
              </w:rPr>
              <w:t xml:space="preserve"> </w:t>
            </w:r>
            <w:r>
              <w:rPr>
                <w:rFonts w:ascii="Times New Roman;Times;serif" w:hAnsi="Times New Roman;Times;serif"/>
                <w:b/>
                <w:sz w:val="20"/>
              </w:rPr>
              <w:t>INVESTING AND FINANCING ACTIVITIES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828" w:type="dxa"/>
            <w:tcBorders/>
            <w:shd w:fill="CCEEFF" w:val="clear"/>
            <w:vAlign w:val="center"/>
          </w:tcPr>
          <w:p>
            <w:pPr>
              <w:pStyle w:val="TableContents"/>
              <w:spacing w:before="0" w:after="0"/>
              <w:ind w:left="0" w:right="0" w:hanging="0"/>
              <w:jc w:val="right"/>
              <w:rPr/>
            </w:pPr>
            <w:r>
              <w:rPr/>
              <w:t>​</w:t>
            </w:r>
          </w:p>
        </w:tc>
      </w:tr>
      <w:tr>
        <w:trPr/>
        <w:tc>
          <w:tcPr>
            <w:tcW w:w="7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unrealized gain (loss) on available-for-sale investment securities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6,136</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(20,973)</w:t>
            </w:r>
          </w:p>
        </w:tc>
      </w:tr>
      <w:tr>
        <w:trPr/>
        <w:tc>
          <w:tcPr>
            <w:tcW w:w="7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unrealized (loss) gain on fair value and cash flow hedges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(2,424)</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8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2,928</w:t>
            </w:r>
          </w:p>
        </w:tc>
      </w:tr>
      <w:tr>
        <w:trPr/>
        <w:tc>
          <w:tcPr>
            <w:tcW w:w="7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Retention in gross mortgage servicing rights from loan sales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8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7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assets in exchange for lease liabilities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8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r>
      <w:tr>
        <w:trPr/>
        <w:tc>
          <w:tcPr>
            <w:tcW w:w="7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828" w:type="dxa"/>
            <w:tcBorders/>
            <w:shd w:fill="auto" w:val="clear"/>
            <w:vAlign w:val="center"/>
          </w:tcPr>
          <w:p>
            <w:pPr>
              <w:pStyle w:val="TableContents"/>
              <w:spacing w:before="0" w:after="0"/>
              <w:ind w:left="0" w:right="0" w:hanging="0"/>
              <w:jc w:val="right"/>
              <w:rPr/>
            </w:pPr>
            <w:r>
              <w:rPr/>
              <w:t>​</w:t>
            </w:r>
          </w:p>
        </w:tc>
      </w:tr>
      <w:tr>
        <w:trPr/>
        <w:tc>
          <w:tcPr>
            <w:tcW w:w="7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 acquired</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87,512</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828" w:type="dxa"/>
            <w:tcBorders/>
            <w:shd w:fill="CCEEFF" w:val="clear"/>
            <w:vAlign w:val="center"/>
          </w:tcPr>
          <w:p>
            <w:pPr>
              <w:pStyle w:val="TableContents"/>
              <w:spacing w:before="0" w:after="0"/>
              <w:ind w:left="0" w:right="0" w:hanging="0"/>
              <w:jc w:val="right"/>
              <w:rPr/>
            </w:pPr>
            <w:r>
              <w:rPr/>
              <w:t>—</w:t>
            </w:r>
          </w:p>
        </w:tc>
      </w:tr>
      <w:tr>
        <w:trPr/>
        <w:tc>
          <w:tcPr>
            <w:tcW w:w="7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 assumed</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424,949</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828"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bookmarkStart w:id="719" w:name="Cashflowsend"/>
      <w:bookmarkEnd w:id="719"/>
      <w:r>
        <w:rPr>
          <w:rFonts w:ascii="Times New Roman;Times;serif" w:hAnsi="Times New Roman;Times;serif"/>
          <w:i/>
          <w:sz w:val="20"/>
        </w:rPr>
        <w:t>See accompanying notes to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720" w:name="NOTE1BASISOFPRESENTATION_751825"/>
      <w:bookmarkEnd w:id="720"/>
      <w:r>
        <w:rPr>
          <w:rFonts w:ascii="Times New Roman;Times;serif" w:hAnsi="Times New Roman;Times;serif"/>
          <w:b/>
          <w:sz w:val="20"/>
        </w:rPr>
        <w:t xml:space="preserve">FS BANCORP, INC. AND SUBSIDIARY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(Unaudited)</w:t>
      </w:r>
    </w:p>
    <w:p>
      <w:pPr>
        <w:pStyle w:val="TextBody"/>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(Table Dollar Amounts in Thousands, Except Per Share Amounts)</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 – BASIS OF PRESENTATION AND SUMMARY OF SIGNIFICANT ACCOUNTING POLICIES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Nature of Operations </w:t>
      </w:r>
      <w:r>
        <w:rPr>
          <w:rFonts w:ascii="Times New Roman;Times;serif" w:hAnsi="Times New Roman;Times;serif"/>
          <w:sz w:val="20"/>
        </w:rPr>
        <w:t xml:space="preserve">– FS Bancorp, Inc. (the “Company”) was incorporated in September 2011 as the holding company for 1st Security Bank of Washington (the “Bank” or “1st Security Bank”) in connection with the Bank’s conversion from the mutual to stock form of ownership which was completed on July 9, 2012. The Bank is a community-based savings bank with 27 full-service bank branches, </w:t>
      </w: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Bank’s branches located in the communities of Goldendale and White Salmon, Washington and Manzanita, Newport, Ontario, Tillamook, and Waldport, Oregon were acquired from Columbia State Bank on February 24, 2023, and opened as 1st Security Bank branches on February 27, 2023.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Financial Statement Presentation </w:t>
      </w:r>
      <w:r>
        <w:rPr>
          <w:rFonts w:ascii="Times New Roman;Times;serif" w:hAnsi="Times New Roman;Times;serif"/>
          <w:sz w:val="20"/>
        </w:rPr>
        <w:t>– The accompanying unaudited interim consolidated financial statements have been prepared in accordance with accounting principles generally accepted in the United States (“U.S. GAAP”) for interim financial information and in accordance with the instructions to Form 10-Q and Article 10 of Regulation S-X as promulgated by the Securities and Exchange Commission (“SEC”). It is recommended that these unaudited interim consolidated financial statements be read in conjunction with the Company’s Annual Report on Form 10-K with all of the audited financial statements and footnotes required by U.S. GAAP for complete financial statements for the year ended December 31, 2022, as filed with the SEC on March 16, 2023. In the opinion of management, all normal adjustments and recurring accruals considered necessary for a fair presentation of the financial position and results of operations for the periods presented have been included.</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results for the three months ended March 31, 2023 are not necessarily indicative of the results that may be expected for the year ending December 31, 2023, or any other future period. The preparation of financial statements, in conformity with U.S. GAAP, requires management to make estimates and assumptions that affect amounts reported in the financial statements. Actual results could differ from these estimates. Material estimates that are particularly susceptible to significant change relate to the determination of the allowance for credit losses (“ACL”), fair value of financial instruments, the valuation of servicing rights, business combinations, deferred income taxes, and if needed, a deferred tax asset valuation allowance.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Amounts presented in the consolidated financial statements and footnote tables are rounded and presented to the nearest thousands of dollars except per share amounts. If the amounts are above $1.0 million, they are rounded one decimal point, and if they are above $1.0 billion, they are rounded two decimal points.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Principles of Consolidation </w:t>
      </w:r>
      <w:r>
        <w:rPr>
          <w:rFonts w:ascii="Times New Roman;Times;serif" w:hAnsi="Times New Roman;Times;serif"/>
          <w:sz w:val="20"/>
        </w:rPr>
        <w:t>– The consolidated financial statements include the accounts of FS Bancorp and its wholly owned subsidiary, 1st Security Bank. All material intercompany accounts have been eliminated in consolidation.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Segment Reporting </w:t>
      </w:r>
      <w:r>
        <w:rPr>
          <w:rFonts w:ascii="Times New Roman;Times;serif" w:hAnsi="Times New Roman;Times;serif"/>
          <w:sz w:val="20"/>
        </w:rPr>
        <w:t>– The Company operates in two business segments through the Bank: commercial and consumer banking and home lending. The Company’s business segments are determined based on the products and services provided, as well as the nature of the related business activities, and they reflect the manner in which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15 – Business Segments.”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Subsequent Events </w:t>
      </w:r>
      <w:r>
        <w:rPr>
          <w:rFonts w:ascii="Times New Roman;Times;serif" w:hAnsi="Times New Roman;Times;serif"/>
          <w:sz w:val="20"/>
        </w:rPr>
        <w:t>– The Company has evaluated events and transactions subsequent to March 31, 2023, for potential recognition or disclosure.</w:t>
      </w:r>
    </w:p>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2020, the Financial Accounting Standards Board (“FASB”) issued Accounting Standards Update (“ASU”) No. 2020-04, “</w:t>
      </w:r>
      <w:r>
        <w:rPr>
          <w:rFonts w:ascii="Times New Roman;Times;serif" w:hAnsi="Times New Roman;Times;serif"/>
          <w:i/>
          <w:sz w:val="20"/>
        </w:rPr>
        <w:t>Reference Rate Reform” (“Topic 848”)</w:t>
      </w:r>
      <w:r>
        <w:rPr>
          <w:rFonts w:ascii="Times New Roman;Times;serif" w:hAnsi="Times New Roman;Times;serif"/>
          <w:sz w:val="20"/>
        </w:rPr>
        <w:t xml:space="preserve">. This ASU provides optional guidance for a limited period of time to ease the potential burden in accounting for (or recognizing the effects of) reference rate reform on financial reporting. The amendments in this ASU apply to modifications to agreements (e.g., loans, debt securities, derivatives, borrowings) that replace a reference rate affected by reference rate reform (including rates referenced in fallback provisions) and contemporaneous modifications of other contract terms related to the replacement of the reference rate (including contract modifications to add or change fallback provisions). The following optional expedients for applying the requirements of certain Topics or Industry Subtopics in the Codification are permitted for contracts that are modified because of reference rate reform and that meet certain scope guidance: 1) Modifications of contracts within the scope of Topics 310, Receivables, and 470, Debt, should be accounted for by prospectively adjusting the effective interest rate; 2) Modifications of contracts within the scope of Topics 840, Leases, and 842, Leases, should be accounted for as a continuation of the existing contracts with no reassessments of the lease classification and the discount rate (for example, the incremental borrowing rate) or remeasurements of lease payments that otherwise would be required under those Topics for modifications not accounted for as separate contracts; and 3) Modifications of contracts do not require an entity to reassess its original conclusion about whether that contract contains an embedded derivative that is clearly and closely related to the economic characteristics and risks of the host contract under Subtopic 815–15, Derivatives and Hedging –  Embedded Derivatives. In January 2021, ASU 2021–01 updated amendments in the new ASU to clarify that certain optional expedients and exceptions in Topic 848 for contract modifications and hedge accounting apply to derivative instruments that use an interest rate for margining, discounting, or contract price alignment that is modified as a result of reference rate reform. Amendments in this ASU  and the expedients and exceptions in Topic 848 capture the incremental consequences of the scope clarification and tailor the existing guidance to derivative instruments affected by the discounting transition. An entity may elect to apply the amendments in this ASU on a full retrospective basis as of any date from the effective dates.  The amendments in this ASU have differing effective dates, beginning with an interim period including and subsequent to March 12, 2020 through December 31, 2022, deferred now until December 31, 2024. The Company does not expect the adoption of ASU 2020–04 to have a material impact on its consolidated financial statements.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Application of New Accounting Guidance Adopted in 2023</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1, 2023, the Company adopted  ASU No. 2022-02, </w:t>
      </w:r>
      <w:r>
        <w:rPr>
          <w:rFonts w:ascii="Times New Roman;Times;serif" w:hAnsi="Times New Roman;Times;serif"/>
          <w:i/>
          <w:sz w:val="20"/>
        </w:rPr>
        <w:t>Financial Instruments – Credit Losses (Topic 326)</w:t>
      </w:r>
      <w:r>
        <w:rPr>
          <w:rFonts w:ascii="Times New Roman;Times;serif" w:hAnsi="Times New Roman;Times;serif"/>
          <w:sz w:val="20"/>
        </w:rPr>
        <w:t>: Troubled Debt Restructurings and Vintage Disclosures. This ASU eliminates the accounting guidance for troubled debt restructurings (“TDRs”) for creditors, requires new disclosures for creditors for certain loan refinancings and restructurings when a borrower is experiencing financial difficulty, and requires public business entities to include current-period gross write-offs in the vintage disclosure tables. The amendments in this ASU are effective for fiscal years beginning after December 15, 2022, including interim periods within those fiscal years. The adoption of ASU 2022–02 did not have a material impact on the Company’s consolidated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NOTE 2 </w:t>
      </w:r>
      <w:r>
        <w:rPr>
          <w:rFonts w:ascii="Times New Roman;Times;serif" w:hAnsi="Times New Roman;Times;serif"/>
          <w:sz w:val="20"/>
        </w:rPr>
        <w:t xml:space="preserve">– </w:t>
      </w:r>
      <w:r>
        <w:rPr>
          <w:rFonts w:ascii="Times New Roman;Times;serif" w:hAnsi="Times New Roman;Times;serif"/>
          <w:b/>
          <w:sz w:val="20"/>
        </w:rPr>
        <w:t>BUSINESS COMBINATION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February 24, 2023, the Company’s wholly-owned subsidiary, 1st Security Bank, completed the purchase of seven branches (“Branch Purchase”) from Columbia State Bank to expand its franchise in Washington and Oregon.  The Branch Purchase included seven retail bank branches located in the communities of Goldendale and White Salmon, Washington and Manzanita, Newport, Ontario, Tillamook, and Waldport, Oregon. In accordance with the Purchase and Assumption Agreement, dated as of November 7, 2022, between Columbia State Bank and 1st Security Bank, the Bank acquired $425.5 million of deposits, a portfolio of performing loans, six owned bank branches, one lease associated with the bank branches and certain other assets of the branches.  In consideration of the purchased assets and transferred liabilities, 1st Security Bank paid (a) the unpaid principal balance and accrued interest of $66.6 million for the loans acquired, (b) the fair value, or approximately $6.3 million, for the bank facilities and certain other assets associated with the acquired branches, and (c) a deposit premium of 4.15% for core deposits and 2.5% for public funds on substantially all of the deposits assumed, which equated to approximately $16.4 million.  The transaction was settled with Columbia State Bank paying cash of $334.7 million to 1st Security Bank for the difference between the total assets purchased and the total liabilities assumed.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bookmarkStart w:id="721" w:name="Tc_tjw34i2zcU2ywjGQNkUDcw_19_8"/>
      <w:bookmarkStart w:id="722" w:name="Tc_gz6CMvtF20e2xEs0A6KBpQ_19_5"/>
      <w:bookmarkStart w:id="723" w:name="Tc_Pk0gvreyKEyyRxgHNJDcsQ_19_2"/>
      <w:bookmarkStart w:id="724" w:name="Tc_BYiB-0O97Uimqmiz4o7bWw_19_0"/>
      <w:bookmarkStart w:id="725" w:name="Tc_AB3ltiJxAUi0OhrsLjd6vA_18_6"/>
      <w:bookmarkStart w:id="726" w:name="Tc_zz4BGeVlS06xje-Hh1rftw_18_0"/>
      <w:bookmarkStart w:id="727" w:name="Tc_tUGbROjIPESWQSw0N_6-GA_17_6"/>
      <w:bookmarkStart w:id="728" w:name="Tc_gtUQlPXG10usVJqNVJoeCw_17_0"/>
      <w:bookmarkStart w:id="729" w:name="Tc_xo8JK9eY4Ua_YaK3Vl0LSA_16_0"/>
      <w:bookmarkStart w:id="730" w:name="Tc_rbuk3nUc4kagsyFqd9JtpA_15_7"/>
      <w:bookmarkStart w:id="731" w:name="Tc__jS3s3UsOEaB-cX4p_Sjng_15_0"/>
      <w:bookmarkStart w:id="732" w:name="Tc_chdHLv9nUUeadm9iAHdA4Q_14_8"/>
      <w:bookmarkStart w:id="733" w:name="Tc_0weHFAHuOkG0Zvp9Qz3eNw_14_6"/>
      <w:bookmarkStart w:id="734" w:name="Tc_o0lgll48RUWTiR8v97VIOA_14_5"/>
      <w:bookmarkStart w:id="735" w:name="Tc_3mndszU_TEqJlt5V8B6skw_14_2"/>
      <w:bookmarkStart w:id="736" w:name="Tc_0JpZzrQYAkW1ljglgDvKbA_14_0"/>
      <w:bookmarkStart w:id="737" w:name="Tc_ESo5MRCHeU2cKjDt6n5f8Q_13_0"/>
      <w:bookmarkStart w:id="738" w:name="Tc_NuE_oV9z7kyhRy2L4Q5b7Q_12_0"/>
      <w:bookmarkStart w:id="739" w:name="Tc_dZUd4nh2cEGHjJiQWiiXiQ_11_8"/>
      <w:bookmarkStart w:id="740" w:name="Tc_qTQ4_7PpVUGPxW5cH32kMA_11_5"/>
      <w:bookmarkStart w:id="741" w:name="Tc_TJNdZCoXZkK1jtvsJ-Hx7w_11_2"/>
      <w:bookmarkStart w:id="742" w:name="Tc_RbHqpyxXu0yeFKTTm05CDQ_11_0"/>
      <w:bookmarkStart w:id="743" w:name="Tc_mNwjSEKDnkCzLfAJXHYJIg_10_6"/>
      <w:bookmarkStart w:id="744" w:name="Tc_UWaHAAq_j0qayF-TsZqUog_10_0"/>
      <w:bookmarkStart w:id="745" w:name="Tc_FW2hSH5S10KSFoaELeuTGw_9_7"/>
      <w:bookmarkStart w:id="746" w:name="Tc_Fw1i2I2Oske9CZgY1OOZ_Q_9_3"/>
      <w:bookmarkStart w:id="747" w:name="Tc_hMzVm1YrZ0q4Wp2N7XgUmQ_9_0"/>
      <w:bookmarkStart w:id="748" w:name="Tc_yaroX6w7RUWri6bKr-qK1w_8_7"/>
      <w:bookmarkStart w:id="749" w:name="Tc_-5NbKQsNU0WjQTzLwZncQA_8_3"/>
      <w:bookmarkStart w:id="750" w:name="Tc_FCO6jp-0SUe7xsRQED9RNA_8_0"/>
      <w:bookmarkStart w:id="751" w:name="Tc_b7McHKXhmUGVdYM_k9IMrA_7_6"/>
      <w:bookmarkStart w:id="752" w:name="Tc_z3LxKsVEnka_UYLMJzR7Dw_7_0"/>
      <w:bookmarkStart w:id="753" w:name="Tc_hkBAfAIRKk-b6hrvxCP-0A_6_6"/>
      <w:bookmarkStart w:id="754" w:name="Tc_hQu_HduA_ES5Lk4d_91hhA_6_0"/>
      <w:bookmarkStart w:id="755" w:name="Tc_sHt0yZdYJUCZy-LQU9qMig_5_7"/>
      <w:bookmarkStart w:id="756" w:name="Tc_xKr1LOEH4ESCNcxkSWbWCg_5_0"/>
      <w:bookmarkStart w:id="757" w:name="Tc_cxrwLh-nYUGI-YFidJzuHQ_4_8"/>
      <w:bookmarkStart w:id="758" w:name="Tc_B7KaaBsiJUqDIDRXXuJfrg_4_6"/>
      <w:bookmarkStart w:id="759" w:name="Tc_gSEtbjuVQEKUv_G-E7RN0A_4_5"/>
      <w:bookmarkStart w:id="760" w:name="Tc_gczgopArnUqT4q60pMknVA_4_2"/>
      <w:bookmarkStart w:id="761" w:name="Tc_66uxl9q46UmorDcy3WjJMg_4_0"/>
      <w:bookmarkStart w:id="762" w:name="Tc_fkVpDoFokUiNer04D-RLVA_3_0"/>
      <w:bookmarkStart w:id="763" w:name="Tc_XgWWQRv0AEq6xDWGV0kgvQ_2_8"/>
      <w:bookmarkStart w:id="764" w:name="Tc_8ZlGmGk6606uLXk7PaIK-A_2_5"/>
      <w:bookmarkStart w:id="765" w:name="Tc_e1Non66zJUK1NP_Oiyh21w_2_2"/>
      <w:bookmarkStart w:id="766" w:name="Tc_cXnEQXnuP0iQ6CrDr6LXTQ_2_0"/>
      <w:bookmarkStart w:id="767" w:name="Tc_O3VMOMKY1UeCanCXoPKTJQ_1_8"/>
      <w:bookmarkStart w:id="768" w:name="Tc_l5zwO1MZDkCuQlEEosqLEw_1_5"/>
      <w:bookmarkStart w:id="769" w:name="Tc_2lTSFGJCB0CLxqH6rb31UQ_1_2"/>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Branch Purchase was accounted for under the acquisition method of accounting and accordingly, the assets and liabilities were recorded at fair values on February 24, 2023, the date of acquisition.  Determining the fair value of assets and liabilities is a complicated process involving significant judgement regarding methods and assumptions used to calculate estimated fair values.  Fair values are preliminary and subject to refinement for up to one year after the closing date of the acquisition as information relative to closing date fair values become available.  Due to the timing of the data conversion and the integration of operations of the branches onto the Company’s existing operations, historical reporting of the acquired branches is impracticable, and therefore, disclosure of the amounts of revenue and expenses attributable to the acquired branches since the acquisition date are not available.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estimated fair values of assets acquired and liabilities assumed at the date of acquisition:</w:t>
      </w:r>
    </w:p>
    <w:p>
      <w:pPr>
        <w:pStyle w:val="TextBody"/>
        <w:spacing w:before="0" w:after="0"/>
        <w:ind w:left="0" w:right="0" w:hanging="0"/>
        <w:jc w:val="both"/>
        <w:rPr/>
      </w:pPr>
      <w:r>
        <w:rPr/>
        <w:t>​</w:t>
      </w:r>
    </w:p>
    <w:tbl>
      <w:tblPr>
        <w:tblW w:w="7238" w:type="dxa"/>
        <w:jc w:val="left"/>
        <w:tblInd w:w="0" w:type="dxa"/>
        <w:tblCellMar>
          <w:top w:w="0" w:type="dxa"/>
          <w:left w:w="0" w:type="dxa"/>
          <w:bottom w:w="0" w:type="dxa"/>
          <w:right w:w="0" w:type="dxa"/>
        </w:tblCellMar>
      </w:tblPr>
      <w:tblGrid>
        <w:gridCol w:w="2686"/>
        <w:gridCol w:w="326"/>
        <w:gridCol w:w="287"/>
        <w:gridCol w:w="1064"/>
        <w:gridCol w:w="326"/>
        <w:gridCol w:w="267"/>
        <w:gridCol w:w="859"/>
        <w:gridCol w:w="326"/>
        <w:gridCol w:w="211"/>
        <w:gridCol w:w="886"/>
      </w:tblGrid>
      <w:tr>
        <w:trPr/>
        <w:tc>
          <w:tcPr>
            <w:tcW w:w="2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05610" cy="175260"/>
                      <wp:effectExtent l="0" t="0" r="0" b="0"/>
                      <wp:wrapNone/>
                      <wp:docPr id="76" name="Frame76"/>
                      <a:graphic xmlns:a="http://schemas.openxmlformats.org/drawingml/2006/main">
                        <a:graphicData uri="http://schemas.microsoft.com/office/word/2010/wordprocessingShape">
                          <wps:wsp>
                            <wps:cNvSpPr txBox="1"/>
                            <wps:spPr>
                              <a:xfrm>
                                <a:off x="0" y="0"/>
                                <a:ext cx="170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2245" cy="175260"/>
                      <wp:effectExtent l="0" t="0" r="0" b="0"/>
                      <wp:wrapNone/>
                      <wp:docPr id="78" name="Frame78"/>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75640" cy="175260"/>
                      <wp:effectExtent l="0" t="0" r="0" b="0"/>
                      <wp:wrapNone/>
                      <wp:docPr id="79" name="Frame79"/>
                      <a:graphic xmlns:a="http://schemas.openxmlformats.org/drawingml/2006/main">
                        <a:graphicData uri="http://schemas.microsoft.com/office/word/2010/wordprocessingShape">
                          <wps:wsp>
                            <wps:cNvSpPr txBox="1"/>
                            <wps:spPr>
                              <a:xfrm>
                                <a:off x="0" y="0"/>
                                <a:ext cx="675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69545" cy="175260"/>
                      <wp:effectExtent l="0" t="0" r="0" b="0"/>
                      <wp:wrapNone/>
                      <wp:docPr id="81" name="Frame81"/>
                      <a:graphic xmlns:a="http://schemas.openxmlformats.org/drawingml/2006/main">
                        <a:graphicData uri="http://schemas.microsoft.com/office/word/2010/wordprocessingShape">
                          <wps:wsp>
                            <wps:cNvSpPr txBox="1"/>
                            <wps:spPr>
                              <a:xfrm>
                                <a:off x="0" y="0"/>
                                <a:ext cx="169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45465" cy="175260"/>
                      <wp:effectExtent l="0" t="0" r="0" b="0"/>
                      <wp:wrapNone/>
                      <wp:docPr id="82" name="Frame82"/>
                      <a:graphic xmlns:a="http://schemas.openxmlformats.org/drawingml/2006/main">
                        <a:graphicData uri="http://schemas.microsoft.com/office/word/2010/wordprocessingShape">
                          <wps:wsp>
                            <wps:cNvSpPr txBox="1"/>
                            <wps:spPr>
                              <a:xfrm>
                                <a:off x="0" y="0"/>
                                <a:ext cx="545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2610" cy="175260"/>
                      <wp:effectExtent l="0" t="0" r="0" b="0"/>
                      <wp:wrapNone/>
                      <wp:docPr id="85" name="Frame8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Acquired Book</w:t>
            </w:r>
          </w:p>
        </w:tc>
        <w:tc>
          <w:tcPr>
            <w:tcW w:w="326" w:type="dxa"/>
            <w:tcBorders/>
            <w:shd w:fill="auto" w:val="clear"/>
            <w:vAlign w:val="center"/>
          </w:tcPr>
          <w:p>
            <w:pPr>
              <w:pStyle w:val="TableContents"/>
              <w:spacing w:before="0" w:after="0"/>
              <w:ind w:left="0" w:right="0" w:hanging="0"/>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shd w:fill="auto" w:val="clear"/>
            <w:vAlign w:val="center"/>
          </w:tcPr>
          <w:p>
            <w:pPr>
              <w:pStyle w:val="TableContents"/>
              <w:spacing w:before="0" w:after="0"/>
              <w:ind w:left="0" w:right="0" w:hanging="0"/>
              <w:rPr/>
            </w:pPr>
            <w:r>
              <w:rPr/>
              <w:t>    </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r>
      <w:tr>
        <w:trPr/>
        <w:tc>
          <w:tcPr>
            <w:tcW w:w="26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February 24, 2023</w:t>
            </w:r>
          </w:p>
        </w:tc>
        <w:tc>
          <w:tcPr>
            <w:tcW w:w="326" w:type="dxa"/>
            <w:tcBorders/>
            <w:shd w:fill="auto" w:val="clear"/>
            <w:vAlign w:val="center"/>
          </w:tcPr>
          <w:p>
            <w:pPr>
              <w:pStyle w:val="TableContents"/>
              <w:spacing w:before="0" w:after="0"/>
              <w:ind w:left="0" w:right="0" w:hanging="0"/>
              <w:rPr/>
            </w:pPr>
            <w:r>
              <w:rPr/>
              <w:t>    </w:t>
            </w:r>
          </w:p>
        </w:tc>
        <w:tc>
          <w:tcPr>
            <w:tcW w:w="13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Adjustments</w:t>
            </w:r>
          </w:p>
        </w:tc>
        <w:tc>
          <w:tcPr>
            <w:tcW w:w="326" w:type="dxa"/>
            <w:tcBorders/>
            <w:shd w:fill="auto" w:val="clear"/>
            <w:vAlign w:val="center"/>
          </w:tcPr>
          <w:p>
            <w:pPr>
              <w:pStyle w:val="TableContents"/>
              <w:spacing w:before="0" w:after="0"/>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Recorded</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auto" w:val="clear"/>
            <w:vAlign w:val="center"/>
          </w:tcPr>
          <w:p>
            <w:pPr>
              <w:pStyle w:val="TableContents"/>
              <w:spacing w:before="0" w:after="0"/>
              <w:ind w:left="0" w:right="0" w:hanging="0"/>
              <w:rPr/>
            </w:pPr>
            <w:r>
              <w:rPr/>
              <w:t> </w:t>
            </w:r>
          </w:p>
        </w:tc>
        <w:tc>
          <w:tcPr>
            <w:tcW w:w="287" w:type="dxa"/>
            <w:tcBorders/>
            <w:shd w:fill="auto" w:val="clear"/>
            <w:vAlign w:val="center"/>
          </w:tcPr>
          <w:p>
            <w:pPr>
              <w:pStyle w:val="TableContents"/>
              <w:spacing w:before="0" w:after="0"/>
              <w:ind w:left="0" w:right="0" w:hanging="0"/>
              <w:rPr/>
            </w:pPr>
            <w:r>
              <w:rPr/>
              <w:t>​</w:t>
            </w:r>
          </w:p>
        </w:tc>
        <w:tc>
          <w:tcPr>
            <w:tcW w:w="1064"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67" w:type="dxa"/>
            <w:tcBorders/>
            <w:shd w:fill="auto" w:val="clear"/>
            <w:vAlign w:val="center"/>
          </w:tcPr>
          <w:p>
            <w:pPr>
              <w:pStyle w:val="TableContents"/>
              <w:spacing w:before="0" w:after="0"/>
              <w:ind w:left="0" w:right="0" w:hanging="0"/>
              <w:rPr/>
            </w:pPr>
            <w:r>
              <w:rPr/>
              <w:t>​</w:t>
            </w:r>
          </w:p>
        </w:tc>
        <w:tc>
          <w:tcPr>
            <w:tcW w:w="859"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  </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336,157</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336,157</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Loans receivable</w:t>
            </w:r>
          </w:p>
        </w:tc>
        <w:tc>
          <w:tcPr>
            <w:tcW w:w="326" w:type="dxa"/>
            <w:tcBorders/>
            <w:shd w:fill="auto" w:val="clear"/>
            <w:vAlign w:val="center"/>
          </w:tcPr>
          <w:p>
            <w:pPr>
              <w:pStyle w:val="TableContents"/>
              <w:spacing w:before="0" w:after="0"/>
              <w:ind w:left="0" w:right="0" w:hanging="0"/>
              <w:rPr/>
            </w:pPr>
            <w:r>
              <w:rPr/>
              <w:t>​</w:t>
            </w:r>
          </w:p>
        </w:tc>
        <w:tc>
          <w:tcPr>
            <w:tcW w:w="287" w:type="dxa"/>
            <w:tcBorders/>
            <w:shd w:fill="auto" w:val="clear"/>
            <w:vAlign w:val="center"/>
          </w:tcPr>
          <w:p>
            <w:pPr>
              <w:pStyle w:val="TableContents"/>
              <w:spacing w:before="0" w:after="0"/>
              <w:ind w:left="0" w:right="0" w:hanging="0"/>
              <w:rPr/>
            </w:pPr>
            <w:r>
              <w:rPr/>
              <w:t> </w:t>
            </w:r>
          </w:p>
        </w:tc>
        <w:tc>
          <w:tcPr>
            <w:tcW w:w="10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66,093</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 </w:t>
            </w:r>
          </w:p>
        </w:tc>
        <w:tc>
          <w:tcPr>
            <w:tcW w:w="8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(2,902)</w:t>
            </w:r>
          </w:p>
        </w:tc>
        <w:tc>
          <w:tcPr>
            <w:tcW w:w="326" w:type="dxa"/>
            <w:tcBorders/>
            <w:shd w:fill="auto" w:val="clear"/>
            <w:vAlign w:val="center"/>
          </w:tcPr>
          <w:p>
            <w:pPr>
              <w:pStyle w:val="TableContents"/>
              <w:spacing w:lineRule="auto" w:line="240" w:before="0" w:after="0"/>
              <w:ind w:left="0" w:right="0" w:hanging="0"/>
              <w:rPr>
                <w:rFonts w:ascii="Times New Roman;Times;serif" w:hAnsi="Times New Roman;Times;serif"/>
                <w:sz w:val="15"/>
              </w:rPr>
            </w:pPr>
            <w:r>
              <w:rPr>
                <w:rFonts w:ascii="Times New Roman;Times;serif" w:hAnsi="Times New Roman;Times;serif"/>
                <w:sz w:val="15"/>
              </w:rPr>
              <w:t>(1)</w:t>
            </w:r>
          </w:p>
        </w:tc>
        <w:tc>
          <w:tcPr>
            <w:tcW w:w="211"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63,191</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Premises and equipment</w:t>
            </w:r>
          </w:p>
        </w:tc>
        <w:tc>
          <w:tcPr>
            <w:tcW w:w="326" w:type="dxa"/>
            <w:tcBorders/>
            <w:shd w:fill="CCEEFF" w:val="clear"/>
            <w:vAlign w:val="center"/>
          </w:tcPr>
          <w:p>
            <w:pPr>
              <w:pStyle w:val="TableContents"/>
              <w:spacing w:before="0" w:after="0"/>
              <w:ind w:left="0" w:right="0" w:hanging="0"/>
              <w:rPr/>
            </w:pPr>
            <w:r>
              <w:rPr/>
              <w:t>​</w:t>
            </w:r>
          </w:p>
        </w:tc>
        <w:tc>
          <w:tcPr>
            <w:tcW w:w="287" w:type="dxa"/>
            <w:tcBorders/>
            <w:shd w:fill="CCEEFF" w:val="clear"/>
            <w:vAlign w:val="center"/>
          </w:tcPr>
          <w:p>
            <w:pPr>
              <w:pStyle w:val="TableContents"/>
              <w:spacing w:before="0" w:after="0"/>
              <w:ind w:left="0" w:right="0" w:hanging="0"/>
              <w:rPr/>
            </w:pPr>
            <w:r>
              <w:rPr/>
              <w:t> </w:t>
            </w:r>
          </w:p>
        </w:tc>
        <w:tc>
          <w:tcPr>
            <w:tcW w:w="10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6,342</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 </w:t>
            </w:r>
          </w:p>
        </w:tc>
        <w:tc>
          <w:tcPr>
            <w:tcW w:w="85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6,342</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interest receivable</w:t>
            </w:r>
          </w:p>
        </w:tc>
        <w:tc>
          <w:tcPr>
            <w:tcW w:w="326" w:type="dxa"/>
            <w:tcBorders/>
            <w:shd w:fill="auto" w:val="clear"/>
            <w:vAlign w:val="center"/>
          </w:tcPr>
          <w:p>
            <w:pPr>
              <w:pStyle w:val="TableContents"/>
              <w:spacing w:before="0" w:after="0"/>
              <w:ind w:left="0" w:right="0" w:hanging="0"/>
              <w:rPr/>
            </w:pPr>
            <w:r>
              <w:rPr/>
              <w:t>​</w:t>
            </w:r>
          </w:p>
        </w:tc>
        <w:tc>
          <w:tcPr>
            <w:tcW w:w="287" w:type="dxa"/>
            <w:tcBorders/>
            <w:shd w:fill="auto" w:val="clear"/>
            <w:vAlign w:val="center"/>
          </w:tcPr>
          <w:p>
            <w:pPr>
              <w:pStyle w:val="TableContents"/>
              <w:spacing w:before="0" w:after="0"/>
              <w:ind w:left="0" w:right="0" w:hanging="0"/>
              <w:rPr/>
            </w:pPr>
            <w:r>
              <w:rPr/>
              <w:t> </w:t>
            </w:r>
          </w:p>
        </w:tc>
        <w:tc>
          <w:tcPr>
            <w:tcW w:w="10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 </w:t>
            </w:r>
          </w:p>
        </w:tc>
        <w:tc>
          <w:tcPr>
            <w:tcW w:w="85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Core deposit intangible ("CDI")</w:t>
            </w:r>
          </w:p>
        </w:tc>
        <w:tc>
          <w:tcPr>
            <w:tcW w:w="326" w:type="dxa"/>
            <w:tcBorders/>
            <w:shd w:fill="CCEEFF" w:val="clear"/>
            <w:vAlign w:val="center"/>
          </w:tcPr>
          <w:p>
            <w:pPr>
              <w:pStyle w:val="TableContents"/>
              <w:spacing w:before="0" w:after="0"/>
              <w:ind w:left="0" w:right="0" w:hanging="0"/>
              <w:rPr/>
            </w:pPr>
            <w:r>
              <w:rPr/>
              <w:t>​</w:t>
            </w:r>
          </w:p>
        </w:tc>
        <w:tc>
          <w:tcPr>
            <w:tcW w:w="287" w:type="dxa"/>
            <w:tcBorders/>
            <w:shd w:fill="CCEEFF" w:val="clear"/>
            <w:vAlign w:val="center"/>
          </w:tcPr>
          <w:p>
            <w:pPr>
              <w:pStyle w:val="TableContents"/>
              <w:spacing w:before="0" w:after="0"/>
              <w:ind w:left="0" w:right="0" w:hanging="0"/>
              <w:rPr/>
            </w:pPr>
            <w:r>
              <w:rPr/>
              <w:t> </w:t>
            </w:r>
          </w:p>
        </w:tc>
        <w:tc>
          <w:tcPr>
            <w:tcW w:w="106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 </w:t>
            </w:r>
          </w:p>
        </w:tc>
        <w:tc>
          <w:tcPr>
            <w:tcW w:w="8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17,438</w:t>
            </w:r>
          </w:p>
        </w:tc>
        <w:tc>
          <w:tcPr>
            <w:tcW w:w="326" w:type="dxa"/>
            <w:tcBorders/>
            <w:shd w:fill="CCEEFF" w:val="clear"/>
            <w:vAlign w:val="center"/>
          </w:tcPr>
          <w:p>
            <w:pPr>
              <w:pStyle w:val="TableContents"/>
              <w:spacing w:lineRule="auto" w:line="240" w:before="0" w:after="0"/>
              <w:ind w:left="0" w:right="0" w:hanging="0"/>
              <w:rPr>
                <w:rFonts w:ascii="Times New Roman;Times;serif" w:hAnsi="Times New Roman;Times;serif"/>
                <w:sz w:val="15"/>
              </w:rPr>
            </w:pPr>
            <w:r>
              <w:rPr>
                <w:rFonts w:ascii="Times New Roman;Times;serif" w:hAnsi="Times New Roman;Times;serif"/>
                <w:sz w:val="15"/>
              </w:rPr>
              <w:t>(2)</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17,438</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0"/>
              <w:ind w:left="0" w:right="0" w:hanging="0"/>
              <w:rPr/>
            </w:pPr>
            <w:r>
              <w:rPr/>
              <w:t>​</w:t>
            </w:r>
          </w:p>
        </w:tc>
        <w:tc>
          <w:tcPr>
            <w:tcW w:w="287" w:type="dxa"/>
            <w:tcBorders/>
            <w:shd w:fill="auto" w:val="clear"/>
            <w:vAlign w:val="center"/>
          </w:tcPr>
          <w:p>
            <w:pPr>
              <w:pStyle w:val="TableContents"/>
              <w:spacing w:before="0" w:after="0"/>
              <w:ind w:left="0" w:right="0" w:hanging="0"/>
              <w:rPr/>
            </w:pPr>
            <w:r>
              <w:rPr/>
              <w:t>​</w:t>
            </w:r>
          </w:p>
        </w:tc>
        <w:tc>
          <w:tcPr>
            <w:tcW w:w="106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8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326" w:type="dxa"/>
            <w:tcBorders/>
            <w:shd w:fill="auto" w:val="clear"/>
            <w:vAlign w:val="center"/>
          </w:tcPr>
          <w:p>
            <w:pPr>
              <w:pStyle w:val="TableContents"/>
              <w:spacing w:lineRule="auto" w:line="240" w:before="0" w:after="0"/>
              <w:ind w:left="0" w:right="0" w:hanging="0"/>
              <w:rPr>
                <w:rFonts w:ascii="Times New Roman;Times;serif" w:hAnsi="Times New Roman;Times;serif"/>
                <w:sz w:val="15"/>
              </w:rPr>
            </w:pPr>
            <w:r>
              <w:rPr>
                <w:rFonts w:ascii="Times New Roman;Times;serif" w:hAnsi="Times New Roman;Times;serif"/>
                <w:sz w:val="15"/>
              </w:rPr>
              <w:t>(3)</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0"/>
              <w:ind w:left="0" w:right="0" w:hanging="0"/>
              <w:rPr/>
            </w:pPr>
            <w:r>
              <w:rPr/>
              <w:t>​</w:t>
            </w:r>
          </w:p>
        </w:tc>
        <w:tc>
          <w:tcPr>
            <w:tcW w:w="28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w:t>
            </w:r>
          </w:p>
        </w:tc>
        <w:tc>
          <w:tcPr>
            <w:tcW w:w="26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assets acquired</w:t>
            </w:r>
          </w:p>
        </w:tc>
        <w:tc>
          <w:tcPr>
            <w:tcW w:w="326" w:type="dxa"/>
            <w:tcBorders/>
            <w:shd w:fill="auto" w:val="clear"/>
            <w:vAlign w:val="center"/>
          </w:tcPr>
          <w:p>
            <w:pPr>
              <w:pStyle w:val="TableContents"/>
              <w:spacing w:before="0" w:after="0"/>
              <w:ind w:left="0" w:right="0" w:hanging="0"/>
              <w:rPr/>
            </w:pPr>
            <w:r>
              <w:rPr/>
              <w:t>​</w:t>
            </w:r>
          </w:p>
        </w:tc>
        <w:tc>
          <w:tcPr>
            <w:tcW w:w="28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409,133</w:t>
            </w:r>
          </w:p>
        </w:tc>
        <w:tc>
          <w:tcPr>
            <w:tcW w:w="326" w:type="dxa"/>
            <w:tcBorders/>
            <w:shd w:fill="auto" w:val="clear"/>
            <w:vAlign w:val="center"/>
          </w:tcPr>
          <w:p>
            <w:pPr>
              <w:pStyle w:val="TableContents"/>
              <w:spacing w:before="0" w:after="0"/>
              <w:ind w:left="0" w:right="0" w:hanging="0"/>
              <w:rPr/>
            </w:pPr>
            <w:r>
              <w:rPr/>
              <w:t>​</w:t>
            </w:r>
          </w:p>
        </w:tc>
        <w:tc>
          <w:tcPr>
            <w:tcW w:w="26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15,816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424,949</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spacing w:before="0" w:after="0"/>
              <w:ind w:left="0" w:right="0" w:hanging="0"/>
              <w:rPr/>
            </w:pPr>
            <w:r>
              <w:rPr/>
              <w:t>​</w:t>
            </w:r>
          </w:p>
        </w:tc>
        <w:tc>
          <w:tcPr>
            <w:tcW w:w="287" w:type="dxa"/>
            <w:tcBorders/>
            <w:shd w:fill="CCEEFF" w:val="clear"/>
            <w:vAlign w:val="center"/>
          </w:tcPr>
          <w:p>
            <w:pPr>
              <w:pStyle w:val="TableContents"/>
              <w:spacing w:before="0" w:after="0"/>
              <w:ind w:left="0" w:right="0" w:hanging="0"/>
              <w:rPr/>
            </w:pPr>
            <w:r>
              <w:rPr/>
              <w:t> </w:t>
            </w:r>
          </w:p>
        </w:tc>
        <w:tc>
          <w:tcPr>
            <w:tcW w:w="1064"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 </w:t>
            </w:r>
          </w:p>
        </w:tc>
        <w:tc>
          <w:tcPr>
            <w:tcW w:w="85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  </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Deposits:</w:t>
            </w:r>
          </w:p>
        </w:tc>
        <w:tc>
          <w:tcPr>
            <w:tcW w:w="326" w:type="dxa"/>
            <w:tcBorders/>
            <w:shd w:fill="auto" w:val="clear"/>
            <w:vAlign w:val="center"/>
          </w:tcPr>
          <w:p>
            <w:pPr>
              <w:pStyle w:val="TableContents"/>
              <w:spacing w:before="0" w:after="0"/>
              <w:ind w:left="0" w:right="0" w:hanging="0"/>
              <w:rPr/>
            </w:pPr>
            <w:r>
              <w:rPr/>
              <w:t>​</w:t>
            </w:r>
          </w:p>
        </w:tc>
        <w:tc>
          <w:tcPr>
            <w:tcW w:w="287" w:type="dxa"/>
            <w:tcBorders/>
            <w:shd w:fill="auto" w:val="clear"/>
            <w:vAlign w:val="center"/>
          </w:tcPr>
          <w:p>
            <w:pPr>
              <w:pStyle w:val="TableContents"/>
              <w:spacing w:before="0" w:after="0"/>
              <w:ind w:left="0" w:right="0" w:hanging="0"/>
              <w:rPr/>
            </w:pPr>
            <w:r>
              <w:rPr/>
              <w:t>​</w:t>
            </w:r>
          </w:p>
        </w:tc>
        <w:tc>
          <w:tcPr>
            <w:tcW w:w="106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85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Noninterest-bearing accounts</w:t>
            </w:r>
          </w:p>
        </w:tc>
        <w:tc>
          <w:tcPr>
            <w:tcW w:w="326" w:type="dxa"/>
            <w:tcBorders/>
            <w:shd w:fill="CCEEFF" w:val="clear"/>
            <w:vAlign w:val="center"/>
          </w:tcPr>
          <w:p>
            <w:pPr>
              <w:pStyle w:val="TableContents"/>
              <w:spacing w:before="0" w:after="0"/>
              <w:ind w:left="0" w:right="0" w:hanging="0"/>
              <w:rPr/>
            </w:pPr>
            <w:r>
              <w:rPr/>
              <w:t>​</w:t>
            </w:r>
          </w:p>
        </w:tc>
        <w:tc>
          <w:tcPr>
            <w:tcW w:w="2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225,567</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225,567</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Interest-bearing accounts</w:t>
            </w:r>
          </w:p>
        </w:tc>
        <w:tc>
          <w:tcPr>
            <w:tcW w:w="326" w:type="dxa"/>
            <w:tcBorders/>
            <w:shd w:fill="auto" w:val="clear"/>
            <w:vAlign w:val="center"/>
          </w:tcPr>
          <w:p>
            <w:pPr>
              <w:pStyle w:val="TableContents"/>
              <w:spacing w:before="0" w:after="0"/>
              <w:ind w:left="0" w:right="0" w:hanging="0"/>
              <w:rPr/>
            </w:pPr>
            <w:r>
              <w:rPr/>
              <w:t>​</w:t>
            </w:r>
          </w:p>
        </w:tc>
        <w:tc>
          <w:tcPr>
            <w:tcW w:w="28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199,898</w:t>
            </w:r>
          </w:p>
        </w:tc>
        <w:tc>
          <w:tcPr>
            <w:tcW w:w="326" w:type="dxa"/>
            <w:tcBorders/>
            <w:shd w:fill="auto" w:val="clear"/>
            <w:vAlign w:val="center"/>
          </w:tcPr>
          <w:p>
            <w:pPr>
              <w:pStyle w:val="TableContents"/>
              <w:spacing w:before="0" w:after="0"/>
              <w:ind w:left="0" w:right="0" w:hanging="0"/>
              <w:rPr/>
            </w:pPr>
            <w:r>
              <w:rPr/>
              <w:t>​</w:t>
            </w:r>
          </w:p>
        </w:tc>
        <w:tc>
          <w:tcPr>
            <w:tcW w:w="26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5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auto" w:val="clear"/>
            <w:vAlign w:val="center"/>
          </w:tcPr>
          <w:p>
            <w:pPr>
              <w:pStyle w:val="TableContents"/>
              <w:spacing w:lineRule="auto" w:line="240" w:before="0" w:after="0"/>
              <w:ind w:left="0" w:right="0" w:hanging="0"/>
              <w:rPr>
                <w:rFonts w:ascii="Times New Roman;Times;serif" w:hAnsi="Times New Roman;Times;serif"/>
                <w:sz w:val="15"/>
              </w:rPr>
            </w:pPr>
            <w:r>
              <w:rPr>
                <w:rFonts w:ascii="Times New Roman;Times;serif" w:hAnsi="Times New Roman;Times;serif"/>
                <w:sz w:val="15"/>
              </w:rPr>
              <w:t>(4)</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199,350</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deposits</w:t>
            </w:r>
          </w:p>
        </w:tc>
        <w:tc>
          <w:tcPr>
            <w:tcW w:w="326" w:type="dxa"/>
            <w:tcBorders/>
            <w:shd w:fill="CCEEFF" w:val="clear"/>
            <w:vAlign w:val="center"/>
          </w:tcPr>
          <w:p>
            <w:pPr>
              <w:pStyle w:val="TableContents"/>
              <w:spacing w:before="0" w:after="0"/>
              <w:ind w:left="0" w:right="0" w:hanging="0"/>
              <w:rPr/>
            </w:pPr>
            <w:r>
              <w:rPr/>
              <w:t>​</w:t>
            </w:r>
          </w:p>
        </w:tc>
        <w:tc>
          <w:tcPr>
            <w:tcW w:w="287" w:type="dxa"/>
            <w:tcBorders/>
            <w:shd w:fill="CCEEFF" w:val="clear"/>
            <w:vAlign w:val="center"/>
          </w:tcPr>
          <w:p>
            <w:pPr>
              <w:pStyle w:val="TableContents"/>
              <w:spacing w:before="0" w:after="0"/>
              <w:ind w:left="0" w:right="0" w:hanging="0"/>
              <w:rPr/>
            </w:pPr>
            <w:r>
              <w:rPr/>
              <w:t>​</w:t>
            </w:r>
          </w:p>
        </w:tc>
        <w:tc>
          <w:tcPr>
            <w:tcW w:w="10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425,465</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8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424,917</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interest payable</w:t>
            </w:r>
          </w:p>
        </w:tc>
        <w:tc>
          <w:tcPr>
            <w:tcW w:w="326" w:type="dxa"/>
            <w:tcBorders/>
            <w:shd w:fill="auto" w:val="clear"/>
            <w:vAlign w:val="center"/>
          </w:tcPr>
          <w:p>
            <w:pPr>
              <w:pStyle w:val="TableContents"/>
              <w:spacing w:before="0" w:after="0"/>
              <w:ind w:left="0" w:right="0" w:hanging="0"/>
              <w:rPr/>
            </w:pPr>
            <w:r>
              <w:rPr/>
              <w:t>​</w:t>
            </w:r>
          </w:p>
        </w:tc>
        <w:tc>
          <w:tcPr>
            <w:tcW w:w="287" w:type="dxa"/>
            <w:tcBorders/>
            <w:shd w:fill="auto" w:val="clear"/>
            <w:vAlign w:val="center"/>
          </w:tcPr>
          <w:p>
            <w:pPr>
              <w:pStyle w:val="TableContents"/>
              <w:spacing w:before="0" w:after="0"/>
              <w:ind w:left="0" w:right="0" w:hanging="0"/>
              <w:rPr/>
            </w:pPr>
            <w:r>
              <w:rPr/>
              <w:t>​</w:t>
            </w:r>
          </w:p>
        </w:tc>
        <w:tc>
          <w:tcPr>
            <w:tcW w:w="10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85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spacing w:before="0" w:after="0"/>
              <w:ind w:left="0" w:right="0" w:hanging="0"/>
              <w:rPr/>
            </w:pPr>
            <w:r>
              <w:rPr/>
              <w:t>​</w:t>
            </w:r>
          </w:p>
        </w:tc>
        <w:tc>
          <w:tcPr>
            <w:tcW w:w="28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spacing w:before="0" w:after="0"/>
              <w:ind w:left="0" w:right="0" w:hanging="0"/>
              <w:rPr/>
            </w:pPr>
            <w:r>
              <w:rPr/>
              <w:t>​</w:t>
            </w:r>
          </w:p>
        </w:tc>
        <w:tc>
          <w:tcPr>
            <w:tcW w:w="26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liabilities assumed</w:t>
            </w:r>
          </w:p>
        </w:tc>
        <w:tc>
          <w:tcPr>
            <w:tcW w:w="326" w:type="dxa"/>
            <w:tcBorders/>
            <w:shd w:fill="auto" w:val="clear"/>
            <w:vAlign w:val="center"/>
          </w:tcPr>
          <w:p>
            <w:pPr>
              <w:pStyle w:val="TableContents"/>
              <w:spacing w:before="0" w:after="0"/>
              <w:ind w:left="0" w:right="0" w:hanging="0"/>
              <w:rPr/>
            </w:pPr>
            <w:r>
              <w:rPr/>
              <w:t>​</w:t>
            </w:r>
          </w:p>
        </w:tc>
        <w:tc>
          <w:tcPr>
            <w:tcW w:w="28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425,497</w:t>
            </w:r>
          </w:p>
        </w:tc>
        <w:tc>
          <w:tcPr>
            <w:tcW w:w="326" w:type="dxa"/>
            <w:tcBorders/>
            <w:shd w:fill="auto" w:val="clear"/>
            <w:vAlign w:val="center"/>
          </w:tcPr>
          <w:p>
            <w:pPr>
              <w:pStyle w:val="TableContents"/>
              <w:spacing w:before="0" w:after="0"/>
              <w:ind w:left="0" w:right="0" w:hanging="0"/>
              <w:rPr/>
            </w:pPr>
            <w:r>
              <w:rPr/>
              <w:t>​</w:t>
            </w:r>
          </w:p>
        </w:tc>
        <w:tc>
          <w:tcPr>
            <w:tcW w:w="26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424,949</w:t>
            </w:r>
          </w:p>
        </w:tc>
      </w:tr>
    </w:tbl>
    <w:p>
      <w:pPr>
        <w:pStyle w:val="TextBody"/>
        <w:spacing w:before="0" w:after="0"/>
        <w:ind w:left="0" w:right="0" w:hanging="0"/>
        <w:jc w:val="both"/>
        <w:rPr/>
      </w:pPr>
      <w:r>
        <w:rPr/>
        <w:t>​</w:t>
      </w:r>
    </w:p>
    <w:p>
      <w:pPr>
        <w:pStyle w:val="TextBody"/>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Explanation of Fair Value Adjustments</w:t>
      </w:r>
    </w:p>
    <w:p>
      <w:pPr>
        <w:pStyle w:val="TextBody"/>
        <w:spacing w:before="0" w:after="0"/>
        <w:ind w:left="0" w:right="0" w:hanging="0"/>
        <w:jc w:val="both"/>
        <w:rPr/>
      </w:pPr>
      <w:r>
        <w:rPr/>
        <w:t>​</w:t>
      </w:r>
    </w:p>
    <w:p>
      <w:pPr>
        <w:pStyle w:val="TextBody"/>
        <w:pBdr/>
        <w:spacing w:before="0" w:after="0"/>
        <w:ind w:left="0" w:right="0" w:hanging="360"/>
        <w:jc w:val="both"/>
        <w:rPr>
          <w:rFonts w:ascii="Times New Roman;Times;serif" w:hAnsi="Times New Roman;Times;serif"/>
          <w:sz w:val="20"/>
        </w:rPr>
      </w:pPr>
      <w:r>
        <w:rPr>
          <w:rFonts w:ascii="Times New Roman;Times;serif" w:hAnsi="Times New Roman;Times;serif"/>
          <w:sz w:val="20"/>
        </w:rPr>
        <w:t>(1)  The fair value discount for acquired loans was determined by separate adjustments to reflect a credit risk and marketability component and a yield component reflecting the differential between portfolio and market yields.  The discount on acquired loans will be accreted back into interest income using the effective yield method. None of the loans acquired are purchased financial assets with credit deterioration.  The fair value of the loans is $63.2 million and the gross amount due is $66.1 million, none of which is expected to be uncollectable.</w:t>
      </w:r>
    </w:p>
    <w:p>
      <w:pPr>
        <w:pStyle w:val="TextBody"/>
        <w:pBdr/>
        <w:spacing w:before="0" w:after="0"/>
        <w:ind w:left="0" w:right="0" w:hanging="360"/>
        <w:jc w:val="both"/>
        <w:rPr/>
      </w:pPr>
      <w:r>
        <w:rPr/>
        <w:t>​</w:t>
      </w:r>
    </w:p>
    <w:p>
      <w:pPr>
        <w:pStyle w:val="TextBody"/>
        <w:pBdr/>
        <w:spacing w:before="0" w:after="0"/>
        <w:ind w:left="0" w:right="0" w:hanging="360"/>
        <w:jc w:val="both"/>
        <w:rPr>
          <w:rFonts w:ascii="Times New Roman;Times;serif" w:hAnsi="Times New Roman;Times;serif"/>
          <w:sz w:val="20"/>
        </w:rPr>
      </w:pPr>
      <w:r>
        <w:rPr>
          <w:rFonts w:ascii="Times New Roman;Times;serif" w:hAnsi="Times New Roman;Times;serif"/>
          <w:sz w:val="20"/>
        </w:rPr>
        <w:t>(2)  The fair value adjustment represents the value of the core deposit base assumed in the Branch Purchase based on a study performed by an independent consulting firm.  This amount was recorded by the Company as an identifiable intangible asset and will be amortized as an expense on an accelerated basis over the average life of the core deposit base, which is estimated to be ten years.</w:t>
      </w:r>
    </w:p>
    <w:p>
      <w:pPr>
        <w:pStyle w:val="TextBody"/>
        <w:pBdr/>
        <w:spacing w:before="0" w:after="0"/>
        <w:ind w:left="0" w:right="0" w:hanging="360"/>
        <w:jc w:val="both"/>
        <w:rPr/>
      </w:pPr>
      <w:r>
        <w:rPr/>
        <w:t>​</w:t>
      </w:r>
    </w:p>
    <w:p>
      <w:pPr>
        <w:pStyle w:val="TextBody"/>
        <w:pBdr/>
        <w:spacing w:before="0" w:after="0"/>
        <w:ind w:left="0" w:right="0" w:hanging="360"/>
        <w:jc w:val="both"/>
        <w:rPr>
          <w:rFonts w:ascii="Times New Roman;Times;serif" w:hAnsi="Times New Roman;Times;serif"/>
          <w:sz w:val="20"/>
        </w:rPr>
      </w:pPr>
      <w:r>
        <w:rPr>
          <w:rFonts w:ascii="Times New Roman;Times;serif" w:hAnsi="Times New Roman;Times;serif"/>
          <w:sz w:val="20"/>
        </w:rPr>
        <w:t>(3)  The fair value adjustment represents the value of the goodwill calculated from the purchase based on the purchase price, less the fair value of assets acquired net of liabilities assumed. The goodwill of $1.3 million is attributable to the workforce and customer relationships associated with the branches.  All of the goodwill is deductible for tax purposes and will be amortized over a 15 year period.  The goodwill was assigned to the Commercial and Consumer Banking segment.</w:t>
      </w:r>
    </w:p>
    <w:p>
      <w:pPr>
        <w:pStyle w:val="TextBody"/>
        <w:pBdr/>
        <w:spacing w:before="0" w:after="0"/>
        <w:ind w:left="0" w:right="0" w:hanging="360"/>
        <w:jc w:val="both"/>
        <w:rPr/>
      </w:pPr>
      <w:r>
        <w:rPr/>
        <w:t>​</w:t>
      </w:r>
    </w:p>
    <w:p>
      <w:pPr>
        <w:pStyle w:val="TextBody"/>
        <w:pBdr/>
        <w:spacing w:before="0" w:after="0"/>
        <w:ind w:left="0" w:right="0" w:hanging="360"/>
        <w:jc w:val="both"/>
        <w:rPr>
          <w:rFonts w:ascii="Times New Roman;Times;serif" w:hAnsi="Times New Roman;Times;serif"/>
          <w:sz w:val="20"/>
        </w:rPr>
      </w:pPr>
      <w:r>
        <w:rPr>
          <w:rFonts w:ascii="Times New Roman;Times;serif" w:hAnsi="Times New Roman;Times;serif"/>
          <w:sz w:val="20"/>
        </w:rPr>
        <w:t xml:space="preserve">(4)  The fair value of time deposits was calculated using a discounted cash flow analysis that calculated the present value of the projected cash flows from the portfolio versus the present value of a similar portfolio with a similar maturity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profile at current market rates. This adjustment represents a difference in interest rates from the time deposits acquired and the estimated wholesale funding rates used in the application of fair value accounting. The discounted amount will be amortized into expense as an increase in interest expense over the maturity profile of the acquired time deposits.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disclosures regarding pro-forma data and the results of operations subsequent to the acquisition date are omitted as this information is not practical to obtain.  The branches’ financial information is not reported on a stand-alone basis.</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120"/>
        <w:ind w:left="0" w:right="0" w:hanging="0"/>
        <w:jc w:val="both"/>
        <w:rPr>
          <w:rFonts w:ascii="Times New Roman;Times;serif" w:hAnsi="Times New Roman;Times;serif"/>
          <w:sz w:val="20"/>
        </w:rPr>
      </w:pPr>
      <w:bookmarkStart w:id="770" w:name="Tc_lhgsmjLhsEGC8rp_dJUmZw_16_14"/>
      <w:bookmarkStart w:id="771" w:name="Tc_so41skIqWE6YK7HLP6ltvA_16_11"/>
      <w:bookmarkStart w:id="772" w:name="Tc_8i3lwt_m802ASA1PqCg32g_16_8"/>
      <w:bookmarkStart w:id="773" w:name="Tc_IDE90FwObEyFva0b6TbvQw_16_5"/>
      <w:bookmarkStart w:id="774" w:name="Tc_sCWGd57F-Eu95sf-RoZBTw_16_2"/>
      <w:bookmarkStart w:id="775" w:name="Tc_7q69FxTl6kGOk6-NhJQDjQ_16_0"/>
      <w:bookmarkStart w:id="776" w:name="Tc_dh8aRugmCUq92Op2wtoUEw_14_6"/>
      <w:bookmarkStart w:id="777" w:name="Tc_YtRcnsMrHkOiQhgY092P4A_14_0"/>
      <w:bookmarkStart w:id="778" w:name="Tc_x5BWYRzv9kuQ0NduLw0Weg_13_6"/>
      <w:bookmarkStart w:id="779" w:name="Tc_3s3tG2xbzUawZ_jXCkP4jg_13_0"/>
      <w:bookmarkStart w:id="780" w:name="Tc_bH3I1r_PRk2EtwZNfThbBQ_12_0"/>
      <w:bookmarkStart w:id="781" w:name="Tc_YKzkenuCL0CHE6v-snJ3ng_10_15"/>
      <w:bookmarkStart w:id="782" w:name="Tc_UMue8GGfjkKyJX_bKSN_Xw_10_0"/>
      <w:bookmarkStart w:id="783" w:name="Tc_ItCu3k9N3USDb6UR0dKPKQ_9_15"/>
      <w:bookmarkStart w:id="784" w:name="Tc_ricftvqb8kCZ3J5X3RoKTw_9_6"/>
      <w:bookmarkStart w:id="785" w:name="Tc_X-clzsrx4U226ckG_DY04Q_9_0"/>
      <w:bookmarkStart w:id="786" w:name="Tc_AeQh1xzRGkGN2X8PAnt4fQ_8_15"/>
      <w:bookmarkStart w:id="787" w:name="Tc__TH92RzWQka3DeYsyMhRKw_8_6"/>
      <w:bookmarkStart w:id="788" w:name="Tc_ITniuEumnU-1ku_HtyMD0A_8_0"/>
      <w:bookmarkStart w:id="789" w:name="Tc_uj8pwy9qE0WAFDkPT1xL4Q_7_15"/>
      <w:bookmarkStart w:id="790" w:name="Tc_bOUktQ9zGEqymbERUX63vQ_7_0"/>
      <w:bookmarkStart w:id="791" w:name="Tc_7_kPs0LqCk6Gd_1nwYZccA_6_15"/>
      <w:bookmarkStart w:id="792" w:name="Tc_I4F534eHo0mgfdJg8qavGQ_6_0"/>
      <w:bookmarkStart w:id="793" w:name="Tc_wTH5DLUAC06rj4nKQVNyag_5_15"/>
      <w:bookmarkStart w:id="794" w:name="Tc_WEtTmeMjHU68Pq6nfg-rsg_5_14"/>
      <w:bookmarkStart w:id="795" w:name="Tc_vucpKnO-2km-66g-Rlrnaw_5_11"/>
      <w:bookmarkStart w:id="796" w:name="Tc_rrEvwBoQD0S9mZkoxztQNQ_5_8"/>
      <w:bookmarkStart w:id="797" w:name="Tc_G4EbMf3Oa0euR3RvxtFt6g_5_6"/>
      <w:bookmarkStart w:id="798" w:name="Tc_Rh9hSfJ0ok246nZpqWLO9w_5_5"/>
      <w:bookmarkStart w:id="799" w:name="Tc_Ck6ctgN5AkSJfv_22N0cHw_5_2"/>
      <w:bookmarkStart w:id="800" w:name="Tc_0CKjDak_40GOyiOHCwfy6g_5_0"/>
      <w:bookmarkStart w:id="801" w:name="Tc_QEYErlT-jEG3HFmWx88mjA_4_14"/>
      <w:bookmarkStart w:id="802" w:name="Tc_oTjOXEqMU0Wi01UvHfFGiw_4_11"/>
      <w:bookmarkStart w:id="803" w:name="Tc_uR8RszKV8kOEP22hvlvlVA_4_8"/>
      <w:bookmarkStart w:id="804" w:name="Tc_nWVYWFECbU6bqaRKh_RZRg_4_5"/>
      <w:bookmarkStart w:id="805" w:name="Tc_XgPvd6eBYEyRMG94B4rvaw_4_2"/>
      <w:bookmarkStart w:id="806" w:name="Tc_U3IJ78wgXEm95WVsGHI7_g_4_0"/>
      <w:bookmarkStart w:id="807" w:name="Tc_23YJrKeHqk-sfKuIKtUDkg_3_11"/>
      <w:bookmarkStart w:id="808" w:name="Tc_lNXZmAR3D0-xi_hoalaMOw_3_8"/>
      <w:bookmarkStart w:id="809" w:name="Tc_GMAvazFA7EOU6UPgkcVNdw_3_5"/>
      <w:bookmarkStart w:id="810" w:name="Tc_9UVnr_sy-UyP1SWNjtTnzA_3_2"/>
      <w:bookmarkStart w:id="811" w:name="Tc_9Ru5XOfMokm9TViwf1leLA_2_11"/>
      <w:bookmarkStart w:id="812" w:name="Tc_Dtg52nhr1U-aB3yPsxK8pQ_1_2"/>
      <w:bookmarkStart w:id="813" w:name="_deacb2c3_3331_4ab6_9797_eb3bd6ed8681"/>
      <w:bookmarkStart w:id="814" w:name="Tc_8Cuyzza2LUuGThqLaYuqQA_16_14"/>
      <w:bookmarkStart w:id="815" w:name="Tc_SmDb6iV-7k6q_iHcdoGftw_16_11"/>
      <w:bookmarkStart w:id="816" w:name="Tc_sRnhc0qBF0GsV8OKd7oijg_16_8"/>
      <w:bookmarkStart w:id="817" w:name="Tc_WbKhzTPWZk-MTk6yXM9xGg_16_5"/>
      <w:bookmarkStart w:id="818" w:name="Tc_5hUt1vUgc0GDA5401gN1mA_16_2"/>
      <w:bookmarkStart w:id="819" w:name="Tc_C2a_8rCrCUaCFFffb7Nbpg_16_0"/>
      <w:bookmarkStart w:id="820" w:name="Tc_3G8H2l4rkEux7mERPjh5LA_14_6"/>
      <w:bookmarkStart w:id="821" w:name="Tc_WCr8yIdP00WjYm0Ylxo4FQ_14_0"/>
      <w:bookmarkStart w:id="822" w:name="Tc_NLWrOHrzP0yihO9PGRCWgA_13_6"/>
      <w:bookmarkStart w:id="823" w:name="Tc_cAKaha4MQUKVNYb3LxPg4g_13_0"/>
      <w:bookmarkStart w:id="824" w:name="Tc_-BM-FIHatkWyYWfaPwQ57Q_12_0"/>
      <w:bookmarkStart w:id="825" w:name="Tc_KmQb_RWFHUKsT3NQW7xy7w_10_15"/>
      <w:bookmarkStart w:id="826" w:name="Tc_SS3escjtWEaYMmvYhvX36g_10_0"/>
      <w:bookmarkStart w:id="827" w:name="Tc_tOFbVehkT0yeyokrjwaQhA_9_15"/>
      <w:bookmarkStart w:id="828" w:name="Tc_JdVXU8prr0mJRWYqaWcezA_9_0"/>
      <w:bookmarkStart w:id="829" w:name="Tc_dGEOgGr6a0-ImMsja4UqyQ_8_15"/>
      <w:bookmarkStart w:id="830" w:name="Tc_Vj9txtTSokOB7bBwm0sZiw_8_6"/>
      <w:bookmarkStart w:id="831" w:name="Tc_A5iUSf9rKEWZYV_8bBQXUw_8_0"/>
      <w:bookmarkStart w:id="832" w:name="Tc_-eXeVL4Y7kuZZh7GbrVoaw_7_15"/>
      <w:bookmarkStart w:id="833" w:name="Tc_kGXtWpEJA0mQ4c0C6AJiHg_7_0"/>
      <w:bookmarkStart w:id="834" w:name="Tc_4QLEGPB_KEic-xkoOwsQXg_6_15"/>
      <w:bookmarkStart w:id="835" w:name="Tc_WBpBVp0o806GC4h_yg0hMg_6_0"/>
      <w:bookmarkStart w:id="836" w:name="Tc_vRuIiMIyY0yTR8-Z9o57QQ_5_15"/>
      <w:bookmarkStart w:id="837" w:name="Tc_wegR-0mQAE2KYKq78UidBw_5_14"/>
      <w:bookmarkStart w:id="838" w:name="Tc_hTFjPYb-wEOl9kCna2rbzQ_5_11"/>
      <w:bookmarkStart w:id="839" w:name="Tc_-kg4QyTg8UyvdmwFQdv8WQ_5_8"/>
      <w:bookmarkStart w:id="840" w:name="Tc_SBfZfRo6vky5KrZtmcqTBA_5_6"/>
      <w:bookmarkStart w:id="841" w:name="Tc_Z0mpFhKuEUO9NwhNOBvzow_5_5"/>
      <w:bookmarkStart w:id="842" w:name="Tc_PGLfCiHes0iQJyMupkWqzA_5_2"/>
      <w:bookmarkStart w:id="843" w:name="Tc_o86hkdExxku6LflyJoAdiA_5_0"/>
      <w:bookmarkStart w:id="844" w:name="Tc_0hekWFzcM06YIM_3bQsXzg_4_14"/>
      <w:bookmarkStart w:id="845" w:name="Tc_U7-JQQ_Sg0W96YEVlZ-FXA_4_11"/>
      <w:bookmarkStart w:id="846" w:name="Tc_dGg4upJk9UCf6YjrI7kECQ_4_8"/>
      <w:bookmarkStart w:id="847" w:name="Tc_n5CEDKOVukW25lt9dS4Z6Q_4_5"/>
      <w:bookmarkStart w:id="848" w:name="Tc_qDgAWjK8_EiQjxXRzNp3bQ_4_2"/>
      <w:bookmarkStart w:id="849" w:name="Tc_WVVVUFM_YE-8F57seM3EmA_4_0"/>
      <w:bookmarkStart w:id="850" w:name="Tc_feDOIedCDk6XCesEWgRirA_3_11"/>
      <w:bookmarkStart w:id="851" w:name="Tc_hLnit61_m0-oD60hiMXVpw_3_8"/>
      <w:bookmarkStart w:id="852" w:name="Tc_fS8Ne3-AzkalqOFoCFWobw_3_5"/>
      <w:bookmarkStart w:id="853" w:name="Tc_vPHwqF0z-kCMQvPSFFhk0Q_3_2"/>
      <w:bookmarkStart w:id="854" w:name="Tc_8bx5mRtfWE6s34cQ8M8vGA_2_11"/>
      <w:bookmarkStart w:id="855" w:name="Tc_icuDpgxjlUGz98C7nLIGcw_1_2"/>
      <w:bookmarkStart w:id="856" w:name="_6ebbbaa0_9ae6_4d7c_be07_6957bca946fd"/>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Fonts w:ascii="Times New Roman;Times;serif" w:hAnsi="Times New Roman;Times;serif"/>
          <w:b/>
          <w:sz w:val="20"/>
        </w:rPr>
        <w:t>NOTE 3 </w:t>
      </w:r>
      <w:r>
        <w:rPr>
          <w:rFonts w:ascii="Times New Roman;Times;serif" w:hAnsi="Times New Roman;Times;serif"/>
          <w:sz w:val="20"/>
        </w:rPr>
        <w:t xml:space="preserve">– </w:t>
      </w:r>
      <w:r>
        <w:rPr>
          <w:rFonts w:ascii="Times New Roman;Times;serif" w:hAnsi="Times New Roman;Times;serif"/>
          <w:b/>
          <w:sz w:val="20"/>
        </w:rPr>
        <w:t>INVESTMENTS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present the amortized costs, unrealized gains, unrealized losses, estimated fair values of securities available-for-sale and held-to-maturity, and ACL at March 31, 2023 and December 31, 2022:</w:t>
      </w:r>
    </w:p>
    <w:p>
      <w:pPr>
        <w:pStyle w:val="TextBody"/>
        <w:spacing w:before="0" w:after="0"/>
        <w:ind w:left="0" w:right="0" w:hanging="0"/>
        <w:rPr/>
      </w:pPr>
      <w:r>
        <w:rPr/>
        <w:t>​</w:t>
      </w:r>
    </w:p>
    <w:tbl>
      <w:tblPr>
        <w:tblW w:w="9963" w:type="dxa"/>
        <w:jc w:val="left"/>
        <w:tblInd w:w="0" w:type="dxa"/>
        <w:tblCellMar>
          <w:top w:w="0" w:type="dxa"/>
          <w:left w:w="0" w:type="dxa"/>
          <w:bottom w:w="0" w:type="dxa"/>
          <w:right w:w="0" w:type="dxa"/>
        </w:tblCellMar>
      </w:tblPr>
      <w:tblGrid>
        <w:gridCol w:w="3811"/>
        <w:gridCol w:w="326"/>
        <w:gridCol w:w="213"/>
        <w:gridCol w:w="793"/>
        <w:gridCol w:w="326"/>
        <w:gridCol w:w="392"/>
        <w:gridCol w:w="644"/>
        <w:gridCol w:w="326"/>
        <w:gridCol w:w="230"/>
        <w:gridCol w:w="806"/>
        <w:gridCol w:w="326"/>
        <w:gridCol w:w="211"/>
        <w:gridCol w:w="781"/>
        <w:gridCol w:w="146"/>
        <w:gridCol w:w="211"/>
        <w:gridCol w:w="421"/>
      </w:tblGrid>
      <w:tr>
        <w:trPr/>
        <w:tc>
          <w:tcPr>
            <w:tcW w:w="3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19985" cy="175260"/>
                      <wp:effectExtent l="0" t="0" r="0" b="0"/>
                      <wp:wrapNone/>
                      <wp:docPr id="86" name="Frame86"/>
                      <a:graphic xmlns:a="http://schemas.openxmlformats.org/drawingml/2006/main">
                        <a:graphicData uri="http://schemas.microsoft.com/office/word/2010/wordprocessingShape">
                          <wps:wsp>
                            <wps:cNvSpPr txBox="1"/>
                            <wps:spPr>
                              <a:xfrm>
                                <a:off x="0" y="0"/>
                                <a:ext cx="2419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5255" cy="175260"/>
                      <wp:effectExtent l="0" t="0" r="0" b="0"/>
                      <wp:wrapNone/>
                      <wp:docPr id="88" name="Frame88"/>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03555" cy="175260"/>
                      <wp:effectExtent l="0" t="0" r="0" b="0"/>
                      <wp:wrapNone/>
                      <wp:docPr id="89" name="Frame89"/>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48920" cy="175260"/>
                      <wp:effectExtent l="0" t="0" r="0" b="0"/>
                      <wp:wrapNone/>
                      <wp:docPr id="91" name="Frame91"/>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08940" cy="175260"/>
                      <wp:effectExtent l="0" t="0" r="0" b="0"/>
                      <wp:wrapNone/>
                      <wp:docPr id="92" name="Frame92"/>
                      <a:graphic xmlns:a="http://schemas.openxmlformats.org/drawingml/2006/main">
                        <a:graphicData uri="http://schemas.microsoft.com/office/word/2010/wordprocessingShape">
                          <wps:wsp>
                            <wps:cNvSpPr txBox="1"/>
                            <wps:spPr>
                              <a:xfrm>
                                <a:off x="0" y="0"/>
                                <a:ext cx="408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6050" cy="175260"/>
                      <wp:effectExtent l="0" t="0" r="0" b="0"/>
                      <wp:wrapNone/>
                      <wp:docPr id="94" name="Frame94"/>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11810" cy="175260"/>
                      <wp:effectExtent l="0" t="0" r="0" b="0"/>
                      <wp:wrapNone/>
                      <wp:docPr id="95" name="Frame95"/>
                      <a:graphic xmlns:a="http://schemas.openxmlformats.org/drawingml/2006/main">
                        <a:graphicData uri="http://schemas.microsoft.com/office/word/2010/wordprocessingShape">
                          <wps:wsp>
                            <wps:cNvSpPr txBox="1"/>
                            <wps:spPr>
                              <a:xfrm>
                                <a:off x="0" y="0"/>
                                <a:ext cx="511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92710" cy="175260"/>
                      <wp:effectExtent l="0" t="0" r="0" b="0"/>
                      <wp:wrapNone/>
                      <wp:docPr id="99" name="Frame9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67335" cy="175260"/>
                      <wp:effectExtent l="0" t="0" r="0" b="0"/>
                      <wp:wrapNone/>
                      <wp:docPr id="101" name="Frame101"/>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26"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3"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392" w:type="dxa"/>
            <w:tcBorders/>
            <w:shd w:fill="auto" w:val="clear"/>
            <w:vAlign w:val="center"/>
          </w:tcPr>
          <w:p>
            <w:pPr>
              <w:pStyle w:val="TableContents"/>
              <w:spacing w:before="0" w:after="0"/>
              <w:ind w:left="0" w:right="0" w:hanging="0"/>
              <w:rPr/>
            </w:pPr>
            <w:r>
              <w:rPr/>
              <w:t>​</w:t>
            </w:r>
          </w:p>
        </w:tc>
        <w:tc>
          <w:tcPr>
            <w:tcW w:w="64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pPr>
            <w:r>
              <w:rPr/>
              <w:t>​</w:t>
            </w:r>
          </w:p>
        </w:tc>
        <w:tc>
          <w:tcPr>
            <w:tcW w:w="8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Estimated</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center"/>
              <w:rPr/>
            </w:pPr>
            <w:r>
              <w:rPr/>
              <w:t>​</w: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 </w:t>
            </w:r>
          </w:p>
        </w:tc>
        <w:tc>
          <w:tcPr>
            <w:tcW w:w="326" w:type="dxa"/>
            <w:tcBorders/>
            <w:shd w:fill="auto" w:val="clear"/>
            <w:vAlign w:val="center"/>
          </w:tcPr>
          <w:p>
            <w:pPr>
              <w:pStyle w:val="TableContents"/>
              <w:spacing w:before="0" w:after="0"/>
              <w:ind w:left="0" w:right="0" w:hanging="0"/>
              <w:jc w:val="center"/>
              <w:rPr/>
            </w:pPr>
            <w:r>
              <w:rPr/>
              <w:t>​</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 </w:t>
            </w:r>
          </w:p>
        </w:tc>
        <w:tc>
          <w:tcPr>
            <w:tcW w:w="326" w:type="dxa"/>
            <w:tcBorders/>
            <w:shd w:fill="auto" w:val="clear"/>
            <w:vAlign w:val="center"/>
          </w:tcPr>
          <w:p>
            <w:pPr>
              <w:pStyle w:val="TableContents"/>
              <w:spacing w:before="0" w:after="0"/>
              <w:ind w:left="0" w:right="0" w:hanging="0"/>
              <w:jc w:val="center"/>
              <w:rPr/>
            </w:pPr>
            <w:r>
              <w:rPr/>
              <w:t>​</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 </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center"/>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SECURITIES AVAILABLE-FOR-SALE</w:t>
            </w:r>
          </w:p>
        </w:tc>
        <w:tc>
          <w:tcPr>
            <w:tcW w:w="326" w:type="dxa"/>
            <w:tcBorders/>
            <w:shd w:fill="auto" w:val="clear"/>
            <w:vAlign w:val="center"/>
          </w:tcPr>
          <w:p>
            <w:pPr>
              <w:pStyle w:val="TableContents"/>
              <w:spacing w:before="0" w:after="0"/>
              <w:ind w:left="0" w:right="0" w:hanging="0"/>
              <w:rPr/>
            </w:pPr>
            <w:r>
              <w:rPr/>
              <w:t>​</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shd w:fill="auto" w:val="clear"/>
            <w:vAlign w:val="center"/>
          </w:tcPr>
          <w:p>
            <w:pPr>
              <w:pStyle w:val="TableContents"/>
              <w:spacing w:before="0" w:after="0"/>
              <w:ind w:left="0" w:right="0" w:hanging="0"/>
              <w:jc w:val="center"/>
              <w:rPr/>
            </w:pPr>
            <w:r>
              <w:rPr/>
              <w:t>​</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shd w:fill="auto" w:val="clear"/>
            <w:vAlign w:val="center"/>
          </w:tcPr>
          <w:p>
            <w:pPr>
              <w:pStyle w:val="TableContents"/>
              <w:spacing w:before="0" w:after="0"/>
              <w:ind w:left="0" w:right="0" w:hanging="0"/>
              <w:jc w:val="center"/>
              <w:rPr/>
            </w:pPr>
            <w:r>
              <w:rPr/>
              <w:t>​</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Values</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ACL</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agency securities</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21,152</w:t>
            </w:r>
          </w:p>
        </w:tc>
        <w:tc>
          <w:tcPr>
            <w:tcW w:w="326"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17,885</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9,498</w:t>
            </w:r>
          </w:p>
        </w:tc>
        <w:tc>
          <w:tcPr>
            <w:tcW w:w="326"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 </w:t>
            </w:r>
          </w:p>
        </w:tc>
        <w:tc>
          <w:tcPr>
            <w:tcW w:w="8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8,623</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bonds</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143,769</w:t>
            </w:r>
          </w:p>
        </w:tc>
        <w:tc>
          <w:tcPr>
            <w:tcW w:w="326"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 </w:t>
            </w:r>
          </w:p>
        </w:tc>
        <w:tc>
          <w:tcPr>
            <w:tcW w:w="8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123,290</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Mortgage-backed securities</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80,804</w:t>
            </w:r>
          </w:p>
        </w:tc>
        <w:tc>
          <w:tcPr>
            <w:tcW w:w="326"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 </w:t>
            </w:r>
          </w:p>
        </w:tc>
        <w:tc>
          <w:tcPr>
            <w:tcW w:w="8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(10,717)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70,087</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Small Business Administration securities</w:t>
            </w:r>
          </w:p>
        </w:tc>
        <w:tc>
          <w:tcPr>
            <w:tcW w:w="326"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13,555</w:t>
            </w:r>
          </w:p>
        </w:tc>
        <w:tc>
          <w:tcPr>
            <w:tcW w:w="326" w:type="dxa"/>
            <w:tcBorders/>
            <w:shd w:fill="CCEEFF" w:val="clear"/>
            <w:vAlign w:val="center"/>
          </w:tcPr>
          <w:p>
            <w:pPr>
              <w:pStyle w:val="TableContents"/>
              <w:spacing w:before="0" w:after="0"/>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4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12,488</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securities available-for-sale</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268,778</w:t>
            </w:r>
          </w:p>
        </w:tc>
        <w:tc>
          <w:tcPr>
            <w:tcW w:w="326" w:type="dxa"/>
            <w:tcBorders/>
            <w:shd w:fill="auto" w:val="cle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(36,478)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232,373</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64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8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SECURITIES HELD-TO-MATURITY</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64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8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spacing w:before="0" w:after="0"/>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7,924</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securities held-to-maturity</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auto" w:val="cle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7,924</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9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securities </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277,278</w:t>
            </w:r>
          </w:p>
        </w:tc>
        <w:tc>
          <w:tcPr>
            <w:tcW w:w="326" w:type="dxa"/>
            <w:tcBorders/>
            <w:shd w:fill="auto" w:val="clear"/>
            <w:vAlign w:val="center"/>
          </w:tcPr>
          <w:p>
            <w:pPr>
              <w:pStyle w:val="TableContents"/>
              <w:spacing w:before="0" w:after="0"/>
              <w:ind w:left="0" w:right="0" w:hanging="0"/>
              <w:rPr/>
            </w:pPr>
            <w:r>
              <w:rPr/>
              <w:t>​</w:t>
            </w:r>
          </w:p>
        </w:tc>
        <w:tc>
          <w:tcPr>
            <w:tcW w:w="39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(37,054)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240,297</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w:t>
            </w:r>
          </w:p>
        </w:tc>
      </w:tr>
    </w:tbl>
    <w:p>
      <w:pPr>
        <w:pStyle w:val="TextBody"/>
        <w:spacing w:before="0" w:after="0"/>
        <w:ind w:left="0" w:right="0" w:hanging="0"/>
        <w:rPr/>
      </w:pPr>
      <w:r>
        <w:rPr/>
        <w:t>​</w:t>
      </w:r>
    </w:p>
    <w:p>
      <w:pPr>
        <w:pStyle w:val="TextBody"/>
        <w:spacing w:before="0" w:after="0"/>
        <w:ind w:left="0" w:right="0" w:hanging="0"/>
        <w:rPr/>
      </w:pPr>
      <w:r>
        <w:rPr/>
        <w:t>​</w:t>
      </w:r>
    </w:p>
    <w:tbl>
      <w:tblPr>
        <w:tblW w:w="9889" w:type="dxa"/>
        <w:jc w:val="left"/>
        <w:tblInd w:w="0" w:type="dxa"/>
        <w:tblCellMar>
          <w:top w:w="0" w:type="dxa"/>
          <w:left w:w="0" w:type="dxa"/>
          <w:bottom w:w="0" w:type="dxa"/>
          <w:right w:w="0" w:type="dxa"/>
        </w:tblCellMar>
      </w:tblPr>
      <w:tblGrid>
        <w:gridCol w:w="3811"/>
        <w:gridCol w:w="326"/>
        <w:gridCol w:w="213"/>
        <w:gridCol w:w="793"/>
        <w:gridCol w:w="326"/>
        <w:gridCol w:w="375"/>
        <w:gridCol w:w="616"/>
        <w:gridCol w:w="326"/>
        <w:gridCol w:w="211"/>
        <w:gridCol w:w="796"/>
        <w:gridCol w:w="326"/>
        <w:gridCol w:w="211"/>
        <w:gridCol w:w="781"/>
        <w:gridCol w:w="146"/>
        <w:gridCol w:w="211"/>
        <w:gridCol w:w="421"/>
      </w:tblGrid>
      <w:tr>
        <w:trPr/>
        <w:tc>
          <w:tcPr>
            <w:tcW w:w="3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419985" cy="175260"/>
                      <wp:effectExtent l="0" t="0" r="0" b="0"/>
                      <wp:wrapNone/>
                      <wp:docPr id="102" name="Frame102"/>
                      <a:graphic xmlns:a="http://schemas.openxmlformats.org/drawingml/2006/main">
                        <a:graphicData uri="http://schemas.microsoft.com/office/word/2010/wordprocessingShape">
                          <wps:wsp>
                            <wps:cNvSpPr txBox="1"/>
                            <wps:spPr>
                              <a:xfrm>
                                <a:off x="0" y="0"/>
                                <a:ext cx="2419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5255" cy="175260"/>
                      <wp:effectExtent l="0" t="0" r="0" b="0"/>
                      <wp:wrapNone/>
                      <wp:docPr id="104" name="Frame104"/>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03555" cy="175260"/>
                      <wp:effectExtent l="0" t="0" r="0" b="0"/>
                      <wp:wrapNone/>
                      <wp:docPr id="105" name="Frame105"/>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38125" cy="175260"/>
                      <wp:effectExtent l="0" t="0" r="0" b="0"/>
                      <wp:wrapNone/>
                      <wp:docPr id="107" name="Frame107"/>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91160" cy="175260"/>
                      <wp:effectExtent l="0" t="0" r="0" b="0"/>
                      <wp:wrapNone/>
                      <wp:docPr id="108" name="Frame108"/>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5460" cy="175260"/>
                      <wp:effectExtent l="0" t="0" r="0" b="0"/>
                      <wp:wrapNone/>
                      <wp:docPr id="111" name="Frame11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95935" cy="175260"/>
                      <wp:effectExtent l="0" t="0" r="0" b="0"/>
                      <wp:wrapNone/>
                      <wp:docPr id="114" name="Frame11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2710" cy="175260"/>
                      <wp:effectExtent l="0" t="0" r="0" b="0"/>
                      <wp:wrapNone/>
                      <wp:docPr id="115" name="Frame11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67335" cy="175260"/>
                      <wp:effectExtent l="0" t="0" r="0" b="0"/>
                      <wp:wrapNone/>
                      <wp:docPr id="117" name="Frame117"/>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52"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3"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Estimated</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421" w:type="dxa"/>
            <w:tcBorders/>
            <w:shd w:fill="auto" w:val="clear"/>
            <w:vAlign w:val="center"/>
          </w:tcPr>
          <w:p>
            <w:pPr>
              <w:pStyle w:val="TableContents"/>
              <w:spacing w:before="0" w:after="0"/>
              <w:ind w:left="0" w:right="0" w:hanging="0"/>
              <w:jc w:val="center"/>
              <w:rPr/>
            </w:pPr>
            <w:r>
              <w:rPr/>
              <w:t>​</w:t>
            </w:r>
          </w:p>
        </w:tc>
      </w:tr>
      <w:tr>
        <w:trPr/>
        <w:tc>
          <w:tcPr>
            <w:tcW w:w="3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 </w:t>
            </w:r>
          </w:p>
        </w:tc>
        <w:tc>
          <w:tcPr>
            <w:tcW w:w="326" w:type="dxa"/>
            <w:tcBorders/>
            <w:shd w:fill="auto" w:val="clear"/>
            <w:vAlign w:val="center"/>
          </w:tcPr>
          <w:p>
            <w:pPr>
              <w:pStyle w:val="TableContents"/>
              <w:spacing w:before="0" w:after="0"/>
              <w:ind w:left="0" w:right="0" w:hanging="0"/>
              <w:jc w:val="center"/>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421" w:type="dxa"/>
            <w:tcBorders/>
            <w:shd w:fill="auto" w:val="clear"/>
            <w:vAlign w:val="center"/>
          </w:tcPr>
          <w:p>
            <w:pPr>
              <w:pStyle w:val="TableContents"/>
              <w:spacing w:before="0" w:after="0"/>
              <w:ind w:left="0" w:right="0" w:hanging="0"/>
              <w:jc w:val="center"/>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SECURITIES AVAILABLE-FOR-SALE</w:t>
            </w:r>
          </w:p>
        </w:tc>
        <w:tc>
          <w:tcPr>
            <w:tcW w:w="326" w:type="dxa"/>
            <w:tcBorders/>
            <w:shd w:fill="auto" w:val="clear"/>
            <w:vAlign w:val="center"/>
          </w:tcPr>
          <w:p>
            <w:pPr>
              <w:pStyle w:val="TableContents"/>
              <w:spacing w:before="0" w:after="0"/>
              <w:ind w:left="0" w:right="0" w:hanging="0"/>
              <w:rPr/>
            </w:pPr>
            <w:r>
              <w:rPr/>
              <w:t>​</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shd w:fill="auto" w:val="clear"/>
            <w:vAlign w:val="center"/>
          </w:tcPr>
          <w:p>
            <w:pPr>
              <w:pStyle w:val="TableContents"/>
              <w:spacing w:before="0" w:after="0"/>
              <w:ind w:left="0" w:right="0" w:hanging="0"/>
              <w:jc w:val="center"/>
              <w:rPr/>
            </w:pPr>
            <w:r>
              <w:rPr/>
              <w:t>​</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shd w:fill="auto" w:val="clear"/>
            <w:vAlign w:val="center"/>
          </w:tcPr>
          <w:p>
            <w:pPr>
              <w:pStyle w:val="TableContents"/>
              <w:spacing w:before="0" w:after="0"/>
              <w:ind w:left="0" w:right="0" w:hanging="0"/>
              <w:jc w:val="center"/>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Values</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ACL</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agency securities</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21,153</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17,288</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9,497</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bonds</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144,200</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120,602</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Mortgage-backed securities</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82,424</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(12,458)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69,966</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Small Business Administration securities</w:t>
            </w:r>
          </w:p>
        </w:tc>
        <w:tc>
          <w:tcPr>
            <w:tcW w:w="326"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14,519</w:t>
            </w:r>
          </w:p>
        </w:tc>
        <w:tc>
          <w:tcPr>
            <w:tcW w:w="326" w:type="dxa"/>
            <w:tcBorders/>
            <w:shd w:fill="CCEEFF" w:val="clear"/>
            <w:vAlign w:val="center"/>
          </w:tcPr>
          <w:p>
            <w:pPr>
              <w:pStyle w:val="TableContents"/>
              <w:spacing w:before="0" w:after="0"/>
              <w:ind w:left="0" w:right="0" w:hanging="0"/>
              <w:rPr/>
            </w:pPr>
            <w:r>
              <w:rPr/>
              <w:t>​</w:t>
            </w:r>
          </w:p>
        </w:tc>
        <w:tc>
          <w:tcPr>
            <w:tcW w:w="3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12,851</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securities available-for-sale</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271,793</w:t>
            </w:r>
          </w:p>
        </w:tc>
        <w:tc>
          <w:tcPr>
            <w:tcW w:w="326" w:type="dxa"/>
            <w:tcBorders/>
            <w:shd w:fill="auto" w:val="clear"/>
            <w:vAlign w:val="center"/>
          </w:tcPr>
          <w:p>
            <w:pPr>
              <w:pStyle w:val="TableContents"/>
              <w:spacing w:before="0" w:after="0"/>
              <w:ind w:left="0" w:right="0" w:hanging="0"/>
              <w:rPr/>
            </w:pPr>
            <w:r>
              <w:rPr/>
              <w:t>​</w:t>
            </w:r>
          </w:p>
        </w:tc>
        <w:tc>
          <w:tcPr>
            <w:tcW w:w="37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(42,589)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229,252</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SECURITIES HELD-TO-MATURITY</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r>
      <w:tr>
        <w:trPr/>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spacing w:before="0" w:after="0"/>
              <w:ind w:left="0" w:right="0" w:hanging="0"/>
              <w:rPr/>
            </w:pPr>
            <w:r>
              <w:rPr/>
              <w:t>​</w:t>
            </w:r>
          </w:p>
        </w:tc>
        <w:tc>
          <w:tcPr>
            <w:tcW w:w="3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securities held-to-maturity</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auto" w:val="clear"/>
            <w:vAlign w:val="center"/>
          </w:tcPr>
          <w:p>
            <w:pPr>
              <w:pStyle w:val="TableContents"/>
              <w:spacing w:before="0" w:after="0"/>
              <w:ind w:left="0" w:right="0" w:hanging="0"/>
              <w:rPr/>
            </w:pPr>
            <w:r>
              <w:rPr/>
              <w:t>​</w:t>
            </w:r>
          </w:p>
        </w:tc>
        <w:tc>
          <w:tcPr>
            <w:tcW w:w="37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securities </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280,293</w:t>
            </w:r>
          </w:p>
        </w:tc>
        <w:tc>
          <w:tcPr>
            <w:tcW w:w="326" w:type="dxa"/>
            <w:tcBorders/>
            <w:shd w:fill="auto" w:val="clear"/>
            <w:vAlign w:val="center"/>
          </w:tcPr>
          <w:p>
            <w:pPr>
              <w:pStyle w:val="TableContents"/>
              <w:spacing w:before="0" w:after="0"/>
              <w:ind w:left="0" w:right="0" w:hanging="0"/>
              <w:rPr/>
            </w:pPr>
            <w:r>
              <w:rPr/>
              <w:t>​</w:t>
            </w:r>
          </w:p>
        </w:tc>
        <w:tc>
          <w:tcPr>
            <w:tcW w:w="3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(43,160)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237,181</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857" w:name="Tc_6BzSg3nack-GjY6caSfzyA_6_8"/>
      <w:bookmarkStart w:id="858" w:name="Tc_VoCmtxh7I0S6YE5wi-eDXQ_6_5"/>
      <w:bookmarkStart w:id="859" w:name="Tc_3t1zzxMuDUS7gb4X8DopPQ_6_2"/>
      <w:bookmarkStart w:id="860" w:name="Tc_I3m1fNX7Rk2QQpU_yogFIw_6_0"/>
      <w:bookmarkStart w:id="861" w:name="Tc_ieX563DfxU2sKSYgTlnaHw_5_0"/>
      <w:bookmarkStart w:id="862" w:name="Tc_4mxxURTeFUeaoE2GGQDtYA_4_0"/>
      <w:bookmarkStart w:id="863" w:name="Tc_2lf_QfHC8UKbwymnc3Pl-A_3_8"/>
      <w:bookmarkStart w:id="864" w:name="Tc_n5uviuUdRk2AMp568rTIdg_3_5"/>
      <w:bookmarkStart w:id="865" w:name="Tc_XRsqZjYk4EKMn9-CoG8PNA_3_2"/>
      <w:bookmarkStart w:id="866" w:name="Tc_1Ex5V0zZ6kO5WwORho5H3w_3_0"/>
      <w:bookmarkStart w:id="867" w:name="Tc_QwOGjFitykqhwcZ3n5uG8A_2_8"/>
      <w:bookmarkStart w:id="868" w:name="Tc_lCVDk_l2ZEqp0hf5oVJ_Pw_2_5"/>
      <w:bookmarkStart w:id="869" w:name="Tc_UDtMHG5NdkGV8gZjyzXTJQ_2_2"/>
      <w:bookmarkStart w:id="870" w:name="Tc_WQmpsA2DK06p4ot64tMNzg_2_0"/>
      <w:bookmarkStart w:id="871" w:name="Tc_X5-FsqckRUuIpYiSVMuNag_1_2"/>
      <w:bookmarkStart w:id="872" w:name="Tc_F6r_htPg3EmCESiZFTpasA_3_5"/>
      <w:bookmarkStart w:id="873" w:name="Tc_Ec5U3mrEqUmgYfEUQmnMBg_3_2"/>
      <w:bookmarkStart w:id="874" w:name="Tc_QWyUYxYuEEC8_299s7ix8w_3_0"/>
      <w:bookmarkStart w:id="875" w:name="Tc_MJ2-ZGCnOkCCuja535NyuA_2_5"/>
      <w:bookmarkStart w:id="876" w:name="Tc_-sv2PjrstE6bnVeY2R6UPQ_2_2"/>
      <w:bookmarkStart w:id="877" w:name="Tc_kzOFiA9cmkyH2eE4MtxnKA_2_0"/>
      <w:bookmarkStart w:id="878" w:name="Tc_XkzPT2PV0EOJZ5jz4P-UlA_1_5"/>
      <w:bookmarkStart w:id="879" w:name="Tc_pXNYTlZtPUGHH9TvQNhVAA_1_2"/>
      <w:bookmarkStart w:id="880" w:name="Tc_teaP-GOvQU6R6GmjFik6kA_8_5"/>
      <w:bookmarkStart w:id="881" w:name="Tc_zHHrx1M0Yk6s3A71_-r_Kw_8_2"/>
      <w:bookmarkStart w:id="882" w:name="Tc_O7FhGj_QUEGb382LwE6ZTA_8_0"/>
      <w:bookmarkStart w:id="883" w:name="Tc_cd9rAqh6t0uLaqH-6c4IpQ_7_6"/>
      <w:bookmarkStart w:id="884" w:name="Tc_FE5Am-vFeEG5i8TOYGNnRw_7_3"/>
      <w:bookmarkStart w:id="885" w:name="Tc_bo3tSy-uJkuIpK4aZEarog_7_0"/>
      <w:bookmarkStart w:id="886" w:name="Tc_jiZsmTpRAEamDACXNICntA_6_6"/>
      <w:bookmarkStart w:id="887" w:name="Tc_0DGsXRLHbUSXRhLQ-bckJw_6_3"/>
      <w:bookmarkStart w:id="888" w:name="Tc_a04lY4UYM0muB2_1jrPsdA_6_0"/>
      <w:bookmarkStart w:id="889" w:name="Tc_Dd-Tkz7-aEiMQuQLb9TBVg_5_6"/>
      <w:bookmarkStart w:id="890" w:name="Tc_2L9mS5WFq0-MDPA9R4rRPg_5_3"/>
      <w:bookmarkStart w:id="891" w:name="Tc_Yb3UvE-6dkCfdZ9r1-ngYA_5_0"/>
      <w:bookmarkStart w:id="892" w:name="Tc_qhiEYp0Jx0SN03tI-EyEBw_4_3"/>
      <w:bookmarkStart w:id="893" w:name="Tc_myXB_rkJzkuDQ8ppvAzAEw_4_0"/>
      <w:bookmarkStart w:id="894" w:name="Tc_zFkjJaR9GUm5LUPUBXsruQ_3_5"/>
      <w:bookmarkStart w:id="895" w:name="Tc_I-6-UElJjESmOlFg6ZM6fg_3_2"/>
      <w:bookmarkStart w:id="896" w:name="Tc_bmIJ5OY3gk2ZwN-VzhLdVA_3_0"/>
      <w:bookmarkStart w:id="897" w:name="Tc_AI_XtJYNKUq9GWLbAa9GCw_2_5"/>
      <w:bookmarkStart w:id="898" w:name="Tc_cL-ZPGJTm0G2Tet9a28lWQ_2_2"/>
      <w:bookmarkStart w:id="899" w:name="Tc_MpBQAsYYsUa29T9pgP93Jw_2_0"/>
      <w:bookmarkStart w:id="900" w:name="Tc_6GBdiZ3gIkyb6GG9YL1IAQ_1_2"/>
      <w:bookmarkStart w:id="901" w:name="Tc_bAahbm09QEqCPQJpRnsmYw_1_0"/>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Pr>
          <w:rFonts w:ascii="Times New Roman;Times;serif" w:hAnsi="Times New Roman;Times;serif"/>
          <w:sz w:val="20"/>
        </w:rPr>
        <w:t xml:space="preserve">The </w:t>
      </w:r>
      <w:r>
        <w:rPr>
          <w:rFonts w:ascii="Times New Roman;Times;serif" w:hAnsi="Times New Roman;Times;serif"/>
          <w:sz w:val="20"/>
          <w:highlight w:val="white"/>
        </w:rPr>
        <w:t>following table presents the activity in the ACL for securities held-to-maturity by major security type for the three months ended March 31, 2023 and 2022:</w:t>
      </w:r>
    </w:p>
    <w:p>
      <w:pPr>
        <w:pStyle w:val="TextBody"/>
        <w:spacing w:before="0" w:after="200"/>
        <w:ind w:left="0" w:right="0" w:hanging="0"/>
        <w:jc w:val="both"/>
        <w:rPr/>
      </w:pPr>
      <w:r>
        <w:rPr/>
        <w:t>​</w:t>
      </w:r>
    </w:p>
    <w:tbl>
      <w:tblPr>
        <w:tblW w:w="6971" w:type="dxa"/>
        <w:jc w:val="left"/>
        <w:tblInd w:w="0" w:type="dxa"/>
        <w:tblCellMar>
          <w:top w:w="0" w:type="dxa"/>
          <w:left w:w="0" w:type="dxa"/>
          <w:bottom w:w="0" w:type="dxa"/>
          <w:right w:w="0" w:type="dxa"/>
        </w:tblCellMar>
      </w:tblPr>
      <w:tblGrid>
        <w:gridCol w:w="3361"/>
        <w:gridCol w:w="266"/>
        <w:gridCol w:w="466"/>
        <w:gridCol w:w="764"/>
        <w:gridCol w:w="719"/>
        <w:gridCol w:w="466"/>
        <w:gridCol w:w="929"/>
      </w:tblGrid>
      <w:tr>
        <w:trPr/>
        <w:tc>
          <w:tcPr>
            <w:tcW w:w="3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34235" cy="175260"/>
                      <wp:effectExtent l="0" t="0" r="0" b="0"/>
                      <wp:wrapNone/>
                      <wp:docPr id="118" name="Frame118"/>
                      <a:graphic xmlns:a="http://schemas.openxmlformats.org/drawingml/2006/main">
                        <a:graphicData uri="http://schemas.microsoft.com/office/word/2010/wordprocessingShape">
                          <wps:wsp>
                            <wps:cNvSpPr txBox="1"/>
                            <wps:spPr>
                              <a:xfrm>
                                <a:off x="0" y="0"/>
                                <a:ext cx="2134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8910" cy="175260"/>
                      <wp:effectExtent l="0" t="0" r="0" b="0"/>
                      <wp:wrapNone/>
                      <wp:docPr id="119" name="Frame119"/>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95910" cy="175260"/>
                      <wp:effectExtent l="0" t="0" r="0" b="0"/>
                      <wp:wrapNone/>
                      <wp:docPr id="120" name="Frame120"/>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85140" cy="175260"/>
                      <wp:effectExtent l="0" t="0" r="0" b="0"/>
                      <wp:wrapNone/>
                      <wp:docPr id="121" name="Frame121"/>
                      <a:graphic xmlns:a="http://schemas.openxmlformats.org/drawingml/2006/main">
                        <a:graphicData uri="http://schemas.microsoft.com/office/word/2010/wordprocessingShape">
                          <wps:wsp>
                            <wps:cNvSpPr txBox="1"/>
                            <wps:spPr>
                              <a:xfrm>
                                <a:off x="0" y="0"/>
                                <a:ext cx="485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56565" cy="175260"/>
                      <wp:effectExtent l="0" t="0" r="0" b="0"/>
                      <wp:wrapNone/>
                      <wp:docPr id="122" name="Frame122"/>
                      <a:graphic xmlns:a="http://schemas.openxmlformats.org/drawingml/2006/main">
                        <a:graphicData uri="http://schemas.microsoft.com/office/word/2010/wordprocessingShape">
                          <wps:wsp>
                            <wps:cNvSpPr txBox="1"/>
                            <wps:spPr>
                              <a:xfrm>
                                <a:off x="0" y="0"/>
                                <a:ext cx="456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95910" cy="175260"/>
                      <wp:effectExtent l="0" t="0" r="0" b="0"/>
                      <wp:wrapNone/>
                      <wp:docPr id="123" name="Frame123"/>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89915" cy="175260"/>
                      <wp:effectExtent l="0" t="0" r="0" b="0"/>
                      <wp:wrapNone/>
                      <wp:docPr id="124" name="Frame124"/>
                      <a:graphic xmlns:a="http://schemas.openxmlformats.org/drawingml/2006/main">
                        <a:graphicData uri="http://schemas.microsoft.com/office/word/2010/wordprocessingShape">
                          <wps:wsp>
                            <wps:cNvSpPr txBox="1"/>
                            <wps:spPr>
                              <a:xfrm>
                                <a:off x="0" y="0"/>
                                <a:ext cx="5899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6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SECURITIES HELD-TO-MATURITY</w:t>
            </w:r>
          </w:p>
        </w:tc>
        <w:tc>
          <w:tcPr>
            <w:tcW w:w="266" w:type="dxa"/>
            <w:tcBorders/>
            <w:shd w:fill="auto" w:val="clear"/>
            <w:vAlign w:val="center"/>
          </w:tcPr>
          <w:p>
            <w:pPr>
              <w:pStyle w:val="TableContents"/>
              <w:spacing w:before="0" w:after="1"/>
              <w:ind w:left="0" w:right="0" w:hanging="0"/>
              <w:rPr/>
            </w:pPr>
            <w:r>
              <w:rPr/>
              <w:t>   </w:t>
            </w:r>
          </w:p>
        </w:tc>
        <w:tc>
          <w:tcPr>
            <w:tcW w:w="3344" w:type="dxa"/>
            <w:gridSpan w:val="5"/>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For the Three Months Ended March 31,</w:t>
            </w:r>
          </w:p>
        </w:tc>
      </w:tr>
      <w:tr>
        <w:trPr/>
        <w:tc>
          <w:tcPr>
            <w:tcW w:w="3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Securities</w:t>
            </w:r>
          </w:p>
        </w:tc>
        <w:tc>
          <w:tcPr>
            <w:tcW w:w="266" w:type="dxa"/>
            <w:tcBorders/>
            <w:shd w:fill="auto" w:val="clear"/>
            <w:vAlign w:val="center"/>
          </w:tcPr>
          <w:p>
            <w:pPr>
              <w:pStyle w:val="TableContents"/>
              <w:spacing w:before="0" w:after="1"/>
              <w:ind w:left="0" w:right="0" w:hanging="0"/>
              <w:rPr/>
            </w:pPr>
            <w:r>
              <w:rPr/>
              <w:t>​</w:t>
            </w:r>
          </w:p>
        </w:tc>
        <w:tc>
          <w:tcPr>
            <w:tcW w:w="123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719"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c>
          <w:tcPr>
            <w:tcW w:w="13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Beginning allowance balance</w:t>
            </w:r>
          </w:p>
        </w:tc>
        <w:tc>
          <w:tcPr>
            <w:tcW w:w="26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71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spacing w:before="0" w:after="1"/>
              <w:ind w:left="0" w:right="0" w:hanging="0"/>
              <w:jc w:val="right"/>
              <w:rPr/>
            </w:pPr>
            <w:r>
              <w:rPr/>
              <w:t>—</w:t>
            </w:r>
          </w:p>
        </w:tc>
      </w:tr>
      <w:tr>
        <w:trPr/>
        <w:tc>
          <w:tcPr>
            <w:tcW w:w="3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Impact of adopting ASU 2016-13</w:t>
            </w:r>
          </w:p>
        </w:tc>
        <w:tc>
          <w:tcPr>
            <w:tcW w:w="26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rPr/>
            </w:pPr>
            <w:r>
              <w:rPr/>
              <w:t>​</w:t>
            </w:r>
          </w:p>
        </w:tc>
        <w:tc>
          <w:tcPr>
            <w:tcW w:w="764" w:type="dxa"/>
            <w:tcBorders/>
            <w:shd w:fill="auto" w:val="clear"/>
            <w:vAlign w:val="center"/>
          </w:tcPr>
          <w:p>
            <w:pPr>
              <w:pStyle w:val="TableContents"/>
              <w:spacing w:before="0" w:after="1"/>
              <w:ind w:left="0" w:right="0" w:hanging="0"/>
              <w:jc w:val="right"/>
              <w:rPr/>
            </w:pPr>
            <w:r>
              <w:rPr/>
              <w:t>—</w:t>
            </w:r>
          </w:p>
        </w:tc>
        <w:tc>
          <w:tcPr>
            <w:tcW w:w="71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rPr/>
            </w:pPr>
            <w:r>
              <w:rPr/>
              <w:t>​</w:t>
            </w:r>
          </w:p>
        </w:tc>
        <w:tc>
          <w:tcPr>
            <w:tcW w:w="92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Provision for credit losses</w:t>
            </w:r>
          </w:p>
        </w:tc>
        <w:tc>
          <w:tcPr>
            <w:tcW w:w="266"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rPr/>
            </w:pPr>
            <w:r>
              <w:rPr/>
              <w:t> </w:t>
            </w:r>
          </w:p>
        </w:tc>
        <w:tc>
          <w:tcPr>
            <w:tcW w:w="764" w:type="dxa"/>
            <w:tcBorders/>
            <w:shd w:fill="CCEEFF" w:val="clear"/>
            <w:vAlign w:val="center"/>
          </w:tcPr>
          <w:p>
            <w:pPr>
              <w:pStyle w:val="TableContents"/>
              <w:spacing w:before="0" w:after="1"/>
              <w:ind w:left="0" w:right="0" w:hanging="0"/>
              <w:jc w:val="right"/>
              <w:rPr/>
            </w:pPr>
            <w:r>
              <w:rPr/>
              <w:t>—</w:t>
            </w:r>
          </w:p>
        </w:tc>
        <w:tc>
          <w:tcPr>
            <w:tcW w:w="71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rPr/>
            </w:pPr>
            <w:r>
              <w:rPr/>
              <w:t> </w:t>
            </w:r>
          </w:p>
        </w:tc>
        <w:tc>
          <w:tcPr>
            <w:tcW w:w="929" w:type="dxa"/>
            <w:tcBorders/>
            <w:shd w:fill="CCEEFF" w:val="clear"/>
            <w:vAlign w:val="center"/>
          </w:tcPr>
          <w:p>
            <w:pPr>
              <w:pStyle w:val="TableContents"/>
              <w:spacing w:before="0" w:after="1"/>
              <w:ind w:left="0" w:right="0" w:hanging="0"/>
              <w:jc w:val="right"/>
              <w:rPr/>
            </w:pPr>
            <w:r>
              <w:rPr/>
              <w:t>—</w:t>
            </w:r>
          </w:p>
        </w:tc>
      </w:tr>
      <w:tr>
        <w:trPr/>
        <w:tc>
          <w:tcPr>
            <w:tcW w:w="3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Securities charged-off</w:t>
            </w:r>
          </w:p>
        </w:tc>
        <w:tc>
          <w:tcPr>
            <w:tcW w:w="266"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rPr/>
            </w:pPr>
            <w:r>
              <w:rPr/>
              <w:t> </w:t>
            </w:r>
          </w:p>
        </w:tc>
        <w:tc>
          <w:tcPr>
            <w:tcW w:w="764" w:type="dxa"/>
            <w:tcBorders/>
            <w:shd w:fill="auto" w:val="clear"/>
            <w:vAlign w:val="center"/>
          </w:tcPr>
          <w:p>
            <w:pPr>
              <w:pStyle w:val="TableContents"/>
              <w:spacing w:before="0" w:after="1"/>
              <w:ind w:left="0" w:right="0" w:hanging="0"/>
              <w:jc w:val="right"/>
              <w:rPr/>
            </w:pPr>
            <w:r>
              <w:rPr/>
              <w:t>—</w:t>
            </w:r>
          </w:p>
        </w:tc>
        <w:tc>
          <w:tcPr>
            <w:tcW w:w="71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rPr/>
            </w:pPr>
            <w:r>
              <w:rPr/>
              <w:t> </w:t>
            </w:r>
          </w:p>
        </w:tc>
        <w:tc>
          <w:tcPr>
            <w:tcW w:w="929" w:type="dxa"/>
            <w:tcBorders/>
            <w:shd w:fill="auto" w:val="clear"/>
            <w:vAlign w:val="center"/>
          </w:tcPr>
          <w:p>
            <w:pPr>
              <w:pStyle w:val="TableContents"/>
              <w:spacing w:before="0" w:after="1"/>
              <w:ind w:left="0" w:right="0" w:hanging="0"/>
              <w:jc w:val="right"/>
              <w:rPr/>
            </w:pPr>
            <w:r>
              <w:rPr/>
              <w:t>—</w:t>
            </w:r>
          </w:p>
        </w:tc>
      </w:tr>
      <w:tr>
        <w:trPr/>
        <w:tc>
          <w:tcPr>
            <w:tcW w:w="3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Recoveries</w:t>
            </w:r>
          </w:p>
        </w:tc>
        <w:tc>
          <w:tcPr>
            <w:tcW w:w="266" w:type="dxa"/>
            <w:tcBorders/>
            <w:shd w:fill="CCEEFF" w:val="clear"/>
            <w:vAlign w:val="center"/>
          </w:tcPr>
          <w:p>
            <w:pPr>
              <w:pStyle w:val="TableContents"/>
              <w:spacing w:before="0" w:after="1"/>
              <w:ind w:left="0" w:right="0" w:hanging="0"/>
              <w:rPr/>
            </w:pPr>
            <w:r>
              <w:rPr/>
              <w:t>​</w:t>
            </w:r>
          </w:p>
        </w:tc>
        <w:tc>
          <w:tcPr>
            <w:tcW w:w="46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6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71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6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2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ending allowance balance</w:t>
            </w:r>
          </w:p>
        </w:tc>
        <w:tc>
          <w:tcPr>
            <w:tcW w:w="266" w:type="dxa"/>
            <w:tcBorders/>
            <w:shd w:fill="auto" w:val="clear"/>
            <w:vAlign w:val="center"/>
          </w:tcPr>
          <w:p>
            <w:pPr>
              <w:pStyle w:val="TableContents"/>
              <w:spacing w:before="0" w:after="1"/>
              <w:ind w:left="0" w:right="0" w:hanging="0"/>
              <w:rPr/>
            </w:pPr>
            <w:r>
              <w:rPr/>
              <w:t>​</w:t>
            </w:r>
          </w:p>
        </w:tc>
        <w:tc>
          <w:tcPr>
            <w:tcW w:w="4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719"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4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72</w:t>
            </w:r>
          </w:p>
        </w:tc>
      </w:tr>
    </w:tbl>
    <w:p>
      <w:pPr>
        <w:pStyle w:val="TextBody"/>
        <w:spacing w:before="0" w:after="200"/>
        <w:ind w:left="0" w:right="0" w:hanging="0"/>
        <w:jc w:val="both"/>
        <w:rPr/>
      </w:pPr>
      <w:r>
        <w:rPr/>
        <w:t>​</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Management measures expected credit losses on held-to-maturity debt securities on an individual basis. The estimate of expected credit losses considers historical credit loss information that is adjusted for current conditions and reasonable and supportable forecasts. Accrued interest receivable on held-to-maturity debt securities totaled $117,000 and $116,000 as of March 31, 2023 and December 31, 2022, respectively, and was $1.8 million and $1.2 million on available-for-sale debt securities as of March 31, 2023 and December 31, 2022, respectively.  Accrued interest receivable on securities is reported in “Accrued interest receivable” on the Consolidated Balance Sheets and is excluded from the calculation of the ACL.</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The Bank monitors the credit quality of debt securities held-to-maturity quarterly through the use of credit rating, material event notices, and changes in market value. The following table summarizes the amortized cost of debt securities held-to-maturity at the dates indicated, aggregated by credit quality indicator:</w:t>
      </w:r>
    </w:p>
    <w:p>
      <w:pPr>
        <w:pStyle w:val="TextBody"/>
        <w:spacing w:before="0" w:after="0"/>
        <w:ind w:left="0" w:right="0" w:hanging="0"/>
        <w:rPr/>
      </w:pPr>
      <w:r>
        <w:rPr/>
        <w:t>​</w:t>
      </w:r>
    </w:p>
    <w:tbl>
      <w:tblPr>
        <w:tblW w:w="4583" w:type="dxa"/>
        <w:jc w:val="left"/>
        <w:tblInd w:w="0" w:type="dxa"/>
        <w:tblCellMar>
          <w:top w:w="0" w:type="dxa"/>
          <w:left w:w="0" w:type="dxa"/>
          <w:bottom w:w="0" w:type="dxa"/>
          <w:right w:w="0" w:type="dxa"/>
        </w:tblCellMar>
      </w:tblPr>
      <w:tblGrid>
        <w:gridCol w:w="1741"/>
        <w:gridCol w:w="326"/>
        <w:gridCol w:w="251"/>
        <w:gridCol w:w="679"/>
        <w:gridCol w:w="326"/>
        <w:gridCol w:w="299"/>
        <w:gridCol w:w="961"/>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105535" cy="175260"/>
                      <wp:effectExtent l="0" t="0" r="0" b="0"/>
                      <wp:wrapNone/>
                      <wp:docPr id="125" name="Frame125"/>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9385" cy="175260"/>
                      <wp:effectExtent l="0" t="0" r="0" b="0"/>
                      <wp:wrapNone/>
                      <wp:docPr id="127" name="Frame127"/>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31165" cy="175260"/>
                      <wp:effectExtent l="0" t="0" r="0" b="0"/>
                      <wp:wrapNone/>
                      <wp:docPr id="128" name="Frame128"/>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9865" cy="175260"/>
                      <wp:effectExtent l="0" t="0" r="0" b="0"/>
                      <wp:wrapNone/>
                      <wp:docPr id="130" name="Frame130"/>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10235" cy="175260"/>
                      <wp:effectExtent l="0" t="0" r="0" b="0"/>
                      <wp:wrapNone/>
                      <wp:docPr id="131" name="Frame131"/>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0"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w:t>
            </w:r>
          </w:p>
        </w:tc>
        <w:tc>
          <w:tcPr>
            <w:tcW w:w="326" w:type="dxa"/>
            <w:tcBorders/>
            <w:shd w:fill="auto" w:val="clear"/>
            <w:vAlign w:val="center"/>
          </w:tcPr>
          <w:p>
            <w:pPr>
              <w:pStyle w:val="TableContents"/>
              <w:spacing w:before="0" w:after="1"/>
              <w:ind w:left="0" w:right="0" w:hanging="0"/>
              <w:rPr/>
            </w:pPr>
            <w:r>
              <w:rPr/>
              <w:t>​</w:t>
            </w:r>
          </w:p>
        </w:tc>
        <w:tc>
          <w:tcPr>
            <w:tcW w:w="1260"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17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auto" w:val="clear"/>
            <w:vAlign w:val="center"/>
          </w:tcPr>
          <w:p>
            <w:pPr>
              <w:pStyle w:val="TableContents"/>
              <w:spacing w:before="0" w:after="1"/>
              <w:ind w:left="0" w:right="0" w:hanging="0"/>
              <w:rPr/>
            </w:pPr>
            <w:r>
              <w:rPr/>
              <w:t>    </w:t>
            </w:r>
          </w:p>
        </w:tc>
        <w:tc>
          <w:tcPr>
            <w:tcW w:w="93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    </w:t>
            </w:r>
          </w:p>
        </w:tc>
        <w:tc>
          <w:tcPr>
            <w:tcW w:w="12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17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BBB/BBB-</w:t>
            </w:r>
          </w:p>
        </w:tc>
        <w:tc>
          <w:tcPr>
            <w:tcW w:w="326" w:type="dxa"/>
            <w:tcBorders/>
            <w:shd w:fill="CCEEFF" w:val="clear"/>
            <w:vAlign w:val="center"/>
          </w:tcPr>
          <w:p>
            <w:pPr>
              <w:pStyle w:val="TableContents"/>
              <w:spacing w:before="0" w:after="1"/>
              <w:ind w:left="0" w:right="0" w:hanging="0"/>
              <w:rPr/>
            </w:pPr>
            <w:r>
              <w:rPr/>
              <w:t>​</w:t>
            </w:r>
          </w:p>
        </w:tc>
        <w:tc>
          <w:tcPr>
            <w:tcW w:w="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8,500</w:t>
            </w:r>
          </w:p>
        </w:tc>
      </w:tr>
    </w:tbl>
    <w:p>
      <w:pPr>
        <w:pStyle w:val="TextBody"/>
        <w:spacing w:before="0" w:after="200"/>
        <w:ind w:left="0" w:right="0" w:hanging="0"/>
        <w:jc w:val="both"/>
        <w:rPr/>
      </w:pPr>
      <w:r>
        <w:rPr/>
        <w:t>​</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At March 31, 2023, there were no debt securities held-to-maturity that were classified as either nonaccrual or 90 days or more past due and still accruing interest. No assigned credit ratings were downgraded for debt securities held-to-maturity during the period.</w:t>
      </w:r>
    </w:p>
    <w:p>
      <w:pPr>
        <w:pStyle w:val="TextBody"/>
        <w:spacing w:before="0" w:after="200"/>
        <w:ind w:left="0" w:right="0" w:hanging="0"/>
        <w:jc w:val="both"/>
        <w:rPr>
          <w:highlight w:val="white"/>
        </w:rPr>
      </w:pPr>
      <w:r>
        <w:rPr>
          <w:highlight w:val="white"/>
        </w:rPr>
        <w:t>​</w:t>
      </w:r>
    </w:p>
    <w:p>
      <w:pPr>
        <w:pStyle w:val="TextBody"/>
        <w:spacing w:before="0" w:after="12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following table presents, as of March 31, 2023, investment securities which were pledged to secure borrowings, public deposits or other obligations as permitted or required by law:</w:t>
      </w:r>
    </w:p>
    <w:p>
      <w:pPr>
        <w:pStyle w:val="TextBody"/>
        <w:spacing w:before="0" w:after="0"/>
        <w:ind w:left="0" w:right="0" w:hanging="0"/>
        <w:rPr/>
      </w:pPr>
      <w:r>
        <w:rPr/>
        <w:t>​</w:t>
      </w:r>
    </w:p>
    <w:tbl>
      <w:tblPr>
        <w:tblW w:w="9831" w:type="dxa"/>
        <w:jc w:val="left"/>
        <w:tblInd w:w="0" w:type="dxa"/>
        <w:tblCellMar>
          <w:top w:w="0" w:type="dxa"/>
          <w:left w:w="0" w:type="dxa"/>
          <w:bottom w:w="0" w:type="dxa"/>
          <w:right w:w="0" w:type="dxa"/>
        </w:tblCellMar>
      </w:tblPr>
      <w:tblGrid>
        <w:gridCol w:w="5026"/>
        <w:gridCol w:w="326"/>
        <w:gridCol w:w="287"/>
        <w:gridCol w:w="1063"/>
        <w:gridCol w:w="326"/>
        <w:gridCol w:w="293"/>
        <w:gridCol w:w="1087"/>
        <w:gridCol w:w="326"/>
        <w:gridCol w:w="211"/>
        <w:gridCol w:w="886"/>
      </w:tblGrid>
      <w:tr>
        <w:trPr/>
        <w:tc>
          <w:tcPr>
            <w:tcW w:w="50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191510" cy="175260"/>
                      <wp:effectExtent l="0" t="0" r="0" b="0"/>
                      <wp:wrapNone/>
                      <wp:docPr id="132" name="Frame132"/>
                      <a:graphic xmlns:a="http://schemas.openxmlformats.org/drawingml/2006/main">
                        <a:graphicData uri="http://schemas.microsoft.com/office/word/2010/wordprocessingShape">
                          <wps:wsp>
                            <wps:cNvSpPr txBox="1"/>
                            <wps:spPr>
                              <a:xfrm>
                                <a:off x="0" y="0"/>
                                <a:ext cx="3191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2245" cy="175260"/>
                      <wp:effectExtent l="0" t="0" r="0" b="0"/>
                      <wp:wrapNone/>
                      <wp:docPr id="134" name="Frame134"/>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75005" cy="175260"/>
                      <wp:effectExtent l="0" t="0" r="0" b="0"/>
                      <wp:wrapNone/>
                      <wp:docPr id="135" name="Frame135"/>
                      <a:graphic xmlns:a="http://schemas.openxmlformats.org/drawingml/2006/main">
                        <a:graphicData uri="http://schemas.microsoft.com/office/word/2010/wordprocessingShape">
                          <wps:wsp>
                            <wps:cNvSpPr txBox="1"/>
                            <wps:spPr>
                              <a:xfrm>
                                <a:off x="0" y="0"/>
                                <a:ext cx="6750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6055" cy="175260"/>
                      <wp:effectExtent l="0" t="0" r="0" b="0"/>
                      <wp:wrapNone/>
                      <wp:docPr id="137" name="Frame137"/>
                      <a:graphic xmlns:a="http://schemas.openxmlformats.org/drawingml/2006/main">
                        <a:graphicData uri="http://schemas.microsoft.com/office/word/2010/wordprocessingShape">
                          <wps:wsp>
                            <wps:cNvSpPr txBox="1"/>
                            <wps:spPr>
                              <a:xfrm>
                                <a:off x="0" y="0"/>
                                <a:ext cx="1860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0245" cy="175260"/>
                      <wp:effectExtent l="0" t="0" r="0" b="0"/>
                      <wp:wrapNone/>
                      <wp:docPr id="138" name="Frame138"/>
                      <a:graphic xmlns:a="http://schemas.openxmlformats.org/drawingml/2006/main">
                        <a:graphicData uri="http://schemas.microsoft.com/office/word/2010/wordprocessingShape">
                          <wps:wsp>
                            <wps:cNvSpPr txBox="1"/>
                            <wps:spPr>
                              <a:xfrm>
                                <a:off x="0" y="0"/>
                                <a:ext cx="690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62610" cy="175260"/>
                      <wp:effectExtent l="0" t="0" r="0" b="0"/>
                      <wp:wrapNone/>
                      <wp:docPr id="141" name="Frame141"/>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0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479"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2023</w:t>
            </w:r>
          </w:p>
        </w:tc>
      </w:tr>
      <w:tr>
        <w:trPr/>
        <w:tc>
          <w:tcPr>
            <w:tcW w:w="50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Purpose or beneficiary</w:t>
            </w:r>
          </w:p>
        </w:tc>
        <w:tc>
          <w:tcPr>
            <w:tcW w:w="326" w:type="dxa"/>
            <w:tcBorders/>
            <w:shd w:fill="auto" w:val="clear"/>
            <w:vAlign w:val="center"/>
          </w:tcPr>
          <w:p>
            <w:pPr>
              <w:pStyle w:val="TableContents"/>
              <w:spacing w:before="0" w:after="1"/>
              <w:ind w:left="0" w:right="0" w:hanging="0"/>
              <w:rPr/>
            </w:pPr>
            <w:r>
              <w:rPr/>
              <w:t>    </w:t>
            </w:r>
          </w:p>
        </w:tc>
        <w:tc>
          <w:tcPr>
            <w:tcW w:w="135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Carrying Value</w:t>
            </w:r>
          </w:p>
        </w:tc>
        <w:tc>
          <w:tcPr>
            <w:tcW w:w="326" w:type="dxa"/>
            <w:tcBorders/>
            <w:shd w:fill="auto" w:val="clear"/>
            <w:vAlign w:val="center"/>
          </w:tcPr>
          <w:p>
            <w:pPr>
              <w:pStyle w:val="TableContents"/>
              <w:spacing w:before="0" w:after="1"/>
              <w:ind w:left="0" w:right="0" w:hanging="0"/>
              <w:rPr/>
            </w:pPr>
            <w:r>
              <w:rPr/>
              <w:t>    </w:t>
            </w:r>
          </w:p>
        </w:tc>
        <w:tc>
          <w:tcPr>
            <w:tcW w:w="138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shd w:fill="auto" w:val="clear"/>
            <w:vAlign w:val="center"/>
          </w:tcPr>
          <w:p>
            <w:pPr>
              <w:pStyle w:val="TableContents"/>
              <w:spacing w:before="0" w:after="1"/>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50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and local government public deposits</w:t>
            </w:r>
          </w:p>
        </w:tc>
        <w:tc>
          <w:tcPr>
            <w:tcW w:w="326" w:type="dxa"/>
            <w:tcBorders/>
            <w:shd w:fill="CCEEFF" w:val="clear"/>
            <w:vAlign w:val="center"/>
          </w:tcPr>
          <w:p>
            <w:pPr>
              <w:pStyle w:val="TableContents"/>
              <w:spacing w:before="0" w:after="1"/>
              <w:ind w:left="0" w:right="0" w:hanging="0"/>
              <w:rPr/>
            </w:pPr>
            <w:r>
              <w:rPr/>
              <w:t>​</w:t>
            </w:r>
          </w:p>
        </w:tc>
        <w:tc>
          <w:tcPr>
            <w:tcW w:w="28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26,122</w:t>
            </w:r>
          </w:p>
        </w:tc>
        <w:tc>
          <w:tcPr>
            <w:tcW w:w="326" w:type="dxa"/>
            <w:tcBorders/>
            <w:shd w:fill="CCEEFF" w:val="clear"/>
            <w:vAlign w:val="center"/>
          </w:tcPr>
          <w:p>
            <w:pPr>
              <w:pStyle w:val="TableContents"/>
              <w:spacing w:before="0" w:after="1"/>
              <w:ind w:left="0" w:right="0" w:hanging="0"/>
              <w:rPr/>
            </w:pPr>
            <w:r>
              <w:rPr/>
              <w:t>​</w:t>
            </w:r>
          </w:p>
        </w:tc>
        <w:tc>
          <w:tcPr>
            <w:tcW w:w="29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30,695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26,122</w:t>
            </w:r>
          </w:p>
        </w:tc>
      </w:tr>
      <w:tr>
        <w:trPr/>
        <w:tc>
          <w:tcPr>
            <w:tcW w:w="50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rate swap counterparties</w:t>
            </w:r>
          </w:p>
        </w:tc>
        <w:tc>
          <w:tcPr>
            <w:tcW w:w="326" w:type="dxa"/>
            <w:tcBorders/>
            <w:shd w:fill="auto" w:val="clear"/>
            <w:vAlign w:val="center"/>
          </w:tcPr>
          <w:p>
            <w:pPr>
              <w:pStyle w:val="TableContents"/>
              <w:spacing w:before="0" w:after="1"/>
              <w:ind w:left="0" w:right="0" w:hanging="0"/>
              <w:rPr/>
            </w:pPr>
            <w:r>
              <w:rPr/>
              <w:t>​</w:t>
            </w:r>
          </w:p>
        </w:tc>
        <w:tc>
          <w:tcPr>
            <w:tcW w:w="287" w:type="dxa"/>
            <w:tcBorders/>
            <w:shd w:fill="auto" w:val="clear"/>
            <w:vAlign w:val="center"/>
          </w:tcPr>
          <w:p>
            <w:pPr>
              <w:pStyle w:val="TableContents"/>
              <w:spacing w:before="0" w:after="1"/>
              <w:ind w:left="0" w:right="0" w:hanging="0"/>
              <w:jc w:val="center"/>
              <w:rPr/>
            </w:pPr>
            <w:r>
              <w:rPr/>
              <w:t>​</w:t>
            </w:r>
          </w:p>
        </w:tc>
        <w:tc>
          <w:tcPr>
            <w:tcW w:w="106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2,861</w:t>
            </w:r>
          </w:p>
        </w:tc>
        <w:tc>
          <w:tcPr>
            <w:tcW w:w="326" w:type="dxa"/>
            <w:tcBorders/>
            <w:shd w:fill="auto" w:val="clear"/>
            <w:vAlign w:val="center"/>
          </w:tcPr>
          <w:p>
            <w:pPr>
              <w:pStyle w:val="TableContents"/>
              <w:spacing w:before="0" w:after="1"/>
              <w:ind w:left="0" w:right="0" w:hanging="0"/>
              <w:rPr/>
            </w:pPr>
            <w:r>
              <w:rPr/>
              <w:t>​</w:t>
            </w:r>
          </w:p>
        </w:tc>
        <w:tc>
          <w:tcPr>
            <w:tcW w:w="293" w:type="dxa"/>
            <w:tcBorders/>
            <w:shd w:fill="auto" w:val="clear"/>
            <w:vAlign w:val="center"/>
          </w:tcPr>
          <w:p>
            <w:pPr>
              <w:pStyle w:val="TableContents"/>
              <w:spacing w:before="0" w:after="1"/>
              <w:ind w:left="0" w:right="0" w:hanging="0"/>
              <w:rPr/>
            </w:pPr>
            <w:r>
              <w:rPr/>
              <w:t>​</w:t>
            </w:r>
          </w:p>
        </w:tc>
        <w:tc>
          <w:tcPr>
            <w:tcW w:w="10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2,861</w:t>
            </w:r>
          </w:p>
        </w:tc>
      </w:tr>
      <w:tr>
        <w:trPr/>
        <w:tc>
          <w:tcPr>
            <w:tcW w:w="50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 Reserve Bank - Bank Term Funding Program facility</w:t>
            </w:r>
          </w:p>
        </w:tc>
        <w:tc>
          <w:tcPr>
            <w:tcW w:w="326" w:type="dxa"/>
            <w:tcBorders/>
            <w:shd w:fill="CCEEFF" w:val="clear"/>
            <w:vAlign w:val="center"/>
          </w:tcPr>
          <w:p>
            <w:pPr>
              <w:pStyle w:val="TableContents"/>
              <w:spacing w:before="0" w:after="1"/>
              <w:ind w:left="0" w:right="0" w:hanging="0"/>
              <w:rPr/>
            </w:pPr>
            <w:r>
              <w:rPr/>
              <w:t>​</w:t>
            </w:r>
          </w:p>
        </w:tc>
        <w:tc>
          <w:tcPr>
            <w:tcW w:w="287"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c>
          <w:tcPr>
            <w:tcW w:w="106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80,075</w:t>
            </w:r>
          </w:p>
        </w:tc>
        <w:tc>
          <w:tcPr>
            <w:tcW w:w="326" w:type="dxa"/>
            <w:tcBorders/>
            <w:shd w:fill="CCEEFF" w:val="clear"/>
            <w:vAlign w:val="center"/>
          </w:tcPr>
          <w:p>
            <w:pPr>
              <w:pStyle w:val="TableContents"/>
              <w:spacing w:before="0" w:after="1"/>
              <w:ind w:left="0" w:right="0" w:hanging="0"/>
              <w:rPr/>
            </w:pPr>
            <w:r>
              <w:rPr/>
              <w:t>​</w:t>
            </w:r>
          </w:p>
        </w:tc>
        <w:tc>
          <w:tcPr>
            <w:tcW w:w="29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92,558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80,075</w:t>
            </w:r>
          </w:p>
        </w:tc>
      </w:tr>
      <w:tr>
        <w:trPr/>
        <w:tc>
          <w:tcPr>
            <w:tcW w:w="50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pledged securities</w:t>
            </w:r>
          </w:p>
        </w:tc>
        <w:tc>
          <w:tcPr>
            <w:tcW w:w="326" w:type="dxa"/>
            <w:tcBorders/>
            <w:shd w:fill="auto" w:val="clear"/>
            <w:vAlign w:val="center"/>
          </w:tcPr>
          <w:p>
            <w:pPr>
              <w:pStyle w:val="TableContents"/>
              <w:spacing w:before="0" w:after="1"/>
              <w:ind w:left="0" w:right="0" w:hanging="0"/>
              <w:rPr/>
            </w:pPr>
            <w:r>
              <w:rPr/>
              <w:t>​</w:t>
            </w:r>
          </w:p>
        </w:tc>
        <w:tc>
          <w:tcPr>
            <w:tcW w:w="28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109,058</w:t>
            </w:r>
          </w:p>
        </w:tc>
        <w:tc>
          <w:tcPr>
            <w:tcW w:w="326" w:type="dxa"/>
            <w:tcBorders/>
            <w:shd w:fill="auto" w:val="clear"/>
            <w:vAlign w:val="center"/>
          </w:tcPr>
          <w:p>
            <w:pPr>
              <w:pStyle w:val="TableContents"/>
              <w:spacing w:before="0" w:after="1"/>
              <w:ind w:left="0" w:right="0" w:hanging="0"/>
              <w:rPr/>
            </w:pPr>
            <w:r>
              <w:rPr/>
              <w:t>​</w:t>
            </w:r>
          </w:p>
        </w:tc>
        <w:tc>
          <w:tcPr>
            <w:tcW w:w="29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126,153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109,058</w:t>
            </w:r>
          </w:p>
        </w:tc>
      </w:tr>
    </w:tbl>
    <w:p>
      <w:pPr>
        <w:pStyle w:val="TextBody"/>
        <w:spacing w:before="0" w:after="200"/>
        <w:ind w:left="0" w:right="0" w:hanging="0"/>
        <w:jc w:val="both"/>
        <w:rPr/>
      </w:pPr>
      <w:r>
        <w:rPr/>
        <w:t>​</w:t>
      </w:r>
    </w:p>
    <w:p>
      <w:pPr>
        <w:pStyle w:val="TextBody"/>
        <w:spacing w:before="0" w:after="200"/>
        <w:ind w:left="0" w:right="0" w:hanging="0"/>
        <w:jc w:val="both"/>
        <w:rPr/>
      </w:pPr>
      <w:r>
        <w:rPr/>
        <w:t>​</w:t>
      </w:r>
    </w:p>
    <w:p>
      <w:pPr>
        <w:pStyle w:val="TextBody"/>
        <w:spacing w:before="0" w:after="200"/>
        <w:ind w:left="0" w:right="0" w:hanging="0"/>
        <w:jc w:val="both"/>
        <w:rPr/>
      </w:pPr>
      <w:r>
        <w:rPr/>
        <w:t>​</w:t>
      </w:r>
    </w:p>
    <w:p>
      <w:pPr>
        <w:pStyle w:val="TextBody"/>
        <w:spacing w:before="0" w:after="200"/>
        <w:ind w:left="0" w:right="0" w:hanging="0"/>
        <w:jc w:val="both"/>
        <w:rPr/>
      </w:pPr>
      <w:r>
        <w:rPr/>
        <w:t>​</w:t>
      </w:r>
    </w:p>
    <w:p>
      <w:pPr>
        <w:pStyle w:val="TextBody"/>
        <w:spacing w:before="0" w:after="200"/>
        <w:ind w:left="0" w:right="0" w:hanging="0"/>
        <w:jc w:val="both"/>
        <w:rPr/>
      </w:pPr>
      <w:r>
        <w:rPr/>
        <w:t>​</w:t>
      </w:r>
    </w:p>
    <w:p>
      <w:pPr>
        <w:pStyle w:val="TextBody"/>
        <w:spacing w:before="0" w:after="200"/>
        <w:ind w:left="0" w:right="0" w:hanging="0"/>
        <w:jc w:val="both"/>
        <w:rPr/>
      </w:pPr>
      <w:r>
        <w:rPr/>
        <w:t>​</w:t>
      </w:r>
    </w:p>
    <w:p>
      <w:pPr>
        <w:pStyle w:val="TextBody"/>
        <w:spacing w:before="0" w:after="200"/>
        <w:ind w:left="0" w:right="0" w:hanging="0"/>
        <w:jc w:val="both"/>
        <w:rPr/>
      </w:pPr>
      <w:r>
        <w:rPr/>
        <w:t>​</w:t>
      </w:r>
    </w:p>
    <w:p>
      <w:pPr>
        <w:pStyle w:val="TextBody"/>
        <w:spacing w:before="0" w:after="20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902" w:name="Tc_nL5QlbrvhUi_N2EoDa7zNw_16_17"/>
      <w:bookmarkStart w:id="903" w:name="Tc_BTWlYCrNl0q_hQV2-4XSMQ_16_14"/>
      <w:bookmarkStart w:id="904" w:name="Tc_HktuySDLrk-om_czIZKkEQ_16_11"/>
      <w:bookmarkStart w:id="905" w:name="Tc_LCVg16Jiz0uRN0Ycp7sm2g_16_8"/>
      <w:bookmarkStart w:id="906" w:name="Tc_Lz_lSaFllkm9oHr8OZyOkw_16_5"/>
      <w:bookmarkStart w:id="907" w:name="Tc_QmMjxsCwSkaT8v5j7eBcmA_16_2"/>
      <w:bookmarkStart w:id="908" w:name="Tc_uFaJF-dn_0GSt2JpCPn9Wg_16_0"/>
      <w:bookmarkStart w:id="909" w:name="Tc_J6lx4qE5T0O42-k-L-yaMg_14_12"/>
      <w:bookmarkStart w:id="910" w:name="Tc_xlMXainJJEKxrPS5J_OZgw_14_9"/>
      <w:bookmarkStart w:id="911" w:name="Tc_fbNLYPL8AEen7EE1ptyzbA_14_0"/>
      <w:bookmarkStart w:id="912" w:name="Tc__jnJwwQ1z0eMOiDiguCv8g_13_12"/>
      <w:bookmarkStart w:id="913" w:name="Tc_3BxwlzqECEe5FaiUbTc1Dg_13_9"/>
      <w:bookmarkStart w:id="914" w:name="Tc_HUij1Zmti0yLNMit_YflBw_13_0"/>
      <w:bookmarkStart w:id="915" w:name="Tc_AHd14cZX4UuwPN35_Qt9Qg_12_0"/>
      <w:bookmarkStart w:id="916" w:name="Tc_LiGMlNjaVU2yWCk00UNdRg_10_0"/>
      <w:bookmarkStart w:id="917" w:name="Tc_nBjLYhez0UaWGKx8EJKLgw_9_0"/>
      <w:bookmarkStart w:id="918" w:name="Tc_6q_xNaVHAkaMn-KhXrOJVw_8_0"/>
      <w:bookmarkStart w:id="919" w:name="Tc_ARA9t_P-qkuawCrfe89-NQ_7_0"/>
      <w:bookmarkStart w:id="920" w:name="Tc_fEksumhPbE2WD9-6N3_q2g_6_0"/>
      <w:bookmarkStart w:id="921" w:name="Tc_CVmWSZP94EW_rFAmOYj-gA_5_17"/>
      <w:bookmarkStart w:id="922" w:name="Tc_x55YDVgVfkOug7jNP77BGw_5_14"/>
      <w:bookmarkStart w:id="923" w:name="Tc_qb5k6jpHJ0C2tbfV3mZpOg_5_11"/>
      <w:bookmarkStart w:id="924" w:name="Tc_9XuTaQz_HE6_TJxaWiOEBQ_5_8"/>
      <w:bookmarkStart w:id="925" w:name="Tc_Z-0pe8KTyE-OsHrDouPS1g_5_5"/>
      <w:bookmarkStart w:id="926" w:name="Tc_OoH96CR6Sk2MSjmr3t1bkQ_5_2"/>
      <w:bookmarkStart w:id="927" w:name="Tc_iL4OtNDQ-kSplJS8HABoXw_5_0"/>
      <w:bookmarkStart w:id="928" w:name="Tc_AxJVOUFyj0-MEeY08ZJKag_4_17"/>
      <w:bookmarkStart w:id="929" w:name="Tc_-MlOw40IAk-eX8A9HFkVfw_4_14"/>
      <w:bookmarkStart w:id="930" w:name="Tc_rVTXq-Z4l02_Z0-Q1a_AZQ_4_11"/>
      <w:bookmarkStart w:id="931" w:name="Tc_hGdwzf-XXU-Y9sl9tG1deQ_4_8"/>
      <w:bookmarkStart w:id="932" w:name="Tc_n8Lfy4a16k66D9tt1ZXhjA_4_5"/>
      <w:bookmarkStart w:id="933" w:name="Tc_n_rBFmkx70-eC8YFrLOm6Q_4_2"/>
      <w:bookmarkStart w:id="934" w:name="Tc_vy2R-64Xgkq0ckYJVd1LUA_4_0"/>
      <w:bookmarkStart w:id="935" w:name="Tc_v9x_tejAZ0WrWF4XdsXtWA_3_17"/>
      <w:bookmarkStart w:id="936" w:name="Tc_YyQiwv3BkUSxRm4YbxyZ8g_3_14"/>
      <w:bookmarkStart w:id="937" w:name="Tc_X2ubRqzbZUe1MfTNs4ypdQ_3_11"/>
      <w:bookmarkStart w:id="938" w:name="Tc_v0ze00OkEk-2ZaPHXg6qJA_3_8"/>
      <w:bookmarkStart w:id="939" w:name="Tc_MqpvLzw9OkqUQ6arYyqcgQ_3_5"/>
      <w:bookmarkStart w:id="940" w:name="Tc_1aR-Fi3Exk-rfw8y3IydVw_3_2"/>
      <w:bookmarkStart w:id="941" w:name="Tc_Ya-BIPSiGEaLuth1nT6O5Q_2_14"/>
      <w:bookmarkStart w:id="942" w:name="Tc_767Cnm8DpEyoB1IEzz1oAQ_2_8"/>
      <w:bookmarkStart w:id="943" w:name="Tc_UDeFyoXEQE-UtJJOSXL-Bg_2_2"/>
      <w:bookmarkStart w:id="944" w:name="Tc_fX59MdDxzkmj84_53p3LcQ_1_2"/>
      <w:bookmarkStart w:id="945" w:name="_d7fde6fa_ef77_4063_88c7_98b148c583ab"/>
      <w:bookmarkStart w:id="946" w:name="Tc_VDhT0U0G_0yEJMoQi5TD3Q_16_17"/>
      <w:bookmarkStart w:id="947" w:name="Tc_CTFav_DlGkqnrmD8jBIoCA_16_14"/>
      <w:bookmarkStart w:id="948" w:name="Tc_aQqTJIi3b0CL8DdjocoEPA_16_11"/>
      <w:bookmarkStart w:id="949" w:name="Tc_qJL2SAnArkaHrKYWYbvmrA_16_8"/>
      <w:bookmarkStart w:id="950" w:name="Tc_oudy5y3zSUOAyvIn3plwKg_16_5"/>
      <w:bookmarkStart w:id="951" w:name="Tc_MCBTeAgQ8U6J5u1rbbLuIw_16_2"/>
      <w:bookmarkStart w:id="952" w:name="Tc_xHdo1F0Zfk2_x-tamNB52Q_16_0"/>
      <w:bookmarkStart w:id="953" w:name="Tc_0diz9BRMo0ex66EcWv5u5g_14_0"/>
      <w:bookmarkStart w:id="954" w:name="Tc_D6G5MpKDAUeK1ro-BubSaw_13_0"/>
      <w:bookmarkStart w:id="955" w:name="Tc_BceZSOjnnkK-ZHYIL2mfow_12_0"/>
      <w:bookmarkStart w:id="956" w:name="Tc_PpabP9d1O0i4b0-yDavPQA_10_0"/>
      <w:bookmarkStart w:id="957" w:name="Tc_mbSR2OKb0kKzctJlWyk4Ng_9_0"/>
      <w:bookmarkStart w:id="958" w:name="Tc_1TdmL6dypkGzgYFF3i1BWA_8_0"/>
      <w:bookmarkStart w:id="959" w:name="Tc_oXJVn6_qZEKp-FSn7aNTbA_7_0"/>
      <w:bookmarkStart w:id="960" w:name="Tc_q2wJJyl1OUOsKUtkyR0EKg_6_0"/>
      <w:bookmarkStart w:id="961" w:name="Tc_KxmT0tFfNk-nP5_hgzQBrw_5_17"/>
      <w:bookmarkStart w:id="962" w:name="Tc_2IuwsMw5eky7kAZUspHfeg_5_14"/>
      <w:bookmarkStart w:id="963" w:name="Tc_LLHz5_5RUE-MV6BbXu95yA_5_11"/>
      <w:bookmarkStart w:id="964" w:name="Tc_wRiMSRDYzkGAxbvAPW0GWQ_5_8"/>
      <w:bookmarkStart w:id="965" w:name="Tc_hhk1Rj0IY0a4IHlxbLadXw_5_5"/>
      <w:bookmarkStart w:id="966" w:name="Tc_26DxsDBBzUmdKwQ9ti4Wug_5_2"/>
      <w:bookmarkStart w:id="967" w:name="Tc_rJRvlme7qkKkZsQJbuHo5g_5_0"/>
      <w:bookmarkStart w:id="968" w:name="Tc_Iqf0ekkZGUC659A1j1InTg_4_17"/>
      <w:bookmarkStart w:id="969" w:name="Tc_XQbcY8lp3EWE8XJZXUN0Lw_4_14"/>
      <w:bookmarkStart w:id="970" w:name="Tc_rh1p2T1H60CPVHTx8eeEhw_4_11"/>
      <w:bookmarkStart w:id="971" w:name="Tc_VCg6qhILz0SPGlEYC03r_Q_4_8"/>
      <w:bookmarkStart w:id="972" w:name="Tc_D14oHedQMECrR76s75vbOw_4_5"/>
      <w:bookmarkStart w:id="973" w:name="Tc_wCTxhD3B50SAjPxlwtU2pQ_4_2"/>
      <w:bookmarkStart w:id="974" w:name="Tc_LMpK-q9dOEKlG6ytkH693g_4_0"/>
      <w:bookmarkStart w:id="975" w:name="Tc_XBDsyJwpIkKQQYKOeKJGnQ_3_17"/>
      <w:bookmarkStart w:id="976" w:name="Tc_Z0k1xTjU_UW3MrxunY1sEQ_3_14"/>
      <w:bookmarkStart w:id="977" w:name="Tc_TPp0Z0cfRkSRwYfUwiMa_w_3_11"/>
      <w:bookmarkStart w:id="978" w:name="Tc_QjTV_7PW1UmS52-0VIwFaA_3_8"/>
      <w:bookmarkStart w:id="979" w:name="Tc_85GGU6Yaz0C1pTBQsz2Zhg_3_5"/>
      <w:bookmarkStart w:id="980" w:name="Tc_XWaO0T_gOEqiyFaWryfyHA_3_2"/>
      <w:bookmarkStart w:id="981" w:name="Tc_U3Hy8nPry0iwFlxzOM7CFQ_2_14"/>
      <w:bookmarkStart w:id="982" w:name="Tc_7YFdvcYheUOdOdqfQrS_MQ_2_8"/>
      <w:bookmarkStart w:id="983" w:name="Tc_nn6XMlLuskOEsYCHusTxJg_2_2"/>
      <w:bookmarkStart w:id="984" w:name="Tc_fomFaFYYdkKdSHZ1IguMuA_1_2"/>
      <w:bookmarkStart w:id="985" w:name="_893c1669_1901_473a_a6ff_bfa1790f7054"/>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sz w:val="20"/>
        </w:rPr>
        <w:t xml:space="preserve">Investment securities that were in an unrealized loss position at the dates indicated are presented in the following tables, based on the length of time individual securities have been in an unrealized loss position.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58"/>
        <w:gridCol w:w="326"/>
        <w:gridCol w:w="211"/>
        <w:gridCol w:w="676"/>
        <w:gridCol w:w="326"/>
        <w:gridCol w:w="302"/>
        <w:gridCol w:w="689"/>
        <w:gridCol w:w="326"/>
        <w:gridCol w:w="211"/>
        <w:gridCol w:w="781"/>
        <w:gridCol w:w="326"/>
        <w:gridCol w:w="211"/>
        <w:gridCol w:w="780"/>
        <w:gridCol w:w="326"/>
        <w:gridCol w:w="211"/>
        <w:gridCol w:w="781"/>
        <w:gridCol w:w="326"/>
        <w:gridCol w:w="211"/>
        <w:gridCol w:w="827"/>
      </w:tblGrid>
      <w:tr>
        <w:trPr/>
        <w:tc>
          <w:tcPr>
            <w:tcW w:w="23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497330" cy="175260"/>
                      <wp:effectExtent l="0" t="0" r="0" b="0"/>
                      <wp:wrapNone/>
                      <wp:docPr id="142" name="Frame142"/>
                      <a:graphic xmlns:a="http://schemas.openxmlformats.org/drawingml/2006/main">
                        <a:graphicData uri="http://schemas.microsoft.com/office/word/2010/wordprocessingShape">
                          <wps:wsp>
                            <wps:cNvSpPr txBox="1"/>
                            <wps:spPr>
                              <a:xfrm>
                                <a:off x="0" y="0"/>
                                <a:ext cx="14973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29260" cy="175260"/>
                      <wp:effectExtent l="0" t="0" r="0" b="0"/>
                      <wp:wrapNone/>
                      <wp:docPr id="145" name="Frame14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1770" cy="175260"/>
                      <wp:effectExtent l="0" t="0" r="0" b="0"/>
                      <wp:wrapNone/>
                      <wp:docPr id="147" name="Frame147"/>
                      <a:graphic xmlns:a="http://schemas.openxmlformats.org/drawingml/2006/main">
                        <a:graphicData uri="http://schemas.microsoft.com/office/word/2010/wordprocessingShape">
                          <wps:wsp>
                            <wps:cNvSpPr txBox="1"/>
                            <wps:spPr>
                              <a:xfrm>
                                <a:off x="0" y="0"/>
                                <a:ext cx="191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37515" cy="175260"/>
                      <wp:effectExtent l="0" t="0" r="0" b="0"/>
                      <wp:wrapNone/>
                      <wp:docPr id="148" name="Frame148"/>
                      <a:graphic xmlns:a="http://schemas.openxmlformats.org/drawingml/2006/main">
                        <a:graphicData uri="http://schemas.microsoft.com/office/word/2010/wordprocessingShape">
                          <wps:wsp>
                            <wps:cNvSpPr txBox="1"/>
                            <wps:spPr>
                              <a:xfrm>
                                <a:off x="0" y="0"/>
                                <a:ext cx="4375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95935" cy="175260"/>
                      <wp:effectExtent l="0" t="0" r="0" b="0"/>
                      <wp:wrapNone/>
                      <wp:docPr id="151" name="Frame15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300" cy="175260"/>
                      <wp:effectExtent l="0" t="0" r="0" b="0"/>
                      <wp:wrapNone/>
                      <wp:docPr id="154" name="Frame154"/>
                      <a:graphic xmlns:a="http://schemas.openxmlformats.org/drawingml/2006/main">
                        <a:graphicData uri="http://schemas.microsoft.com/office/word/2010/wordprocessingShape">
                          <wps:wsp>
                            <wps:cNvSpPr txBox="1"/>
                            <wps:spPr>
                              <a:xfrm>
                                <a:off x="0" y="0"/>
                                <a:ext cx="4953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95935" cy="175260"/>
                      <wp:effectExtent l="0" t="0" r="0" b="0"/>
                      <wp:wrapNone/>
                      <wp:docPr id="157" name="Frame15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25145" cy="175260"/>
                      <wp:effectExtent l="0" t="0" r="0" b="0"/>
                      <wp:wrapNone/>
                      <wp:docPr id="160" name="Frame160"/>
                      <a:graphic xmlns:a="http://schemas.openxmlformats.org/drawingml/2006/main">
                        <a:graphicData uri="http://schemas.microsoft.com/office/word/2010/wordprocessingShape">
                          <wps:wsp>
                            <wps:cNvSpPr txBox="1"/>
                            <wps:spPr>
                              <a:xfrm>
                                <a:off x="0" y="0"/>
                                <a:ext cx="5251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5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521" w:type="dxa"/>
            <w:gridSpan w:val="1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March 31, 2023</w:t>
            </w:r>
          </w:p>
        </w:tc>
      </w:tr>
      <w:tr>
        <w:trPr/>
        <w:tc>
          <w:tcPr>
            <w:tcW w:w="235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0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Less than 12 Months</w:t>
            </w:r>
          </w:p>
        </w:tc>
        <w:tc>
          <w:tcPr>
            <w:tcW w:w="326" w:type="dxa"/>
            <w:tcBorders/>
            <w:shd w:fill="auto" w:val="clear"/>
            <w:vAlign w:val="center"/>
          </w:tcPr>
          <w:p>
            <w:pPr>
              <w:pStyle w:val="TableContents"/>
              <w:spacing w:before="0" w:after="1"/>
              <w:ind w:left="0" w:right="0" w:hanging="0"/>
              <w:jc w:val="center"/>
              <w:rPr/>
            </w:pPr>
            <w:r>
              <w:rPr/>
              <w:t>​</w:t>
            </w:r>
          </w:p>
        </w:tc>
        <w:tc>
          <w:tcPr>
            <w:tcW w:w="230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12 Months or Longer</w:t>
            </w:r>
          </w:p>
        </w:tc>
        <w:tc>
          <w:tcPr>
            <w:tcW w:w="326" w:type="dxa"/>
            <w:tcBorders/>
            <w:shd w:fill="auto" w:val="clear"/>
            <w:vAlign w:val="center"/>
          </w:tcPr>
          <w:p>
            <w:pPr>
              <w:pStyle w:val="TableContents"/>
              <w:spacing w:before="0" w:after="1"/>
              <w:ind w:left="0" w:right="0" w:hanging="0"/>
              <w:jc w:val="center"/>
              <w:rPr/>
            </w:pPr>
            <w:r>
              <w:rPr/>
              <w:t>​</w:t>
            </w:r>
          </w:p>
        </w:tc>
        <w:tc>
          <w:tcPr>
            <w:tcW w:w="235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Total</w:t>
            </w:r>
          </w:p>
        </w:tc>
      </w:tr>
      <w:tr>
        <w:trPr/>
        <w:tc>
          <w:tcPr>
            <w:tcW w:w="235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Unrealized</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 xml:space="preserve">Fair </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Unrealized</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shd w:fill="auto" w:val="clear"/>
            <w:vAlign w:val="center"/>
          </w:tcPr>
          <w:p>
            <w:pPr>
              <w:pStyle w:val="TableContents"/>
              <w:spacing w:before="0" w:after="1"/>
              <w:ind w:left="0" w:right="0" w:hanging="0"/>
              <w:rPr/>
            </w:pPr>
            <w:r>
              <w:rPr/>
              <w:t>    </w:t>
            </w:r>
          </w:p>
        </w:tc>
        <w:tc>
          <w:tcPr>
            <w:tcW w:w="1038" w:type="dxa"/>
            <w:gridSpan w:val="2"/>
            <w:tcBorders/>
            <w:shd w:fill="auto" w:val="cle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Unrealized</w:t>
            </w:r>
          </w:p>
        </w:tc>
      </w:tr>
      <w:tr>
        <w:trPr/>
        <w:tc>
          <w:tcPr>
            <w:tcW w:w="2358" w:type="dxa"/>
            <w:tcBorders/>
            <w:shd w:fill="auto"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SECURITIES AVAILABLE-FOR-SALE</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shd w:fill="auto" w:val="clear"/>
            <w:vAlign w:val="center"/>
          </w:tcPr>
          <w:p>
            <w:pPr>
              <w:pStyle w:val="TableContents"/>
              <w:spacing w:before="0" w:after="1"/>
              <w:ind w:left="0" w:right="0" w:hanging="0"/>
              <w:rPr/>
            </w:pPr>
            <w:r>
              <w:rPr/>
              <w:t> </w:t>
            </w:r>
          </w:p>
        </w:tc>
        <w:tc>
          <w:tcPr>
            <w:tcW w:w="103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r>
      <w:tr>
        <w:trPr/>
        <w:tc>
          <w:tcPr>
            <w:tcW w:w="2358"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U.S. agency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2,913</w:t>
            </w:r>
          </w:p>
        </w:tc>
        <w:tc>
          <w:tcPr>
            <w:tcW w:w="32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689"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14,972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0"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(3,244)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17,885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(3,267)</w:t>
            </w:r>
          </w:p>
        </w:tc>
      </w:tr>
      <w:tr>
        <w:trPr/>
        <w:tc>
          <w:tcPr>
            <w:tcW w:w="2358"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Corporate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2,488</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w:t>
            </w:r>
          </w:p>
        </w:tc>
        <w:tc>
          <w:tcPr>
            <w:tcW w:w="689"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4,118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0"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(882)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6,606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7"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(893)</w:t>
            </w:r>
          </w:p>
        </w:tc>
      </w:tr>
      <w:tr>
        <w:trPr/>
        <w:tc>
          <w:tcPr>
            <w:tcW w:w="2358"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Municipal bonds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8,162</w:t>
            </w:r>
          </w:p>
        </w:tc>
        <w:tc>
          <w:tcPr>
            <w:tcW w:w="32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w:t>
            </w:r>
          </w:p>
        </w:tc>
        <w:tc>
          <w:tcPr>
            <w:tcW w:w="689"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110,996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0"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(20,412)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119,158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27"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(20,531)</w:t>
            </w:r>
          </w:p>
        </w:tc>
      </w:tr>
      <w:tr>
        <w:trPr/>
        <w:tc>
          <w:tcPr>
            <w:tcW w:w="2358"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Mortgage-backed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8,191</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 </w:t>
            </w:r>
          </w:p>
        </w:tc>
        <w:tc>
          <w:tcPr>
            <w:tcW w:w="689"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(240)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61,896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0"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(10,477)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70,087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27"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(10,717)</w:t>
            </w:r>
          </w:p>
        </w:tc>
      </w:tr>
      <w:tr>
        <w:trPr/>
        <w:tc>
          <w:tcPr>
            <w:tcW w:w="2358"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U.S. Small Business Administration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1,125</w:t>
            </w:r>
          </w:p>
        </w:tc>
        <w:tc>
          <w:tcPr>
            <w:tcW w:w="326" w:type="dxa"/>
            <w:tcBorders/>
            <w:shd w:fill="CCEEFF" w:val="clear"/>
            <w:vAlign w:val="center"/>
          </w:tcPr>
          <w:p>
            <w:pPr>
              <w:pStyle w:val="TableContents"/>
              <w:spacing w:before="0" w:after="1"/>
              <w:ind w:left="0" w:right="0" w:hanging="0"/>
              <w:rPr/>
            </w:pPr>
            <w:r>
              <w:rPr/>
              <w:t>​</w:t>
            </w:r>
          </w:p>
        </w:tc>
        <w:tc>
          <w:tcPr>
            <w:tcW w:w="30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8,803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(1,068)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9,928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(1,070)</w:t>
            </w:r>
          </w:p>
        </w:tc>
      </w:tr>
      <w:tr>
        <w:trPr/>
        <w:tc>
          <w:tcPr>
            <w:tcW w:w="2358"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Total securities available-for-sale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22,879</w:t>
            </w:r>
          </w:p>
        </w:tc>
        <w:tc>
          <w:tcPr>
            <w:tcW w:w="326" w:type="dxa"/>
            <w:tcBorders/>
            <w:shd w:fill="auto" w:val="clear"/>
            <w:vAlign w:val="center"/>
          </w:tcPr>
          <w:p>
            <w:pPr>
              <w:pStyle w:val="TableContents"/>
              <w:spacing w:before="0" w:after="1"/>
              <w:ind w:left="0" w:right="0" w:hanging="0"/>
              <w:rPr/>
            </w:pPr>
            <w:r>
              <w:rPr/>
              <w:t>​</w:t>
            </w:r>
          </w:p>
        </w:tc>
        <w:tc>
          <w:tcPr>
            <w:tcW w:w="30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(395)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200,785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(36,083)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223,664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(36,478)</w:t>
            </w:r>
          </w:p>
        </w:tc>
      </w:tr>
      <w:tr>
        <w:trPr/>
        <w:tc>
          <w:tcPr>
            <w:tcW w:w="2358"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w:t>
            </w:r>
          </w:p>
        </w:tc>
        <w:tc>
          <w:tcPr>
            <w:tcW w:w="68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27" w:type="dxa"/>
            <w:tcBorders/>
            <w:shd w:fill="CCEEFF" w:val="clear"/>
            <w:vAlign w:val="center"/>
          </w:tcPr>
          <w:p>
            <w:pPr>
              <w:pStyle w:val="TableContents"/>
              <w:spacing w:before="0" w:after="1"/>
              <w:ind w:left="0" w:right="0" w:hanging="0"/>
              <w:jc w:val="right"/>
              <w:rPr/>
            </w:pPr>
            <w:r>
              <w:rPr/>
              <w:t>​</w:t>
            </w:r>
          </w:p>
        </w:tc>
      </w:tr>
      <w:tr>
        <w:trPr/>
        <w:tc>
          <w:tcPr>
            <w:tcW w:w="2358"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SECURITIES HELD-TO-MATURITY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w:t>
            </w:r>
          </w:p>
        </w:tc>
        <w:tc>
          <w:tcPr>
            <w:tcW w:w="68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7" w:type="dxa"/>
            <w:tcBorders/>
            <w:shd w:fill="auto" w:val="clear"/>
            <w:vAlign w:val="center"/>
          </w:tcPr>
          <w:p>
            <w:pPr>
              <w:pStyle w:val="TableContents"/>
              <w:spacing w:before="0" w:after="1"/>
              <w:ind w:left="0" w:right="0" w:hanging="0"/>
              <w:jc w:val="right"/>
              <w:rPr/>
            </w:pPr>
            <w:r>
              <w:rPr/>
              <w:t>​</w:t>
            </w:r>
          </w:p>
        </w:tc>
      </w:tr>
      <w:tr>
        <w:trPr/>
        <w:tc>
          <w:tcPr>
            <w:tcW w:w="23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6,995</w:t>
            </w:r>
          </w:p>
        </w:tc>
        <w:tc>
          <w:tcPr>
            <w:tcW w:w="326" w:type="dxa"/>
            <w:tcBorders/>
            <w:shd w:fill="CCEEFF" w:val="clear"/>
            <w:vAlign w:val="center"/>
          </w:tcPr>
          <w:p>
            <w:pPr>
              <w:pStyle w:val="TableContents"/>
              <w:spacing w:before="0" w:after="1"/>
              <w:ind w:left="0" w:right="0" w:hanging="0"/>
              <w:rPr/>
            </w:pPr>
            <w:r>
              <w:rPr/>
              <w:t>​</w:t>
            </w:r>
          </w:p>
        </w:tc>
        <w:tc>
          <w:tcPr>
            <w:tcW w:w="30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(505)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929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7,924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(576)</w:t>
            </w:r>
          </w:p>
        </w:tc>
      </w:tr>
      <w:tr>
        <w:trPr/>
        <w:tc>
          <w:tcPr>
            <w:tcW w:w="235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securities held-to-maturity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6,995</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w:t>
            </w:r>
          </w:p>
        </w:tc>
        <w:tc>
          <w:tcPr>
            <w:tcW w:w="689"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(505)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929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0"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7,924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27"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(576)</w:t>
            </w:r>
          </w:p>
        </w:tc>
      </w:tr>
      <w:tr>
        <w:trPr/>
        <w:tc>
          <w:tcPr>
            <w:tcW w:w="2358"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235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29,874</w:t>
            </w:r>
          </w:p>
        </w:tc>
        <w:tc>
          <w:tcPr>
            <w:tcW w:w="326" w:type="dxa"/>
            <w:tcBorders/>
            <w:shd w:fill="auto" w:val="clear"/>
            <w:vAlign w:val="center"/>
          </w:tcPr>
          <w:p>
            <w:pPr>
              <w:pStyle w:val="TableContents"/>
              <w:spacing w:before="0" w:after="1"/>
              <w:ind w:left="0" w:right="0" w:hanging="0"/>
              <w:rPr/>
            </w:pPr>
            <w:r>
              <w:rPr/>
              <w:t>​</w:t>
            </w:r>
          </w:p>
        </w:tc>
        <w:tc>
          <w:tcPr>
            <w:tcW w:w="30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68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(900)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201,714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(36,154)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231,588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(37,054)</w:t>
            </w:r>
          </w:p>
        </w:tc>
      </w:tr>
    </w:tbl>
    <w:p>
      <w:pPr>
        <w:pStyle w:val="TextBody"/>
        <w:spacing w:before="0" w:after="200"/>
        <w:ind w:left="0" w:right="0" w:hanging="0"/>
        <w:jc w:val="both"/>
        <w:rPr/>
      </w:pPr>
      <w:r>
        <w:rPr/>
        <w:t>​</w:t>
      </w:r>
    </w:p>
    <w:tbl>
      <w:tblPr>
        <w:tblW w:w="10531" w:type="dxa"/>
        <w:jc w:val="left"/>
        <w:tblInd w:w="0" w:type="dxa"/>
        <w:tblCellMar>
          <w:top w:w="0" w:type="dxa"/>
          <w:left w:w="0" w:type="dxa"/>
          <w:bottom w:w="0" w:type="dxa"/>
          <w:right w:w="0" w:type="dxa"/>
        </w:tblCellMar>
      </w:tblPr>
      <w:tblGrid>
        <w:gridCol w:w="2311"/>
        <w:gridCol w:w="326"/>
        <w:gridCol w:w="211"/>
        <w:gridCol w:w="676"/>
        <w:gridCol w:w="326"/>
        <w:gridCol w:w="257"/>
        <w:gridCol w:w="899"/>
        <w:gridCol w:w="326"/>
        <w:gridCol w:w="211"/>
        <w:gridCol w:w="781"/>
        <w:gridCol w:w="326"/>
        <w:gridCol w:w="244"/>
        <w:gridCol w:w="852"/>
        <w:gridCol w:w="326"/>
        <w:gridCol w:w="211"/>
        <w:gridCol w:w="781"/>
        <w:gridCol w:w="326"/>
        <w:gridCol w:w="242"/>
        <w:gridCol w:w="899"/>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67485" cy="175260"/>
                      <wp:effectExtent l="0" t="0" r="0" b="0"/>
                      <wp:wrapNone/>
                      <wp:docPr id="161" name="Frame161"/>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63195" cy="175260"/>
                      <wp:effectExtent l="0" t="0" r="0" b="0"/>
                      <wp:wrapNone/>
                      <wp:docPr id="166" name="Frame166"/>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0865" cy="175260"/>
                      <wp:effectExtent l="0" t="0" r="0" b="0"/>
                      <wp:wrapNone/>
                      <wp:docPr id="167" name="Frame167"/>
                      <a:graphic xmlns:a="http://schemas.openxmlformats.org/drawingml/2006/main">
                        <a:graphicData uri="http://schemas.microsoft.com/office/word/2010/wordprocessingShape">
                          <wps:wsp>
                            <wps:cNvSpPr txBox="1"/>
                            <wps:spPr>
                              <a:xfrm>
                                <a:off x="0" y="0"/>
                                <a:ext cx="570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70" name="Frame17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4940" cy="175260"/>
                      <wp:effectExtent l="0" t="0" r="0" b="0"/>
                      <wp:wrapNone/>
                      <wp:docPr id="172" name="Frame172"/>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41020" cy="175260"/>
                      <wp:effectExtent l="0" t="0" r="0" b="0"/>
                      <wp:wrapNone/>
                      <wp:docPr id="173" name="Frame173"/>
                      <a:graphic xmlns:a="http://schemas.openxmlformats.org/drawingml/2006/main">
                        <a:graphicData uri="http://schemas.microsoft.com/office/word/2010/wordprocessingShape">
                          <wps:wsp>
                            <wps:cNvSpPr txBox="1"/>
                            <wps:spPr>
                              <a:xfrm>
                                <a:off x="0" y="0"/>
                                <a:ext cx="5410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95935" cy="175260"/>
                      <wp:effectExtent l="0" t="0" r="0" b="0"/>
                      <wp:wrapNone/>
                      <wp:docPr id="176" name="Frame17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53670" cy="175260"/>
                      <wp:effectExtent l="0" t="0" r="0" b="0"/>
                      <wp:wrapNone/>
                      <wp:docPr id="178" name="Frame178"/>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70865" cy="175260"/>
                      <wp:effectExtent l="0" t="0" r="0" b="0"/>
                      <wp:wrapNone/>
                      <wp:docPr id="179" name="Frame179"/>
                      <a:graphic xmlns:a="http://schemas.openxmlformats.org/drawingml/2006/main">
                        <a:graphicData uri="http://schemas.microsoft.com/office/word/2010/wordprocessingShape">
                          <wps:wsp>
                            <wps:cNvSpPr txBox="1"/>
                            <wps:spPr>
                              <a:xfrm>
                                <a:off x="0" y="0"/>
                                <a:ext cx="570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94" w:type="dxa"/>
            <w:gridSpan w:val="1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December 31, 2022</w: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6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Less than 12 Months</w:t>
            </w:r>
          </w:p>
        </w:tc>
        <w:tc>
          <w:tcPr>
            <w:tcW w:w="326" w:type="dxa"/>
            <w:tcBorders/>
            <w:shd w:fill="auto" w:val="clear"/>
            <w:vAlign w:val="center"/>
          </w:tcPr>
          <w:p>
            <w:pPr>
              <w:pStyle w:val="TableContents"/>
              <w:spacing w:before="0" w:after="1"/>
              <w:ind w:left="0" w:right="0" w:hanging="0"/>
              <w:jc w:val="center"/>
              <w:rPr/>
            </w:pPr>
            <w:r>
              <w:rPr/>
              <w:t>​</w:t>
            </w:r>
          </w:p>
        </w:tc>
        <w:tc>
          <w:tcPr>
            <w:tcW w:w="241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12 Months or Longer</w:t>
            </w:r>
          </w:p>
        </w:tc>
        <w:tc>
          <w:tcPr>
            <w:tcW w:w="326" w:type="dxa"/>
            <w:tcBorders/>
            <w:shd w:fill="auto" w:val="clear"/>
            <w:vAlign w:val="center"/>
          </w:tcPr>
          <w:p>
            <w:pPr>
              <w:pStyle w:val="TableContents"/>
              <w:spacing w:before="0" w:after="1"/>
              <w:ind w:left="0" w:right="0" w:hanging="0"/>
              <w:jc w:val="center"/>
              <w:rPr/>
            </w:pPr>
            <w:r>
              <w:rPr/>
              <w:t>​</w:t>
            </w:r>
          </w:p>
        </w:tc>
        <w:tc>
          <w:tcPr>
            <w:tcW w:w="245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Total</w: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shd w:fill="auto" w:val="clear"/>
            <w:vAlign w:val="center"/>
          </w:tcPr>
          <w:p>
            <w:pPr>
              <w:pStyle w:val="TableContents"/>
              <w:spacing w:before="0" w:after="1"/>
              <w:ind w:left="0" w:right="0" w:hanging="0"/>
              <w:rPr/>
            </w:pPr>
            <w:r>
              <w:rPr/>
              <w:t>    </w:t>
            </w:r>
          </w:p>
        </w:tc>
        <w:tc>
          <w:tcPr>
            <w:tcW w:w="1156"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sz w:val="19"/>
              </w:rPr>
              <w:t>Unrealized</w:t>
            </w:r>
            <w:r>
              <w:rPr>
                <w:rFonts w:ascii="Times New Roman;Times;serif" w:hAnsi="Times New Roman;Times;serif"/>
                <w:sz w:val="18"/>
              </w:rPr>
              <w:t> </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shd w:fill="auto" w:val="clear"/>
            <w:vAlign w:val="center"/>
          </w:tcPr>
          <w:p>
            <w:pPr>
              <w:pStyle w:val="TableContents"/>
              <w:spacing w:before="0" w:after="1"/>
              <w:ind w:left="0" w:right="0" w:hanging="0"/>
              <w:rPr/>
            </w:pPr>
            <w:r>
              <w:rPr/>
              <w:t>    </w:t>
            </w:r>
          </w:p>
        </w:tc>
        <w:tc>
          <w:tcPr>
            <w:tcW w:w="1096"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sz w:val="19"/>
              </w:rPr>
              <w:t>Unrealized</w:t>
            </w:r>
            <w:r>
              <w:rPr>
                <w:rFonts w:ascii="Times New Roman;Times;serif" w:hAnsi="Times New Roman;Times;serif"/>
                <w:sz w:val="18"/>
              </w:rPr>
              <w:t> </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shd w:fill="auto" w:val="clear"/>
            <w:vAlign w:val="center"/>
          </w:tcPr>
          <w:p>
            <w:pPr>
              <w:pStyle w:val="TableContents"/>
              <w:spacing w:before="0" w:after="1"/>
              <w:ind w:left="0" w:right="0" w:hanging="0"/>
              <w:rPr/>
            </w:pPr>
            <w:r>
              <w:rPr/>
              <w:t>    </w:t>
            </w:r>
          </w:p>
        </w:tc>
        <w:tc>
          <w:tcPr>
            <w:tcW w:w="1141"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sz w:val="19"/>
              </w:rPr>
              <w:t>Unrealized</w:t>
            </w:r>
            <w:r>
              <w:rPr>
                <w:rFonts w:ascii="Times New Roman;Times;serif" w:hAnsi="Times New Roman;Times;serif"/>
                <w:sz w:val="18"/>
              </w:rPr>
              <w:t> </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SECURITIES AVAILABLE-FOR-SALE</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shd w:fill="auto" w:val="clear"/>
            <w:vAlign w:val="center"/>
          </w:tcPr>
          <w:p>
            <w:pPr>
              <w:pStyle w:val="TableContents"/>
              <w:spacing w:before="0" w:after="1"/>
              <w:ind w:left="0" w:right="0" w:hanging="0"/>
              <w:rPr/>
            </w:pPr>
            <w:r>
              <w:rPr/>
              <w:t> </w:t>
            </w:r>
          </w:p>
        </w:tc>
        <w:tc>
          <w:tcPr>
            <w:tcW w:w="115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shd w:fill="auto" w:val="clear"/>
            <w:vAlign w:val="center"/>
          </w:tcPr>
          <w:p>
            <w:pPr>
              <w:pStyle w:val="TableContents"/>
              <w:spacing w:before="0" w:after="1"/>
              <w:ind w:left="0" w:right="0" w:hanging="0"/>
              <w:rPr/>
            </w:pPr>
            <w:r>
              <w:rPr/>
              <w:t> </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shd w:fill="auto" w:val="clear"/>
            <w:vAlign w:val="center"/>
          </w:tcPr>
          <w:p>
            <w:pPr>
              <w:pStyle w:val="TableContents"/>
              <w:spacing w:before="0" w:after="1"/>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U.S. agency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3,823</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99"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13,465</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52"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(3,747)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17,288</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99"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(3,865)</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Corporate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2,494</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 </w:t>
            </w:r>
          </w:p>
        </w:tc>
        <w:tc>
          <w:tcPr>
            <w:tcW w:w="899"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4,026</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 </w:t>
            </w:r>
          </w:p>
        </w:tc>
        <w:tc>
          <w:tcPr>
            <w:tcW w:w="852"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(975)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6,520</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 </w:t>
            </w:r>
          </w:p>
        </w:tc>
        <w:tc>
          <w:tcPr>
            <w:tcW w:w="899"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(979)</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Municipal bonds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44,261</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pPr>
            <w:r>
              <w:rPr/>
              <w:t>​</w:t>
            </w:r>
          </w:p>
        </w:tc>
        <w:tc>
          <w:tcPr>
            <w:tcW w:w="899"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(5,794)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73,990</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pPr>
            <w:r>
              <w:rPr/>
              <w:t>​</w:t>
            </w:r>
          </w:p>
        </w:tc>
        <w:tc>
          <w:tcPr>
            <w:tcW w:w="852"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(17,825)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118,251</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pPr>
            <w:r>
              <w:rPr/>
              <w:t>​</w:t>
            </w:r>
          </w:p>
        </w:tc>
        <w:tc>
          <w:tcPr>
            <w:tcW w:w="899"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(23,619)</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Mortgage-backed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29,791</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 </w:t>
            </w:r>
          </w:p>
        </w:tc>
        <w:tc>
          <w:tcPr>
            <w:tcW w:w="899"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(3,188)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40,175</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 </w:t>
            </w:r>
          </w:p>
        </w:tc>
        <w:tc>
          <w:tcPr>
            <w:tcW w:w="852"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(9,270)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69,966</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 </w:t>
            </w:r>
          </w:p>
        </w:tc>
        <w:tc>
          <w:tcPr>
            <w:tcW w:w="899"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(12,458)</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U.S. Small Business Administration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10,807</w:t>
            </w:r>
          </w:p>
        </w:tc>
        <w:tc>
          <w:tcPr>
            <w:tcW w:w="326" w:type="dxa"/>
            <w:tcBorders/>
            <w:shd w:fill="CCEEFF" w:val="clear"/>
            <w:vAlign w:val="center"/>
          </w:tcPr>
          <w:p>
            <w:pPr>
              <w:pStyle w:val="TableContents"/>
              <w:spacing w:before="0" w:after="1"/>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9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(1,162)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2,044</w:t>
            </w:r>
          </w:p>
        </w:tc>
        <w:tc>
          <w:tcPr>
            <w:tcW w:w="326" w:type="dxa"/>
            <w:tcBorders/>
            <w:shd w:fill="CCEEFF" w:val="clear"/>
            <w:vAlign w:val="center"/>
          </w:tcPr>
          <w:p>
            <w:pPr>
              <w:pStyle w:val="TableContents"/>
              <w:spacing w:before="0" w:after="1"/>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(506)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12,851</w:t>
            </w:r>
          </w:p>
        </w:tc>
        <w:tc>
          <w:tcPr>
            <w:tcW w:w="326" w:type="dxa"/>
            <w:tcBorders/>
            <w:shd w:fill="CCEEFF" w:val="clear"/>
            <w:vAlign w:val="center"/>
          </w:tcPr>
          <w:p>
            <w:pPr>
              <w:pStyle w:val="TableContents"/>
              <w:spacing w:before="0" w:after="1"/>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9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(1,668)</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Total securities available-for-sale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91,176</w:t>
            </w:r>
          </w:p>
        </w:tc>
        <w:tc>
          <w:tcPr>
            <w:tcW w:w="326" w:type="dxa"/>
            <w:tcBorders/>
            <w:shd w:fill="auto" w:val="clear"/>
            <w:vAlign w:val="center"/>
          </w:tcPr>
          <w:p>
            <w:pPr>
              <w:pStyle w:val="TableContents"/>
              <w:spacing w:before="0" w:after="1"/>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9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(10,266)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133,700</w:t>
            </w:r>
          </w:p>
        </w:tc>
        <w:tc>
          <w:tcPr>
            <w:tcW w:w="326" w:type="dxa"/>
            <w:tcBorders/>
            <w:shd w:fill="auto" w:val="clear"/>
            <w:vAlign w:val="center"/>
          </w:tcPr>
          <w:p>
            <w:pPr>
              <w:pStyle w:val="TableContents"/>
              <w:spacing w:before="0" w:after="1"/>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(32,323)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224,876</w:t>
            </w:r>
          </w:p>
        </w:tc>
        <w:tc>
          <w:tcPr>
            <w:tcW w:w="326" w:type="dxa"/>
            <w:tcBorders/>
            <w:shd w:fill="auto" w:val="clear"/>
            <w:vAlign w:val="center"/>
          </w:tcPr>
          <w:p>
            <w:pPr>
              <w:pStyle w:val="TableContents"/>
              <w:spacing w:before="0" w:after="1"/>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9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(42,589)</w:t>
            </w:r>
          </w:p>
        </w:tc>
      </w:tr>
      <w:tr>
        <w:trPr/>
        <w:tc>
          <w:tcPr>
            <w:tcW w:w="23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pPr>
            <w:r>
              <w:rPr/>
              <w:t>​</w:t>
            </w:r>
          </w:p>
        </w:tc>
        <w:tc>
          <w:tcPr>
            <w:tcW w:w="89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4" w:type="dxa"/>
            <w:tcBorders/>
            <w:shd w:fill="CCEEFF" w:val="clear"/>
            <w:vAlign w:val="center"/>
          </w:tcPr>
          <w:p>
            <w:pPr>
              <w:pStyle w:val="TableContents"/>
              <w:spacing w:before="0" w:after="1"/>
              <w:ind w:left="0" w:right="0" w:hanging="0"/>
              <w:rPr/>
            </w:pPr>
            <w:r>
              <w:rPr/>
              <w:t>​</w:t>
            </w:r>
          </w:p>
        </w:tc>
        <w:tc>
          <w:tcPr>
            <w:tcW w:w="85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pPr>
            <w:r>
              <w:rPr/>
              <w:t>​</w:t>
            </w:r>
          </w:p>
        </w:tc>
        <w:tc>
          <w:tcPr>
            <w:tcW w:w="899" w:type="dxa"/>
            <w:tcBorders/>
            <w:shd w:fill="CCEEFF" w:val="clear"/>
            <w:vAlign w:val="center"/>
          </w:tcPr>
          <w:p>
            <w:pPr>
              <w:pStyle w:val="TableContents"/>
              <w:spacing w:before="0" w:after="1"/>
              <w:ind w:left="0" w:right="0" w:hanging="0"/>
              <w:jc w:val="right"/>
              <w:rPr/>
            </w:pPr>
            <w:r>
              <w:rPr/>
              <w:t>​</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SECURITIES HELD-TO-MATURITY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w:t>
            </w:r>
          </w:p>
        </w:tc>
        <w:tc>
          <w:tcPr>
            <w:tcW w:w="89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w:t>
            </w:r>
          </w:p>
        </w:tc>
        <w:tc>
          <w:tcPr>
            <w:tcW w:w="85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899" w:type="dxa"/>
            <w:tcBorders/>
            <w:shd w:fill="auto" w:val="clear"/>
            <w:vAlign w:val="center"/>
          </w:tcPr>
          <w:p>
            <w:pPr>
              <w:pStyle w:val="TableContents"/>
              <w:spacing w:before="0" w:after="1"/>
              <w:ind w:left="0" w:right="0" w:hanging="0"/>
              <w:jc w:val="right"/>
              <w:rPr/>
            </w:pPr>
            <w:r>
              <w:rPr/>
              <w:t>​</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Corporate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7,929</w:t>
            </w:r>
          </w:p>
        </w:tc>
        <w:tc>
          <w:tcPr>
            <w:tcW w:w="326" w:type="dxa"/>
            <w:tcBorders/>
            <w:shd w:fill="CCEEFF" w:val="clear"/>
            <w:vAlign w:val="center"/>
          </w:tcPr>
          <w:p>
            <w:pPr>
              <w:pStyle w:val="TableContents"/>
              <w:spacing w:before="0" w:after="1"/>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(571)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5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7,929</w:t>
            </w:r>
          </w:p>
        </w:tc>
        <w:tc>
          <w:tcPr>
            <w:tcW w:w="326" w:type="dxa"/>
            <w:tcBorders/>
            <w:shd w:fill="CCEEFF" w:val="clear"/>
            <w:vAlign w:val="center"/>
          </w:tcPr>
          <w:p>
            <w:pPr>
              <w:pStyle w:val="TableContents"/>
              <w:spacing w:before="0" w:after="1"/>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(571)</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Total securities held-to-maturity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7,929</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w:t>
            </w:r>
          </w:p>
        </w:tc>
        <w:tc>
          <w:tcPr>
            <w:tcW w:w="899"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(571)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4" w:type="dxa"/>
            <w:tcBorders/>
            <w:shd w:fill="auto" w:val="clear"/>
            <w:vAlign w:val="center"/>
          </w:tcPr>
          <w:p>
            <w:pPr>
              <w:pStyle w:val="TableContents"/>
              <w:spacing w:before="0" w:after="1"/>
              <w:ind w:left="0" w:right="0" w:hanging="0"/>
              <w:rPr/>
            </w:pPr>
            <w:r>
              <w:rPr/>
              <w:t>​</w:t>
            </w:r>
          </w:p>
        </w:tc>
        <w:tc>
          <w:tcPr>
            <w:tcW w:w="85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7,929</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899"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(571)</w:t>
            </w:r>
          </w:p>
        </w:tc>
      </w:tr>
      <w:tr>
        <w:trPr/>
        <w:tc>
          <w:tcPr>
            <w:tcW w:w="23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5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9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99,105</w:t>
            </w:r>
          </w:p>
        </w:tc>
        <w:tc>
          <w:tcPr>
            <w:tcW w:w="326" w:type="dxa"/>
            <w:tcBorders/>
            <w:shd w:fill="auto" w:val="clear"/>
            <w:vAlign w:val="center"/>
          </w:tcPr>
          <w:p>
            <w:pPr>
              <w:pStyle w:val="TableContents"/>
              <w:spacing w:before="0" w:after="1"/>
              <w:ind w:left="0" w:right="0" w:hanging="0"/>
              <w:rPr/>
            </w:pPr>
            <w:r>
              <w:rPr/>
              <w:t>​</w:t>
            </w:r>
          </w:p>
        </w:tc>
        <w:tc>
          <w:tcPr>
            <w:tcW w:w="25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9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(10,837)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133,700</w:t>
            </w:r>
          </w:p>
        </w:tc>
        <w:tc>
          <w:tcPr>
            <w:tcW w:w="326" w:type="dxa"/>
            <w:tcBorders/>
            <w:shd w:fill="auto" w:val="clear"/>
            <w:vAlign w:val="center"/>
          </w:tcPr>
          <w:p>
            <w:pPr>
              <w:pStyle w:val="TableContents"/>
              <w:spacing w:before="0" w:after="1"/>
              <w:ind w:left="0" w:right="0" w:hanging="0"/>
              <w:rPr/>
            </w:pPr>
            <w:r>
              <w:rPr/>
              <w:t>​</w:t>
            </w:r>
          </w:p>
        </w:tc>
        <w:tc>
          <w:tcPr>
            <w:tcW w:w="24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5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(32,323)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232,805</w:t>
            </w:r>
          </w:p>
        </w:tc>
        <w:tc>
          <w:tcPr>
            <w:tcW w:w="326" w:type="dxa"/>
            <w:tcBorders/>
            <w:shd w:fill="auto" w:val="clear"/>
            <w:vAlign w:val="center"/>
          </w:tcPr>
          <w:p>
            <w:pPr>
              <w:pStyle w:val="TableContents"/>
              <w:spacing w:before="0" w:after="1"/>
              <w:ind w:left="0" w:right="0" w:hanging="0"/>
              <w:rPr/>
            </w:pPr>
            <w:r>
              <w:rPr/>
              <w:t>​</w:t>
            </w:r>
          </w:p>
        </w:tc>
        <w:tc>
          <w:tcPr>
            <w:tcW w:w="24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9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(43,160)</w:t>
            </w:r>
          </w:p>
        </w:tc>
      </w:tr>
    </w:tbl>
    <w:p>
      <w:pPr>
        <w:pStyle w:val="TextBody"/>
        <w:spacing w:before="0" w:after="20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were six held-to-maturity debt securities with unrealized losses less than one year and one with unrealized losses of more than one year at March 31, 2023.  There were seven held-to-maturity debt securities in an unrealized loss position less than one year and none with unrealized losses of more than one year at December 31, 2022.</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There were 17 available-for-sale securities with unrealized losses of less than one year, and 171 available-for-sale securities with an unrealized loss of more than one year at March 31, 2023. There were 88 available-for-sale securities with unrealized losses of less than one year, and 106 available-for-sale securities with an unrealized loss of more than one year at December 31, 2022. The unrealized losses associated with these securities are believed to be caused by changing market conditions that are considered to be temporary and the Company does not intend to sell the securities, and it is not likely to be required to sell these securities prior to maturity.  Management monitors the published credit ratings of the issuers of the debt securities for material ratings or outlook changes.  Substantially, all of the Company’s municipal bond portfolio is comprised of obligations of states and political subdivisions located within the Company’s geographic footprint that are monitored through quarterly or annual financial review utilizing published credit ratings.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of the available-for-sale mortgage-backed securities and U.S. Small Business Administration securities in an unrealized loss position are issued or guaranteed by government-sponsored enterprises, and the available-for-sale corporate securities are all investment grade and monitored for rating or outlook changes. Based on the Company’s evaluation of these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both"/>
        <w:rPr>
          <w:rFonts w:ascii="Times New Roman;Times;serif" w:hAnsi="Times New Roman;Times;serif"/>
          <w:sz w:val="20"/>
        </w:rPr>
      </w:pPr>
      <w:bookmarkStart w:id="986" w:name="Tc_14QXjiIvh0KdecyoO1duJg_38_11"/>
      <w:bookmarkStart w:id="987" w:name="Tc_szWKbgCn7UqvRMMqLY7bfA_38_8"/>
      <w:bookmarkStart w:id="988" w:name="Tc_M0htTKQMN02mcC_kMeCrCQ_38_5"/>
      <w:bookmarkStart w:id="989" w:name="Tc_NZfDi2us4UODQ8nR4a9O3g_38_2"/>
      <w:bookmarkStart w:id="990" w:name="Tc_ttF9rP63B06kGH6Vy3YTfQ_38_0"/>
      <w:bookmarkStart w:id="991" w:name="Tc_2k4vXLPXAkuiilOT-KIMRw_37_0"/>
      <w:bookmarkStart w:id="992" w:name="Tc_4OoLRGBFxkurequ1WoMBPg_36_0"/>
      <w:bookmarkStart w:id="993" w:name="Tc_3b2w_7IbykGVP5Yi8dU-wA_35_0"/>
      <w:bookmarkStart w:id="994" w:name="Tc_fQtkq7vajkK-UN0nNqt32g_34_0"/>
      <w:bookmarkStart w:id="995" w:name="Tc_P5tp1b51LUOWNKyIn6LoCA_32_0"/>
      <w:bookmarkStart w:id="996" w:name="Tc_4uuEqcsbrU6ESZKmTHO6tQ_31_0"/>
      <w:bookmarkStart w:id="997" w:name="Tc_Kx8rJ0LqSUat2MjYEuYuWA_30_0"/>
      <w:bookmarkStart w:id="998" w:name="Tc_cn26xsmGD0azHVAbKyVNww_29_0"/>
      <w:bookmarkStart w:id="999" w:name="Tc_9rYvN-zhMki-4NktwavSTA_28_0"/>
      <w:bookmarkStart w:id="1000" w:name="Tc_Hj4mpZ752U6QQFVsKB5Bxw_27_0"/>
      <w:bookmarkStart w:id="1001" w:name="Tc_Bd2gDMlms0ulgATWuC4H_w_26_0"/>
      <w:bookmarkStart w:id="1002" w:name="Tc_J4X_3gjBrkCkwQcnrqxQyg_25_0"/>
      <w:bookmarkStart w:id="1003" w:name="Tc_87_Rn7MXeEivFmyUhcyYwQ_24_0"/>
      <w:bookmarkStart w:id="1004" w:name="Tc_BvKzGAcSg0SP2W4oP1_G0g_23_0"/>
      <w:bookmarkStart w:id="1005" w:name="Tc_ghds-wZ7ZkuPECtNvQyDbg_22_0"/>
      <w:bookmarkStart w:id="1006" w:name="Tc_p4cu_SAj4kOqPI-RiaKisQ_21_0"/>
      <w:bookmarkStart w:id="1007" w:name="Tc_yBGuRaG8CkS4YsSrzWpQZQ_20_0"/>
      <w:bookmarkStart w:id="1008" w:name="Tc_e_rsOVpRH0GD8HG4YdGWDw_19_0"/>
      <w:bookmarkStart w:id="1009" w:name="Tc_RtcEpZSrDUeMrBNACU_Kqg_18_0"/>
      <w:bookmarkStart w:id="1010" w:name="Tc_4hAamHW7SkWce4ZV9VydQQ_17_0"/>
      <w:bookmarkStart w:id="1011" w:name="Tc_En7WnFGEGUGxjtlaxpZqSg_16_0"/>
      <w:bookmarkStart w:id="1012" w:name="Tc_1OvFNJLvbUeG5dA1rFAK7w_15_0"/>
      <w:bookmarkStart w:id="1013" w:name="Tc_D4CMWQ0y6EqhuFL9W9UWYw_14_0"/>
      <w:bookmarkStart w:id="1014" w:name="Tc_lu-QjbRUn06pzFlaf8dr_A_13_0"/>
      <w:bookmarkStart w:id="1015" w:name="Tc_SY_-Py-ic0-JsLpViQPi_A_12_0"/>
      <w:bookmarkStart w:id="1016" w:name="Tc_8qLFQmWrT0mQ3xpcPBGT8A_11_0"/>
      <w:bookmarkStart w:id="1017" w:name="Tc_BtTd1tiKUUSW0z-0lNJRLQ_10_0"/>
      <w:bookmarkStart w:id="1018" w:name="Tc_Gm8VNWKcL0yM-xqd8lULVg_9_0"/>
      <w:bookmarkStart w:id="1019" w:name="Tc_CW64ENZm7UK6NOhWX5t2Ww_8_0"/>
      <w:bookmarkStart w:id="1020" w:name="Tc_pQCRyhW1LkamcypnAyQU3A_7_0"/>
      <w:bookmarkStart w:id="1021" w:name="Tc_gy7Xs_K3CUOo8VLinnrwnA_6_0"/>
      <w:bookmarkStart w:id="1022" w:name="Tc_Th-4mnmAiUydzyMb4pe33Q_5_11"/>
      <w:bookmarkStart w:id="1023" w:name="Tc_varCVtqcukSPMgqzuvEnZA_5_8"/>
      <w:bookmarkStart w:id="1024" w:name="Tc_Y3BOv7ECJ0--6MqN3pzbuQ_5_5"/>
      <w:bookmarkStart w:id="1025" w:name="Tc_fklZ0P73o0GQL2ix0Jnhxg_5_2"/>
      <w:bookmarkStart w:id="1026" w:name="Tc_4c0B3JH4_Uu6OZJ-g4A_qg_5_0"/>
      <w:bookmarkStart w:id="1027" w:name="Tc__reM8nRQ40mhRmLbhZMoag_4_11"/>
      <w:bookmarkStart w:id="1028" w:name="Tc_3_OVMIunCU6yIKAu4kSZWw_4_8"/>
      <w:bookmarkStart w:id="1029" w:name="Tc_UWoMm0eoYUSAw6W3IxAJkw_4_5"/>
      <w:bookmarkStart w:id="1030" w:name="Tc_iW2uUXkgtkCeyd3ZxUbT3w_4_2"/>
      <w:bookmarkStart w:id="1031" w:name="Tc_x04mMac6fkyp1CjYCIl-lA_4_0"/>
      <w:bookmarkStart w:id="1032" w:name="Tc_-1xXxCqkk0mcj8_kQ4VhCQ_3_11"/>
      <w:bookmarkStart w:id="1033" w:name="Tc_S37w4OUXjUeFrovNGI5zaw_3_8"/>
      <w:bookmarkStart w:id="1034" w:name="Tc_qDKB5jGtNUmFGZcn-fGW5A_3_5"/>
      <w:bookmarkStart w:id="1035" w:name="Tc_49U931lPjEmuNuHhSh6iSA_3_2"/>
      <w:bookmarkStart w:id="1036" w:name="Tc_xyqwFJwpF0qsxN4Zmf86Vw_3_0"/>
      <w:bookmarkStart w:id="1037" w:name="Tc_ot1eUV7-n0u_sSDKU6ULZA_2_8"/>
      <w:bookmarkStart w:id="1038" w:name="Tc_WmQepxekcEW2WNoAXD_22g_2_2"/>
      <w:bookmarkStart w:id="1039" w:name="Tc_ka9S-FLRAk-pvkro5uHwvw_1_8"/>
      <w:bookmarkStart w:id="1040" w:name="Tc_HIxQLpFOSkalHPXT0iHC1g_1_2"/>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sz w:val="20"/>
        </w:rPr>
        <w:t xml:space="preserve">securities, no credit impairment was recorded for the three months ended March 31, 2023, or for the year ended December 31, 2022.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contractual maturities of securities available-for-sale and held-to-maturity at the dates indicated are listed below. Expected maturities of mortgage-backed securities may differ from contractual maturities because borrowers may have the right to call or prepay the obligations; therefore, these securities are classified separately with no specific maturity date.</w:t>
      </w:r>
    </w:p>
    <w:p>
      <w:pPr>
        <w:pStyle w:val="TextBody"/>
        <w:spacing w:before="0" w:after="0"/>
        <w:ind w:left="0" w:right="0" w:hanging="0"/>
        <w:rPr/>
      </w:pPr>
      <w:r>
        <w:rPr/>
        <w:t>​</w:t>
      </w:r>
    </w:p>
    <w:tbl>
      <w:tblPr>
        <w:tblW w:w="10028" w:type="dxa"/>
        <w:jc w:val="left"/>
        <w:tblInd w:w="0" w:type="dxa"/>
        <w:tblCellMar>
          <w:top w:w="0" w:type="dxa"/>
          <w:left w:w="0" w:type="dxa"/>
          <w:bottom w:w="0" w:type="dxa"/>
          <w:right w:w="0" w:type="dxa"/>
        </w:tblCellMar>
      </w:tblPr>
      <w:tblGrid>
        <w:gridCol w:w="4651"/>
        <w:gridCol w:w="326"/>
        <w:gridCol w:w="211"/>
        <w:gridCol w:w="781"/>
        <w:gridCol w:w="326"/>
        <w:gridCol w:w="211"/>
        <w:gridCol w:w="781"/>
        <w:gridCol w:w="326"/>
        <w:gridCol w:w="211"/>
        <w:gridCol w:w="781"/>
        <w:gridCol w:w="326"/>
        <w:gridCol w:w="211"/>
        <w:gridCol w:w="886"/>
      </w:tblGrid>
      <w:tr>
        <w:trPr/>
        <w:tc>
          <w:tcPr>
            <w:tcW w:w="4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953385" cy="175260"/>
                      <wp:effectExtent l="0" t="0" r="0" b="0"/>
                      <wp:wrapNone/>
                      <wp:docPr id="180" name="Frame180"/>
                      <a:graphic xmlns:a="http://schemas.openxmlformats.org/drawingml/2006/main">
                        <a:graphicData uri="http://schemas.microsoft.com/office/word/2010/wordprocessingShape">
                          <wps:wsp>
                            <wps:cNvSpPr txBox="1"/>
                            <wps:spPr>
                              <a:xfrm>
                                <a:off x="0" y="0"/>
                                <a:ext cx="2953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95935" cy="175260"/>
                      <wp:effectExtent l="0" t="0" r="0" b="0"/>
                      <wp:wrapNone/>
                      <wp:docPr id="183" name="Frame18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95935" cy="175260"/>
                      <wp:effectExtent l="0" t="0" r="0" b="0"/>
                      <wp:wrapNone/>
                      <wp:docPr id="186" name="Frame18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95935" cy="175260"/>
                      <wp:effectExtent l="0" t="0" r="0" b="0"/>
                      <wp:wrapNone/>
                      <wp:docPr id="189" name="Frame18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62610" cy="175260"/>
                      <wp:effectExtent l="0" t="0" r="0" b="0"/>
                      <wp:wrapNone/>
                      <wp:docPr id="192" name="Frame19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6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1"/>
              <w:ind w:left="0" w:right="0" w:hanging="0"/>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6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jc w:val="center"/>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SECURITIES AVAILABLE-FOR-SALE</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shd w:fill="auto" w:val="clear"/>
            <w:vAlign w:val="center"/>
          </w:tcPr>
          <w:p>
            <w:pPr>
              <w:pStyle w:val="TableContents"/>
              <w:spacing w:before="0" w:after="1"/>
              <w:ind w:left="0" w:right="0" w:hanging="0"/>
              <w:jc w:val="center"/>
              <w:rPr/>
            </w:pPr>
            <w:r>
              <w:rPr/>
              <w:t>    </w:t>
            </w:r>
          </w:p>
        </w:tc>
        <w:tc>
          <w:tcPr>
            <w:tcW w:w="1097"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Fair</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U.S. agency securities</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shd w:fill="auto" w:val="clear"/>
            <w:vAlign w:val="center"/>
          </w:tcPr>
          <w:p>
            <w:pPr>
              <w:pStyle w:val="TableContents"/>
              <w:spacing w:before="0" w:after="1"/>
              <w:ind w:left="0" w:right="0" w:hanging="0"/>
              <w:jc w:val="center"/>
              <w:rPr/>
            </w:pPr>
            <w:r>
              <w:rPr/>
              <w:t>​</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Value</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4,873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4,321</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8,989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7,766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6,989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5,963</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ten years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7,290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9,290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7,004</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21,152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17,885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21,153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17,288</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Corporate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  </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within one year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2,519</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3,770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3,763</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ten years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9,498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8,623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9,497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8,545</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Municipal bonds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  </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within one year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2,644</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6,341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5,771</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ten years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133,753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113,739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134,161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111,175</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143,769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123,290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144,200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120,602</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Mortgage-backed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  </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 National Mortgage Association (“FNMA”)</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66,944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57,381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68,421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57,358</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 Home Loan Mortgage Corporation (“FHLMC”)</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9,218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8,539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9,290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8,424</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Government National Mortgage Association (“GNMA”)</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4,713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4,184</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80,804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70,087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82,424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69,966</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U.S. Small Business Administration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  </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within one year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2,239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2,407</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3,867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3,699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4,461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3,996</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ten years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7,166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6,388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6,448</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13,555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12,488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14,519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12,851</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securities available-for-sale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268,778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232,373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271,793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229,252</w:t>
            </w:r>
          </w:p>
        </w:tc>
      </w:tr>
      <w:tr>
        <w:trPr/>
        <w:tc>
          <w:tcPr>
            <w:tcW w:w="465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SECURITIES HELD-TO-MATURITY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Corporate securities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7,924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r>
      <w:tr>
        <w:trPr/>
        <w:tc>
          <w:tcPr>
            <w:tcW w:w="46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securities held-to-maturity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7,924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r>
      <w:tr>
        <w:trPr/>
        <w:tc>
          <w:tcPr>
            <w:tcW w:w="46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securities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277,278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240,297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280,293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237,181</w:t>
            </w:r>
          </w:p>
        </w:tc>
      </w:tr>
    </w:tbl>
    <w:p>
      <w:pPr>
        <w:pStyle w:val="TextBody"/>
        <w:spacing w:before="0" w:after="20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sales proceeds, gains or losses from the sale of securities available-for-sale for the three months ended March 31, 2023 and 2022.</w:t>
      </w:r>
    </w:p>
    <w:p>
      <w:pPr>
        <w:pStyle w:val="TextBody"/>
        <w:spacing w:before="0" w:after="20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1041" w:name="_a834a769_2cdf_4d44_b383_fb71cea6fd36_3"/>
      <w:bookmarkStart w:id="1042" w:name="_a834a769_2cdf_4d44_b383_fb71cea6fd36_2"/>
      <w:bookmarkStart w:id="1043" w:name="_a834a769_2cdf_4d44_b383_fb71cea6fd36"/>
      <w:bookmarkStart w:id="1044" w:name="Tc_D59aJ54L8kKnb7x3JcyGLQ_20_5"/>
      <w:bookmarkStart w:id="1045" w:name="Tc_dirDkUFbPkeZVxjfChc4Fg_20_2"/>
      <w:bookmarkStart w:id="1046" w:name="Tc_2xPYe7VTIUa4-Te6XJu_oQ_20_0"/>
      <w:bookmarkStart w:id="1047" w:name="Tc_gw-7_55ZiEybk5u5wMaVDQ_19_0"/>
      <w:bookmarkStart w:id="1048" w:name="Tc_ZeGUikernk6P6UcU7IOejA_18_0"/>
      <w:bookmarkStart w:id="1049" w:name="Tc_YkoWaTRo10iUkpJ8Gc0N8g_17_0"/>
      <w:bookmarkStart w:id="1050" w:name="Tc_X_IfCOwcykWSe5LaR4Nt_g_16_0"/>
      <w:bookmarkStart w:id="1051" w:name="Tc_TNSkPGJq1EGOceD04xIxlg_15_0"/>
      <w:bookmarkStart w:id="1052" w:name="Tc_OFfp-1J3F0GkZ28OdegTDw_14_0"/>
      <w:bookmarkStart w:id="1053" w:name="Tc_E47dVm9WRkiazTcuZpWe8g_13_0"/>
      <w:bookmarkStart w:id="1054" w:name="Tc_B93nGLg2lkyXZf0hSb5rAg_12_0"/>
      <w:bookmarkStart w:id="1055" w:name="Tc_mr4L86ve6ESn6fBADB5WJw_11_0"/>
      <w:bookmarkStart w:id="1056" w:name="Tc_23Zr3y7YxEilG2pa1p1BGA_10_0"/>
      <w:bookmarkStart w:id="1057" w:name="Tc_x3BJUaCzUEicV5tdpqD59g_9_0"/>
      <w:bookmarkStart w:id="1058" w:name="Tc_ujc8bPBDRUyN6Vy-wv-89A_8_0"/>
      <w:bookmarkStart w:id="1059" w:name="Tc_33AsEtaNy0GHgwIHcWGTIw_7_0"/>
      <w:bookmarkStart w:id="1060" w:name="Tc_aPa8EBe01U2AeVx1NwYS1w_6_0"/>
      <w:bookmarkStart w:id="1061" w:name="Tc_wGKxr9-XN0yKVBgkT5S9ug_5_0"/>
      <w:bookmarkStart w:id="1062" w:name="Tc_pHIBawD4WU-jBphIpm-Ziw_4_0"/>
      <w:bookmarkStart w:id="1063" w:name="Tc_DenvEd19YECzLWEceam5bQ_3_5"/>
      <w:bookmarkStart w:id="1064" w:name="Tc_WMIrx-8Y4EKmpy_8zQXGlA_3_2"/>
      <w:bookmarkStart w:id="1065" w:name="Tc_lzZ5VcRYpUKVbVJKsR6p-g_3_0"/>
      <w:bookmarkStart w:id="1066" w:name="Tc_TWUZbruTjk6jk-XH7mThYA_2_5"/>
      <w:bookmarkStart w:id="1067" w:name="Tc_NyYtKhz0ak2gOR7mHZ_Wvw_2_2"/>
      <w:bookmarkStart w:id="1068" w:name="Tc_DgOEJrbSyEec7Oti0c7cCw_2_0"/>
      <w:bookmarkStart w:id="1069" w:name="Tc_viTPJGRfZkKrSlvVT3q42g_1_5"/>
      <w:bookmarkStart w:id="1070" w:name="Tc_4lEIxYvzcU2T5WidZGtWfQ_1_2"/>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Pr>
          <w:rFonts w:ascii="Times New Roman;Times;serif" w:hAnsi="Times New Roman;Times;serif"/>
          <w:b/>
          <w:sz w:val="20"/>
        </w:rPr>
        <w:t>NOTE 4 – LOANS RECEIVABLE AND ALLOWANCE FOR CREDIT LOSSES – LOANS</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The composition of the loan portfolio was as follows at the dates indicated:</w:t>
      </w:r>
    </w:p>
    <w:p>
      <w:pPr>
        <w:pStyle w:val="TextBody"/>
        <w:spacing w:before="0" w:after="0"/>
        <w:ind w:left="0" w:right="0" w:hanging="0"/>
        <w:rPr/>
      </w:pPr>
      <w:r>
        <w:rPr/>
        <w:t>​</w:t>
      </w:r>
    </w:p>
    <w:tbl>
      <w:tblPr>
        <w:tblW w:w="7150" w:type="dxa"/>
        <w:jc w:val="left"/>
        <w:tblInd w:w="0" w:type="dxa"/>
        <w:tblCellMar>
          <w:top w:w="0" w:type="dxa"/>
          <w:left w:w="0" w:type="dxa"/>
          <w:bottom w:w="0" w:type="dxa"/>
          <w:right w:w="0" w:type="dxa"/>
        </w:tblCellMar>
      </w:tblPr>
      <w:tblGrid>
        <w:gridCol w:w="4051"/>
        <w:gridCol w:w="326"/>
        <w:gridCol w:w="211"/>
        <w:gridCol w:w="931"/>
        <w:gridCol w:w="326"/>
        <w:gridCol w:w="220"/>
        <w:gridCol w:w="1085"/>
      </w:tblGrid>
      <w:tr>
        <w:trPr/>
        <w:tc>
          <w:tcPr>
            <w:tcW w:w="4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572385" cy="175260"/>
                      <wp:effectExtent l="0" t="0" r="0" b="0"/>
                      <wp:wrapNone/>
                      <wp:docPr id="193" name="Frame193"/>
                      <a:graphic xmlns:a="http://schemas.openxmlformats.org/drawingml/2006/main">
                        <a:graphicData uri="http://schemas.microsoft.com/office/word/2010/wordprocessingShape">
                          <wps:wsp>
                            <wps:cNvSpPr txBox="1"/>
                            <wps:spPr>
                              <a:xfrm>
                                <a:off x="0" y="0"/>
                                <a:ext cx="2572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91185" cy="175260"/>
                      <wp:effectExtent l="0" t="0" r="0" b="0"/>
                      <wp:wrapNone/>
                      <wp:docPr id="196" name="Frame19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9700" cy="175260"/>
                      <wp:effectExtent l="0" t="0" r="0" b="0"/>
                      <wp:wrapNone/>
                      <wp:docPr id="198" name="Frame198"/>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88975" cy="175260"/>
                      <wp:effectExtent l="0" t="0" r="0" b="0"/>
                      <wp:wrapNone/>
                      <wp:docPr id="199" name="Frame199"/>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REAL ESTATE LOANS</w:t>
            </w:r>
          </w:p>
        </w:tc>
        <w:tc>
          <w:tcPr>
            <w:tcW w:w="326" w:type="dxa"/>
            <w:tcBorders/>
            <w:shd w:fill="auto" w:val="clear"/>
            <w:vAlign w:val="center"/>
          </w:tcPr>
          <w:p>
            <w:pPr>
              <w:pStyle w:val="TableContents"/>
              <w:spacing w:before="0" w:after="1"/>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339,794</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334,059</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Construction and development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337,452</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10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342,591</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Home equity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60,625</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55,387</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One-to-four-family (excludes loans held for sale)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501,100</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10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469,485</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232,201</w:t>
            </w:r>
          </w:p>
        </w:tc>
        <w:tc>
          <w:tcPr>
            <w:tcW w:w="326"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219,738</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real estate loans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1,471,172</w:t>
            </w:r>
          </w:p>
        </w:tc>
        <w:tc>
          <w:tcPr>
            <w:tcW w:w="32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1,421,260</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CONSUMER LOANS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1085" w:type="dxa"/>
            <w:tcBorders/>
            <w:shd w:fill="CCEEFF" w:val="clear"/>
            <w:vAlign w:val="center"/>
          </w:tcPr>
          <w:p>
            <w:pPr>
              <w:pStyle w:val="TableContents"/>
              <w:spacing w:before="0" w:after="1"/>
              <w:ind w:left="0" w:right="0" w:hanging="0"/>
              <w:jc w:val="right"/>
              <w:rPr/>
            </w:pPr>
            <w:r>
              <w:rPr/>
              <w:t>​</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Indirect home improvement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531,632</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10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495,941</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Marine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70,994</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70,567</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consumer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4,042</w:t>
            </w:r>
          </w:p>
        </w:tc>
        <w:tc>
          <w:tcPr>
            <w:tcW w:w="32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3,064</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consumer loans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606,668</w:t>
            </w:r>
          </w:p>
        </w:tc>
        <w:tc>
          <w:tcPr>
            <w:tcW w:w="326"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569,572</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COMMERCIAL BUSINESS LOANS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1085" w:type="dxa"/>
            <w:tcBorders/>
            <w:shd w:fill="auto" w:val="clear"/>
            <w:vAlign w:val="center"/>
          </w:tcPr>
          <w:p>
            <w:pPr>
              <w:pStyle w:val="TableContents"/>
              <w:spacing w:before="0" w:after="1"/>
              <w:ind w:left="0" w:right="0" w:hanging="0"/>
              <w:jc w:val="right"/>
              <w:rPr/>
            </w:pPr>
            <w:r>
              <w:rPr/>
              <w:t>​</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Commercial and industrial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223,702</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196,791</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Warehouse lending</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28,044</w:t>
            </w:r>
          </w:p>
        </w:tc>
        <w:tc>
          <w:tcPr>
            <w:tcW w:w="32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31,229</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commercial business loans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251,746</w:t>
            </w:r>
          </w:p>
        </w:tc>
        <w:tc>
          <w:tcPr>
            <w:tcW w:w="326"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228,020</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loans receivable, gross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2,329,586</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10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2,218,852</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ACL for loans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(29,937)</w:t>
            </w:r>
          </w:p>
        </w:tc>
        <w:tc>
          <w:tcPr>
            <w:tcW w:w="326"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(27,992)</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loans receivable, net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2,299,649</w:t>
            </w:r>
          </w:p>
        </w:tc>
        <w:tc>
          <w:tcPr>
            <w:tcW w:w="326" w:type="dxa"/>
            <w:tcBorders/>
            <w:shd w:fill="auto" w:val="clear"/>
            <w:vAlign w:val="center"/>
          </w:tcPr>
          <w:p>
            <w:pPr>
              <w:pStyle w:val="TableContents"/>
              <w:spacing w:before="0" w:after="1"/>
              <w:ind w:left="0" w:right="0" w:hanging="0"/>
              <w:rPr/>
            </w:pPr>
            <w:r>
              <w:rPr/>
              <w:t>​</w:t>
            </w:r>
          </w:p>
        </w:tc>
        <w:tc>
          <w:tcPr>
            <w:tcW w:w="22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2,190,860</w:t>
            </w:r>
          </w:p>
        </w:tc>
      </w:tr>
    </w:tbl>
    <w:p>
      <w:pPr>
        <w:pStyle w:val="TextBody"/>
        <w:spacing w:before="0" w:after="200"/>
        <w:ind w:left="0" w:right="0" w:hanging="0"/>
        <w:jc w:val="both"/>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Loan amounts are net of unearned loan fees in excess of unamortized costs and premiums of $8.4 million as of March 31, 2023 and $7.8 million as of December 31, 2022. Net loans include unamortized net discounts on acquired loans of $3.2 million and $437,000 as of March 31, 2023 and December 31, 2022, respectively. Net loans does not include accrued interest receivable. Accrued interest receivable on loans was $10.1 million and $9.6 million as of March 31, 2023 and December 31, 2022, respectively, and was reported in “Accrued interest receivable” on the Consolidated Balance Sheets.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Most of the Company’s commercial and multi-family real estate, construction, residential, and/or commercial business lending activities are with customers located in Western Washington, near our loan production office in Vancouver, Washington, or near our loan production office located in the Tri-Cities, Washington. The Company originates real estate, consumer, and commercial business loans and has concentrations in these areas, however, indirect home improvement loans, including solar-related home improvement loans, are originated through a network of home improvement contractors and dealers located throughout Washington, Oregon, California, Idaho, Colorado, Arizona, Minnesota,  Nevada,  Texas, Utah, Massachusetts, and Montana.  Loans are generally secured by collateral and rights to collateral vary and are legally documented to the extent practicable. Local economic conditions may affect borrowers’ ability to meet the stated repayment terms.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At March 31, 2023, the Bank held approximately $944.3 million in loans that are pledged as collateral for FHLB advances, compared to approximately $840.2 million at December 31, 2022. The Bank held approximately $598.0 million in loans that are pledged as collateral for the FRB line of credit at March 31, 2023, compared to approximately $579.8 million at December 31, 2022.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defined its loan portfolio into three segments that reflect the structure of the lending function, the Company’s strategic plan and the manner in which management monitors performance and credit quality. The three loan portfolio segments are: (a) Real Estate Loans, (b) Consumer Loans, and (c) Commercial Business Loans. Each of these segments is disaggregated into classes based on the risk characteristics of the borrower and/or the collateral type securing the loan. The following is a summary of each of the Company’s loan portfolio segments and classes: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rPr>
          <w:rFonts w:ascii="Times New Roman;Times;serif" w:hAnsi="Times New Roman;Times;serif"/>
          <w:b/>
          <w:i/>
          <w:sz w:val="20"/>
        </w:rPr>
      </w:pPr>
      <w:r>
        <w:rPr>
          <w:rFonts w:ascii="Times New Roman;Times;serif" w:hAnsi="Times New Roman;Times;serif"/>
          <w:b/>
          <w:i/>
          <w:sz w:val="20"/>
        </w:rPr>
        <w:t>Real Estate Loans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Commercial Lending</w:t>
      </w:r>
      <w:r>
        <w:rPr>
          <w:rFonts w:ascii="Times New Roman;Times;serif" w:hAnsi="Times New Roman;Times;serif"/>
          <w:sz w:val="20"/>
        </w:rPr>
        <w:t>. Loans originated by the Company primarily secured by income-producing properties, including retail centers, warehouses, and office buildings located in our market areas.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Construction and Development Lending</w:t>
      </w:r>
      <w:r>
        <w:rPr>
          <w:rFonts w:ascii="Times New Roman;Times;serif" w:hAnsi="Times New Roman;Times;serif"/>
          <w:sz w:val="20"/>
        </w:rPr>
        <w:t>. Loans originated by the Company for the construction of, and secured by, commercial real estate, one-to-four-family, and multi-family residences and tracts of land for development that are not pre-sold. A portion of the one-to-four-family construction portfolio is custom construction loans to the intended occupant of the residence.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Home Equity Lending</w:t>
      </w:r>
      <w:r>
        <w:rPr>
          <w:rFonts w:ascii="Times New Roman;Times;serif" w:hAnsi="Times New Roman;Times;serif"/>
          <w:sz w:val="20"/>
        </w:rPr>
        <w:t>. Loans originated by the Company secured by second mortgages on one-to-four-family residences, including home equity lines of credit in our market areas.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One-to-Four-Family Real Estate Lending</w:t>
      </w:r>
      <w:r>
        <w:rPr>
          <w:rFonts w:ascii="Times New Roman;Times;serif" w:hAnsi="Times New Roman;Times;serif"/>
          <w:sz w:val="20"/>
        </w:rPr>
        <w:t>. One-to-four-family residential loans include owner occupied properties (including second homes), and non-owner-occupied properties with four or less units. These loans originated by the Company or periodically purchased from banks are secured by first mortgages on one-to-four-family residences in our market areas that the Company intends to hold (excludes loans held for sale).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Multi-Family Lending</w:t>
      </w:r>
      <w:r>
        <w:rPr>
          <w:rFonts w:ascii="Times New Roman;Times;serif" w:hAnsi="Times New Roman;Times;serif"/>
          <w:sz w:val="20"/>
        </w:rPr>
        <w:t>. Apartment term lending (five or more units) to current banking customers and community reinvestment loans for low to moderate income individuals in the Company’s footprint.</w:t>
      </w:r>
    </w:p>
    <w:p>
      <w:pPr>
        <w:pStyle w:val="TextBody"/>
        <w:spacing w:before="0" w:after="120"/>
        <w:ind w:left="0" w:right="0" w:hanging="0"/>
        <w:rPr>
          <w:rFonts w:ascii="Times New Roman;Times;serif" w:hAnsi="Times New Roman;Times;serif"/>
          <w:b/>
          <w:i/>
          <w:sz w:val="20"/>
        </w:rPr>
      </w:pPr>
      <w:r>
        <w:rPr>
          <w:rFonts w:ascii="Times New Roman;Times;serif" w:hAnsi="Times New Roman;Times;serif"/>
          <w:b/>
          <w:i/>
          <w:sz w:val="20"/>
        </w:rPr>
        <w:t>Consumer Loans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Indirect Home Improvement</w:t>
      </w:r>
      <w:r>
        <w:rPr>
          <w:rFonts w:ascii="Times New Roman;Times;serif" w:hAnsi="Times New Roman;Times;serif"/>
          <w:sz w:val="20"/>
        </w:rPr>
        <w:t>. Fixture secured loans for home improvement are originated by the Company through its network of home improvement contractors and dealers and are secured by the personal property installed in, on, or at the borrower’s real property, and may be perfected with a UCC-2 financing statement filed in the county of the borrower’s residence. These indirect home improvement loans include replacement windows, siding, roofing, spas, and other home fixture installations, including solar related home improvement projects.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Marine</w:t>
      </w:r>
      <w:r>
        <w:rPr>
          <w:rFonts w:ascii="Times New Roman;Times;serif" w:hAnsi="Times New Roman;Times;serif"/>
          <w:sz w:val="20"/>
        </w:rPr>
        <w:t>. Loans originated by the Company, secured by boats, to borrowers primarily located in the states the Company originates consumer loans.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Other Consumer</w:t>
      </w:r>
      <w:r>
        <w:rPr>
          <w:rFonts w:ascii="Times New Roman;Times;serif" w:hAnsi="Times New Roman;Times;serif"/>
          <w:sz w:val="20"/>
        </w:rPr>
        <w:t>. Loans originated by the Company to consumers in our retail branch footprint, including automobiles, recreational vehicles, direct home improvement loans, loans on deposits, and other consumer loans, primarily consisting of personal lines of credit and credit cards.</w:t>
      </w:r>
    </w:p>
    <w:p>
      <w:pPr>
        <w:pStyle w:val="TextBody"/>
        <w:spacing w:before="0" w:after="120"/>
        <w:ind w:left="0" w:right="0" w:hanging="0"/>
        <w:rPr>
          <w:rFonts w:ascii="Times New Roman;Times;serif" w:hAnsi="Times New Roman;Times;serif"/>
          <w:b/>
          <w:i/>
          <w:sz w:val="20"/>
        </w:rPr>
      </w:pPr>
      <w:r>
        <w:rPr>
          <w:rFonts w:ascii="Times New Roman;Times;serif" w:hAnsi="Times New Roman;Times;serif"/>
          <w:b/>
          <w:i/>
          <w:sz w:val="20"/>
        </w:rPr>
        <w:t>Commercial Business Loans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Commercial and Industrial Lending (“C&amp;I”)</w:t>
      </w:r>
      <w:r>
        <w:rPr>
          <w:rFonts w:ascii="Times New Roman;Times;serif" w:hAnsi="Times New Roman;Times;serif"/>
          <w:sz w:val="20"/>
        </w:rPr>
        <w:t>. Loans originated by the Company to local small- and mid-sized businesses in our Puget Sound market area are secured primarily by accounts receivable, inventory, or personal property, plant and equipment. Some of the C&amp;I loans purchased by the Company are outside of the greater Puget Sound market area.  C&amp;I loans are made on the basis of the borrower’s ability to make repayment from the cash flow of the borrower’s business.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Warehouse Lending</w:t>
      </w:r>
      <w:r>
        <w:rPr>
          <w:rFonts w:ascii="Times New Roman;Times;serif" w:hAnsi="Times New Roman;Times;serif"/>
          <w:sz w:val="20"/>
        </w:rPr>
        <w:t xml:space="preserve">. Loans originated to non-depository financial institutions and secured by notes originated by the non-depository financial institution.  The Company has two distinct warehouse lending divisions: commercial warehouse re-lending secured by notes on construction loans and mortgage warehouse re-lending secured by notes on one-to-four-family loans.  The Company’s commercial construction warehouse lines are secured by notes on construction loans and typically guaranteed by principals with experience in construction lending.  Mortgage warehouse lending loans are funded through third-party residential mortgage bankers.  Under this program the Company provides short-term funding to the mortgage banking companies for the purpose of originating residential mortgage loans for sale into the secondary market.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identifies loans in the Company’s portfolio that must be individually evaluated for loss due to disparate risk characteristics or information suggesting that the Company will be unable to collect all the principal and interest due. For loans individually evaluated, a specific reserve is estimated based on either the fair value of collateral or the discounted value of expected future cash flows. In estimating the fair value of real estate collateral, management utilizes appraisals or evaluations adjusted for costs to dispose and a distressed sale adjustment, if needed. Estimating the fair value of collateral other than real estate is also subjective in nature and sometimes requires difficult and complex judgements. Determining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expected future cash flows can be more subjective than determining fair values. Expected future cash flows could differ significantly, both in timing and amount, from the cash flows actually received over the loan’s remaining life. Individually evaluated loans are excluded from the estimation of credit losses for the pooled portfolio. </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Generally, collectively assessed loans are grouped by call report code and then risk-grade grouping. Risk grade is grouped within each call report code by pass, watch, special mention, substandard, and doubtful. Other loan types are separated into their own cohorts due to specific risk characteristics for that pool of loans.  </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elected a non-discounted cash flow methodology with probability of default (“PD”) and loss given default (“LGD”) for all call report code cohorts (“cohorts”), with the exception of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PD calculation looks at the historical loan portfolio at particular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LGD calculation looks at actual losses (net charge-offs) experienced over the entire lookback period for each cohort of loans. The aggregate loss amount is divided by the exposure at default to determine an LGD rate. All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very limited charge-off history, management uses index LGDs comprised of rates derived from the LGD experience of other community banks in place of the Company’s historical LGDs.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utilizes reasonable and supportable forecasts of future economic conditions when estimating the ACL for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very limited default history, management uses index PDs comprised of rates derived from the PD experience of other community banks in place of the Company’s historical PDs. The Company recognizes that all significant factors that affect the collectability of the loan portfolio must be considered to determine the estimated credit losses as of the evaluation date. Furthermore, the methodology, in and of itself and even 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Modifications to borrowers experiencing financial difficulty are included in loans collectively evaluated for credit loss. An assessment of whether a borrower is experiencing financial difficulty is made on the date of a modification. A charge to the allowance for credit losses is generally not recorded upon modification. </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believes that the methods selected fairly reflect the historical loss component of expected losses inherent in the Company’s loan portfolio. However, since future losses could vary significantly from those experienced in the past, on a quarterly basis management adjusts its historical loss experience to reflect current and forecasted conditions. In doing so, management considers a variety of general qualitative and quantitative factors (“Q-factors”) and then subjectively determines the weight to assign to each in estimating losses. Qualitative characteristics include differences in underwriting standards, policies, lending staff and environmental risks. Management also considers whether further adjustments to historical loss information are needed to reflect the extent to which current conditions and reasonable and supportable forecasts over the forecasting horizon differ from the conditions that existed during the historical loss period. These quantitative adjustments reflect changes to relevant data such as changes in unemployment rates, average growth in pools of loans, concentrations of credit, delinquencies or other factors associated with the financial assets. The reversion method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071" w:name="Tc_9oeNGFV3JUujLr3PsFnvsA_9_14"/>
      <w:bookmarkStart w:id="1072" w:name="Tc_jg3oxzXYp06SqlLEj0m6RA_9_12"/>
      <w:bookmarkStart w:id="1073" w:name="Tc_38H0JZqhY0Gv4HUDdqboBA_9_11"/>
      <w:bookmarkStart w:id="1074" w:name="Tc_sIcwjG5tyk-Lf5OduKk26A_9_8"/>
      <w:bookmarkStart w:id="1075" w:name="Tc_byiXXa9YmEO2zzDCjznE7g_9_5"/>
      <w:bookmarkStart w:id="1076" w:name="Tc_E5-nHNs_0UGbWqbIbNQDhg_9_2"/>
      <w:bookmarkStart w:id="1077" w:name="Tc_SDTyo-V_n0WTsn8YqK1ctQ_9_0"/>
      <w:bookmarkStart w:id="1078" w:name="Tc_MhU9bcuEwk6rLj_1rhvjqQ_8_12"/>
      <w:bookmarkStart w:id="1079" w:name="Tc_MxWawhyWyUaSrgaK4NBE9Q_8_9"/>
      <w:bookmarkStart w:id="1080" w:name="Tc_Ho5RNYyNhk6CYPBNLzaluA_8_3"/>
      <w:bookmarkStart w:id="1081" w:name="Tc_v5dGn_4nqk-UbPypjI2iIA_8_0"/>
      <w:bookmarkStart w:id="1082" w:name="Tc__KiN1s9BvkiRAKf9-YusEw_7_12"/>
      <w:bookmarkStart w:id="1083" w:name="Tc_3toq5ZKjzEicWmUZpb9k9w_7_9"/>
      <w:bookmarkStart w:id="1084" w:name="Tc_3R8lZ5aDZESeRqpQg_QbVg_7_3"/>
      <w:bookmarkStart w:id="1085" w:name="Tc_50LvHAG8nkevJdc9i6dnKg_7_0"/>
      <w:bookmarkStart w:id="1086" w:name="Tc_ZkWvP2P2B0ebfFzzzaT09A_6_12"/>
      <w:bookmarkStart w:id="1087" w:name="Tc_TVa47IcTsk-qNLVIh2v0BQ_6_0"/>
      <w:bookmarkStart w:id="1088" w:name="Tc_Ovj_t2DAsUSvvhZhneSFvA_5_0"/>
      <w:bookmarkStart w:id="1089" w:name="Tc_-UU5fIS940Gx1hJs-THECQ_4_14"/>
      <w:bookmarkStart w:id="1090" w:name="Tc_jPENdGKG0Umaz7UcXl6www_4_11"/>
      <w:bookmarkStart w:id="1091" w:name="Tc_Inw1i-UAykeE0fuIid1ikA_4_8"/>
      <w:bookmarkStart w:id="1092" w:name="Tc_uRHbyovm90mVh6EKUgTVJg_4_5"/>
      <w:bookmarkStart w:id="1093" w:name="Tc_U61jE8Iu0k6betZvCHfr2A_4_2"/>
      <w:bookmarkStart w:id="1094" w:name="Tc_YTFJGqPPqEqSSu9__gTTzA_4_0"/>
      <w:bookmarkStart w:id="1095" w:name="Tc_4D9elva2Nk602hrKC-68ow_3_14"/>
      <w:bookmarkStart w:id="1096" w:name="Tc_mwXBL9-x3k2_t-mfcJ06mQ_3_11"/>
      <w:bookmarkStart w:id="1097" w:name="Tc_TNEcYHI7mE-Sn3A9cOXEIA_3_8"/>
      <w:bookmarkStart w:id="1098" w:name="Tc_PwGTibyEgUWeyna7sFwZ0Q_3_5"/>
      <w:bookmarkStart w:id="1099" w:name="Tc_M8P0UNKorkig2VOrSxvXUA_3_2"/>
      <w:bookmarkStart w:id="1100" w:name="Tc_-IW2RiX0JkeX_48fUsIhlw_3_0"/>
      <w:bookmarkStart w:id="1101" w:name="Tc_6ad6uTiUhUyKFyLBn4xq_Q_2_8"/>
      <w:bookmarkStart w:id="1102" w:name="Tc_cqGjwP0EPk23Mc4KPIfzzA_2_2"/>
      <w:bookmarkStart w:id="1103" w:name="Tc_Bv2RJxnqKUqy_YbM4fBT0A_1_2"/>
      <w:bookmarkStart w:id="1104" w:name="_049a1968_fc0a_4521_bed7_2291adfe7f4a"/>
      <w:bookmarkStart w:id="1105" w:name="Tc_xQvVrshTDEuoNp7kH7QgLg_8_14"/>
      <w:bookmarkStart w:id="1106" w:name="Tc_GK8MkK7Tf06LLFmpH-4MXA_8_12"/>
      <w:bookmarkStart w:id="1107" w:name="Tc_2Z8avRhP3kW8-pFpdHG6dg_8_11"/>
      <w:bookmarkStart w:id="1108" w:name="Tc_DkvLD9rSeEG56TeEVIWYPw_8_8"/>
      <w:bookmarkStart w:id="1109" w:name="Tc_Nmwnp1i4RkedErAmM97QXg_8_5"/>
      <w:bookmarkStart w:id="1110" w:name="Tc_6I4T1WE5Mk6_GCd95hvhww_8_2"/>
      <w:bookmarkStart w:id="1111" w:name="Tc_I7gsAWOMEEKW5zakBk92MA_8_0"/>
      <w:bookmarkStart w:id="1112" w:name="Tc_B0Ia5ZyIF0a0Pt_nHMI6Jw_7_12"/>
      <w:bookmarkStart w:id="1113" w:name="Tc_c5XL3_lKgE-rPDeZD3znvA_7_9"/>
      <w:bookmarkStart w:id="1114" w:name="Tc_ffHabG3b20ePeTvHFRSlPg_7_3"/>
      <w:bookmarkStart w:id="1115" w:name="Tc_xuZ1KshC60Wte-prBx6rFQ_7_0"/>
      <w:bookmarkStart w:id="1116" w:name="Tc_td-MeLiWCky7d6fgVjXbPw_6_12"/>
      <w:bookmarkStart w:id="1117" w:name="Tc_jre-kQ_ohkSqULs_bWJG8A_6_0"/>
      <w:bookmarkStart w:id="1118" w:name="Tc_x3jNohfylEqxRBaS5UQzIw_5_12"/>
      <w:bookmarkStart w:id="1119" w:name="Tc_46_HKAg2NkOfthgF6CHpMg_5_0"/>
      <w:bookmarkStart w:id="1120" w:name="Tc_Vh2CkgfVREmqbLkzfklasw_4_14"/>
      <w:bookmarkStart w:id="1121" w:name="Tc_-MjtulC89ESWi9DElrFKaw_4_12"/>
      <w:bookmarkStart w:id="1122" w:name="Tc_3p86Cycklk2YDPxKXFESkQ_4_11"/>
      <w:bookmarkStart w:id="1123" w:name="Tc_LHmgbPteKE-kqrWHbk6pYA_4_8"/>
      <w:bookmarkStart w:id="1124" w:name="Tc_fKXOcQHsVEGnoKHKttcXvg_4_5"/>
      <w:bookmarkStart w:id="1125" w:name="Tc_CXr7vHab8kWtCj-V5Ms7MQ_4_2"/>
      <w:bookmarkStart w:id="1126" w:name="Tc_6hiPgHNRCUaMk1wOUA-uaQ_4_0"/>
      <w:bookmarkStart w:id="1127" w:name="Tc_HUr0sLQ_h0K1Eqk-SMrU0w_3_14"/>
      <w:bookmarkStart w:id="1128" w:name="Tc_SeiBtOhaWEW5p4Dysklacg_3_11"/>
      <w:bookmarkStart w:id="1129" w:name="Tc_bc1jca01cUqbxhtMfntANg_3_8"/>
      <w:bookmarkStart w:id="1130" w:name="Tc_lHcYxuDlYEOJwp_Uz4D0gw_3_5"/>
      <w:bookmarkStart w:id="1131" w:name="Tc_LC9bsBw1Hke_MC3H34TO0A_3_2"/>
      <w:bookmarkStart w:id="1132" w:name="Tc_kiwhcGYvrki48_kR1cPhBA_3_0"/>
      <w:bookmarkStart w:id="1133" w:name="Tc_kGdnHvD5j0GuodeON26qXQ_2_8"/>
      <w:bookmarkStart w:id="1134" w:name="Tc_cpyI8-sfIk6b5MfShWYwAQ_2_2"/>
      <w:bookmarkStart w:id="1135" w:name="Tc_Tw3VkLMKKU6oVNkgigV7NA_1_2"/>
      <w:bookmarkStart w:id="1136" w:name="_2f0a12af_a2c8_4a30_9c1d_142e380cbd83"/>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r>
        <w:rPr>
          <w:rFonts w:ascii="Times New Roman;Times;serif" w:hAnsi="Times New Roman;Times;serif"/>
          <w:sz w:val="20"/>
        </w:rPr>
        <w:t>is applied for periods beyond the forecasting horizon. The Company’s ACL allocable to pools of loans that are collectively evaluated for credit loss results primarily from these qualitative and quantitative adjustments to historical loss experience. Because of the nature of the Q-factors and the degree of judgement involved in assessing their impact, management’s resulting estimate of losses may not accurately reflect current and future losses in the portfolio. </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main drivers of the credit provision recorded in the first three months of 2023 were increases in outstanding loans, average growth rates and increases in specific reserves on individually evaluated loans. </w:t>
      </w:r>
    </w:p>
    <w:p>
      <w:pPr>
        <w:pStyle w:val="TextBody"/>
        <w:spacing w:before="0" w:after="20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detail activity in the ACL for loans by loan categories at or for the three months ended March 31, 2023 and 2022:</w:t>
      </w:r>
    </w:p>
    <w:p>
      <w:pPr>
        <w:pStyle w:val="TextBody"/>
        <w:spacing w:before="0" w:after="200"/>
        <w:ind w:left="0" w:right="0" w:hanging="0"/>
        <w:jc w:val="both"/>
        <w:rPr/>
      </w:pPr>
      <w:r>
        <w:rPr/>
        <w:t>​</w:t>
      </w:r>
    </w:p>
    <w:tbl>
      <w:tblPr>
        <w:tblW w:w="9573" w:type="dxa"/>
        <w:jc w:val="left"/>
        <w:tblInd w:w="0" w:type="dxa"/>
        <w:tblCellMar>
          <w:top w:w="0" w:type="dxa"/>
          <w:left w:w="0" w:type="dxa"/>
          <w:bottom w:w="0" w:type="dxa"/>
          <w:right w:w="0" w:type="dxa"/>
        </w:tblCellMar>
      </w:tblPr>
      <w:tblGrid>
        <w:gridCol w:w="2941"/>
        <w:gridCol w:w="326"/>
        <w:gridCol w:w="211"/>
        <w:gridCol w:w="676"/>
        <w:gridCol w:w="326"/>
        <w:gridCol w:w="221"/>
        <w:gridCol w:w="710"/>
        <w:gridCol w:w="326"/>
        <w:gridCol w:w="295"/>
        <w:gridCol w:w="801"/>
        <w:gridCol w:w="326"/>
        <w:gridCol w:w="415"/>
        <w:gridCol w:w="681"/>
        <w:gridCol w:w="326"/>
        <w:gridCol w:w="211"/>
        <w:gridCol w:w="781"/>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67535" cy="175260"/>
                      <wp:effectExtent l="0" t="0" r="0" b="0"/>
                      <wp:wrapNone/>
                      <wp:docPr id="200" name="Frame200"/>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29260" cy="175260"/>
                      <wp:effectExtent l="0" t="0" r="0" b="0"/>
                      <wp:wrapNone/>
                      <wp:docPr id="203" name="Frame20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40335" cy="175260"/>
                      <wp:effectExtent l="0" t="0" r="0" b="0"/>
                      <wp:wrapNone/>
                      <wp:docPr id="205" name="Frame205"/>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50850" cy="175260"/>
                      <wp:effectExtent l="0" t="0" r="0" b="0"/>
                      <wp:wrapNone/>
                      <wp:docPr id="206" name="Frame206"/>
                      <a:graphic xmlns:a="http://schemas.openxmlformats.org/drawingml/2006/main">
                        <a:graphicData uri="http://schemas.microsoft.com/office/word/2010/wordprocessingShape">
                          <wps:wsp>
                            <wps:cNvSpPr txBox="1"/>
                            <wps:spPr>
                              <a:xfrm>
                                <a:off x="0" y="0"/>
                                <a:ext cx="450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87325" cy="175260"/>
                      <wp:effectExtent l="0" t="0" r="0" b="0"/>
                      <wp:wrapNone/>
                      <wp:docPr id="208" name="Frame208"/>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8635" cy="175260"/>
                      <wp:effectExtent l="0" t="0" r="0" b="0"/>
                      <wp:wrapNone/>
                      <wp:docPr id="209" name="Frame209"/>
                      <a:graphic xmlns:a="http://schemas.openxmlformats.org/drawingml/2006/main">
                        <a:graphicData uri="http://schemas.microsoft.com/office/word/2010/wordprocessingShape">
                          <wps:wsp>
                            <wps:cNvSpPr txBox="1"/>
                            <wps:spPr>
                              <a:xfrm>
                                <a:off x="0" y="0"/>
                                <a:ext cx="508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63525" cy="175260"/>
                      <wp:effectExtent l="0" t="0" r="0" b="0"/>
                      <wp:wrapNone/>
                      <wp:docPr id="211" name="Frame211"/>
                      <a:graphic xmlns:a="http://schemas.openxmlformats.org/drawingml/2006/main">
                        <a:graphicData uri="http://schemas.microsoft.com/office/word/2010/wordprocessingShape">
                          <wps:wsp>
                            <wps:cNvSpPr txBox="1"/>
                            <wps:spPr>
                              <a:xfrm>
                                <a:off x="0" y="0"/>
                                <a:ext cx="263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2435" cy="175260"/>
                      <wp:effectExtent l="0" t="0" r="0" b="0"/>
                      <wp:wrapNone/>
                      <wp:docPr id="212" name="Frame212"/>
                      <a:graphic xmlns:a="http://schemas.openxmlformats.org/drawingml/2006/main">
                        <a:graphicData uri="http://schemas.microsoft.com/office/word/2010/wordprocessingShape">
                          <wps:wsp>
                            <wps:cNvSpPr txBox="1"/>
                            <wps:spPr>
                              <a:xfrm>
                                <a:off x="0" y="0"/>
                                <a:ext cx="432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95935" cy="175260"/>
                      <wp:effectExtent l="0" t="0" r="0" b="0"/>
                      <wp:wrapNone/>
                      <wp:docPr id="215" name="Frame21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306"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Three Months Ended March 31, 2023</w:t>
            </w:r>
          </w:p>
        </w:tc>
      </w:tr>
      <w:tr>
        <w:trPr/>
        <w:tc>
          <w:tcPr>
            <w:tcW w:w="29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Real</w:t>
            </w:r>
          </w:p>
        </w:tc>
        <w:tc>
          <w:tcPr>
            <w:tcW w:w="326" w:type="dxa"/>
            <w:tcBorders/>
            <w:shd w:fill="auto" w:val="clear"/>
            <w:vAlign w:val="center"/>
          </w:tcPr>
          <w:p>
            <w:pPr>
              <w:pStyle w:val="TableContents"/>
              <w:spacing w:before="0" w:after="0"/>
              <w:ind w:left="0" w:right="0" w:hanging="0"/>
              <w:rPr/>
            </w:pPr>
            <w:r>
              <w:rPr/>
              <w:t>    </w:t>
            </w:r>
          </w:p>
        </w:tc>
        <w:tc>
          <w:tcPr>
            <w:tcW w:w="221"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Commercial</w:t>
            </w:r>
          </w:p>
        </w:tc>
        <w:tc>
          <w:tcPr>
            <w:tcW w:w="326" w:type="dxa"/>
            <w:tcBorders/>
            <w:shd w:fill="auto" w:val="clear"/>
            <w:vAlign w:val="center"/>
          </w:tcPr>
          <w:p>
            <w:pPr>
              <w:pStyle w:val="TableContents"/>
              <w:spacing w:before="0" w:after="0"/>
              <w:ind w:left="0" w:right="0" w:hanging="0"/>
              <w:rPr/>
            </w:pPr>
            <w:r>
              <w:rPr/>
              <w:t>    </w:t>
            </w:r>
          </w:p>
        </w:tc>
        <w:tc>
          <w:tcPr>
            <w:tcW w:w="415" w:type="dxa"/>
            <w:tcBorders/>
            <w:shd w:fill="auto" w:val="clear"/>
            <w:vAlign w:val="center"/>
          </w:tcPr>
          <w:p>
            <w:pPr>
              <w:pStyle w:val="TableContents"/>
              <w:spacing w:before="0" w:after="0"/>
              <w:ind w:left="0" w:right="0" w:hanging="0"/>
              <w:rPr/>
            </w:pPr>
            <w:r>
              <w:rPr/>
              <w:t>​</w:t>
            </w:r>
          </w:p>
        </w:tc>
        <w:tc>
          <w:tcPr>
            <w:tcW w:w="6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 xml:space="preserve">ACL FOR LOANS </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Estate</w:t>
            </w:r>
          </w:p>
        </w:tc>
        <w:tc>
          <w:tcPr>
            <w:tcW w:w="326" w:type="dxa"/>
            <w:tcBorders/>
            <w:shd w:fill="auto" w:val="clear"/>
            <w:vAlign w:val="center"/>
          </w:tcPr>
          <w:p>
            <w:pPr>
              <w:pStyle w:val="TableContents"/>
              <w:spacing w:before="0" w:after="0"/>
              <w:ind w:left="0" w:right="0" w:hanging="0"/>
              <w:rPr/>
            </w:pPr>
            <w:r>
              <w:rPr/>
              <w:t>​</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Consumer</w:t>
            </w:r>
          </w:p>
        </w:tc>
        <w:tc>
          <w:tcPr>
            <w:tcW w:w="326" w:type="dxa"/>
            <w:tcBorders/>
            <w:shd w:fill="auto" w:val="clear"/>
            <w:vAlign w:val="center"/>
          </w:tcPr>
          <w:p>
            <w:pPr>
              <w:pStyle w:val="TableContents"/>
              <w:spacing w:before="0" w:after="0"/>
              <w:ind w:left="0" w:right="0" w:hanging="0"/>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Business</w:t>
            </w:r>
          </w:p>
        </w:tc>
        <w:tc>
          <w:tcPr>
            <w:tcW w:w="326" w:type="dxa"/>
            <w:tcBorders/>
            <w:shd w:fill="auto" w:val="clear"/>
            <w:vAlign w:val="center"/>
          </w:tcPr>
          <w:p>
            <w:pPr>
              <w:pStyle w:val="TableContents"/>
              <w:spacing w:before="0" w:after="0"/>
              <w:ind w:left="0" w:right="0" w:hanging="0"/>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12,123</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12,109</w:t>
            </w:r>
          </w:p>
        </w:tc>
        <w:tc>
          <w:tcPr>
            <w:tcW w:w="32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3,760</w:t>
            </w:r>
          </w:p>
        </w:tc>
        <w:tc>
          <w:tcPr>
            <w:tcW w:w="326" w:type="dxa"/>
            <w:tcBorders/>
            <w:shd w:fill="CCEEFF" w:val="clear"/>
            <w:vAlign w:val="center"/>
          </w:tcPr>
          <w:p>
            <w:pPr>
              <w:pStyle w:val="TableContents"/>
              <w:spacing w:before="0" w:after="0"/>
              <w:ind w:left="0" w:right="0" w:hanging="0"/>
              <w:rPr/>
            </w:pPr>
            <w:r>
              <w:rPr/>
              <w:t>​</w:t>
            </w:r>
          </w:p>
        </w:tc>
        <w:tc>
          <w:tcPr>
            <w:tcW w:w="4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27,992</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credit losses on loans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32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8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auto" w:val="clear"/>
            <w:vAlign w:val="center"/>
          </w:tcPr>
          <w:p>
            <w:pPr>
              <w:pStyle w:val="TableContents"/>
              <w:spacing w:before="0" w:after="0"/>
              <w:ind w:left="0" w:right="0" w:hanging="0"/>
              <w:rPr/>
            </w:pPr>
            <w:r>
              <w:rPr/>
              <w:t>​</w:t>
            </w:r>
          </w:p>
        </w:tc>
        <w:tc>
          <w:tcPr>
            <w:tcW w:w="415" w:type="dxa"/>
            <w:tcBorders/>
            <w:shd w:fill="auto" w:val="clear"/>
            <w:vAlign w:val="center"/>
          </w:tcPr>
          <w:p>
            <w:pPr>
              <w:pStyle w:val="TableContents"/>
              <w:spacing w:before="0" w:after="0"/>
              <w:ind w:left="0" w:right="0" w:hanging="0"/>
              <w:rPr/>
            </w:pPr>
            <w:r>
              <w:rPr/>
              <w:t>​</w:t>
            </w:r>
          </w:p>
        </w:tc>
        <w:tc>
          <w:tcPr>
            <w:tcW w:w="6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Loans charged off</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2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pPr>
            <w:r>
              <w:rPr/>
              <w:t> </w:t>
            </w:r>
          </w:p>
        </w:tc>
        <w:tc>
          <w:tcPr>
            <w:tcW w:w="8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415" w:type="dxa"/>
            <w:tcBorders/>
            <w:shd w:fill="CCEEFF" w:val="clear"/>
            <w:vAlign w:val="center"/>
          </w:tcPr>
          <w:p>
            <w:pPr>
              <w:pStyle w:val="TableContents"/>
              <w:spacing w:before="0" w:after="0"/>
              <w:ind w:left="0" w:right="0" w:hanging="0"/>
              <w:rPr/>
            </w:pPr>
            <w:r>
              <w:rPr/>
              <w:t> </w:t>
            </w:r>
          </w:p>
        </w:tc>
        <w:tc>
          <w:tcPr>
            <w:tcW w:w="6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29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Recoveries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auto" w:val="clear"/>
            <w:vAlign w:val="center"/>
          </w:tcPr>
          <w:p>
            <w:pPr>
              <w:pStyle w:val="TableContents"/>
              <w:spacing w:before="0" w:after="0"/>
              <w:ind w:left="0" w:right="0" w:hanging="0"/>
              <w:rPr/>
            </w:pPr>
            <w:r>
              <w:rPr/>
              <w:t>​</w:t>
            </w:r>
          </w:p>
        </w:tc>
        <w:tc>
          <w:tcPr>
            <w:tcW w:w="29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1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29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ending ACL balance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12,572</w:t>
            </w:r>
          </w:p>
        </w:tc>
        <w:tc>
          <w:tcPr>
            <w:tcW w:w="326" w:type="dxa"/>
            <w:tcBorders/>
            <w:shd w:fill="CCEEFF" w:val="clear"/>
            <w:vAlign w:val="center"/>
          </w:tcPr>
          <w:p>
            <w:pPr>
              <w:pStyle w:val="TableContents"/>
              <w:spacing w:before="0" w:after="0"/>
              <w:ind w:left="0" w:right="0" w:hanging="0"/>
              <w:rPr/>
            </w:pPr>
            <w:r>
              <w:rPr/>
              <w:t>​</w:t>
            </w:r>
          </w:p>
        </w:tc>
        <w:tc>
          <w:tcPr>
            <w:tcW w:w="22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13,401</w:t>
            </w:r>
          </w:p>
        </w:tc>
        <w:tc>
          <w:tcPr>
            <w:tcW w:w="326" w:type="dxa"/>
            <w:tcBorders/>
            <w:shd w:fill="CCEEFF" w:val="clear"/>
            <w:vAlign w:val="center"/>
          </w:tcPr>
          <w:p>
            <w:pPr>
              <w:pStyle w:val="TableContents"/>
              <w:spacing w:before="0" w:after="0"/>
              <w:ind w:left="0" w:right="0" w:hanging="0"/>
              <w:rPr/>
            </w:pPr>
            <w:r>
              <w:rPr/>
              <w:t>​</w:t>
            </w:r>
          </w:p>
        </w:tc>
        <w:tc>
          <w:tcPr>
            <w:tcW w:w="2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3,964</w:t>
            </w:r>
          </w:p>
        </w:tc>
        <w:tc>
          <w:tcPr>
            <w:tcW w:w="326" w:type="dxa"/>
            <w:tcBorders/>
            <w:shd w:fill="CCEEFF" w:val="clear"/>
            <w:vAlign w:val="center"/>
          </w:tcPr>
          <w:p>
            <w:pPr>
              <w:pStyle w:val="TableContents"/>
              <w:spacing w:before="0" w:after="0"/>
              <w:ind w:left="0" w:right="0" w:hanging="0"/>
              <w:rPr/>
            </w:pPr>
            <w:r>
              <w:rPr/>
              <w:t>​</w:t>
            </w:r>
          </w:p>
        </w:tc>
        <w:tc>
          <w:tcPr>
            <w:tcW w:w="4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29,937</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559"/>
        <w:gridCol w:w="326"/>
        <w:gridCol w:w="211"/>
        <w:gridCol w:w="689"/>
        <w:gridCol w:w="326"/>
        <w:gridCol w:w="251"/>
        <w:gridCol w:w="680"/>
        <w:gridCol w:w="326"/>
        <w:gridCol w:w="274"/>
        <w:gridCol w:w="822"/>
        <w:gridCol w:w="326"/>
        <w:gridCol w:w="393"/>
        <w:gridCol w:w="703"/>
        <w:gridCol w:w="326"/>
        <w:gridCol w:w="211"/>
        <w:gridCol w:w="782"/>
      </w:tblGrid>
      <w:tr>
        <w:trPr/>
        <w:tc>
          <w:tcPr>
            <w:tcW w:w="35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259965" cy="175260"/>
                      <wp:effectExtent l="0" t="0" r="0" b="0"/>
                      <wp:wrapNone/>
                      <wp:docPr id="216" name="Frame216"/>
                      <a:graphic xmlns:a="http://schemas.openxmlformats.org/drawingml/2006/main">
                        <a:graphicData uri="http://schemas.microsoft.com/office/word/2010/wordprocessingShape">
                          <wps:wsp>
                            <wps:cNvSpPr txBox="1"/>
                            <wps:spPr>
                              <a:xfrm>
                                <a:off x="0" y="0"/>
                                <a:ext cx="22599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37515" cy="175260"/>
                      <wp:effectExtent l="0" t="0" r="0" b="0"/>
                      <wp:wrapNone/>
                      <wp:docPr id="219" name="Frame219"/>
                      <a:graphic xmlns:a="http://schemas.openxmlformats.org/drawingml/2006/main">
                        <a:graphicData uri="http://schemas.microsoft.com/office/word/2010/wordprocessingShape">
                          <wps:wsp>
                            <wps:cNvSpPr txBox="1"/>
                            <wps:spPr>
                              <a:xfrm>
                                <a:off x="0" y="0"/>
                                <a:ext cx="4375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9385" cy="175260"/>
                      <wp:effectExtent l="0" t="0" r="0" b="0"/>
                      <wp:wrapNone/>
                      <wp:docPr id="221" name="Frame221"/>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31800" cy="175260"/>
                      <wp:effectExtent l="0" t="0" r="0" b="0"/>
                      <wp:wrapNone/>
                      <wp:docPr id="222" name="Frame222"/>
                      <a:graphic xmlns:a="http://schemas.openxmlformats.org/drawingml/2006/main">
                        <a:graphicData uri="http://schemas.microsoft.com/office/word/2010/wordprocessingShape">
                          <wps:wsp>
                            <wps:cNvSpPr txBox="1"/>
                            <wps:spPr>
                              <a:xfrm>
                                <a:off x="0" y="0"/>
                                <a:ext cx="431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3990" cy="175260"/>
                      <wp:effectExtent l="0" t="0" r="0" b="0"/>
                      <wp:wrapNone/>
                      <wp:docPr id="224" name="Frame224"/>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21970" cy="175260"/>
                      <wp:effectExtent l="0" t="0" r="0" b="0"/>
                      <wp:wrapNone/>
                      <wp:docPr id="225" name="Frame225"/>
                      <a:graphic xmlns:a="http://schemas.openxmlformats.org/drawingml/2006/main">
                        <a:graphicData uri="http://schemas.microsoft.com/office/word/2010/wordprocessingShape">
                          <wps:wsp>
                            <wps:cNvSpPr txBox="1"/>
                            <wps:spPr>
                              <a:xfrm>
                                <a:off x="0" y="0"/>
                                <a:ext cx="521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49555" cy="175260"/>
                      <wp:effectExtent l="0" t="0" r="0" b="0"/>
                      <wp:wrapNone/>
                      <wp:docPr id="227" name="Frame227"/>
                      <a:graphic xmlns:a="http://schemas.openxmlformats.org/drawingml/2006/main">
                        <a:graphicData uri="http://schemas.microsoft.com/office/word/2010/wordprocessingShape">
                          <wps:wsp>
                            <wps:cNvSpPr txBox="1"/>
                            <wps:spPr>
                              <a:xfrm>
                                <a:off x="0" y="0"/>
                                <a:ext cx="249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46405" cy="175260"/>
                      <wp:effectExtent l="0" t="0" r="0" b="0"/>
                      <wp:wrapNone/>
                      <wp:docPr id="228" name="Frame228"/>
                      <a:graphic xmlns:a="http://schemas.openxmlformats.org/drawingml/2006/main">
                        <a:graphicData uri="http://schemas.microsoft.com/office/word/2010/wordprocessingShape">
                          <wps:wsp>
                            <wps:cNvSpPr txBox="1"/>
                            <wps:spPr>
                              <a:xfrm>
                                <a:off x="0" y="0"/>
                                <a:ext cx="4464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96570" cy="175260"/>
                      <wp:effectExtent l="0" t="0" r="0" b="0"/>
                      <wp:wrapNone/>
                      <wp:docPr id="231" name="Frame231"/>
                      <a:graphic xmlns:a="http://schemas.openxmlformats.org/drawingml/2006/main">
                        <a:graphicData uri="http://schemas.microsoft.com/office/word/2010/wordprocessingShape">
                          <wps:wsp>
                            <wps:cNvSpPr txBox="1"/>
                            <wps:spPr>
                              <a:xfrm>
                                <a:off x="0" y="0"/>
                                <a:ext cx="496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5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320" w:type="dxa"/>
            <w:gridSpan w:val="1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At or For the Three Months Ended March 31, 2022</w:t>
            </w:r>
          </w:p>
        </w:tc>
      </w:tr>
      <w:tr>
        <w:trPr/>
        <w:tc>
          <w:tcPr>
            <w:tcW w:w="355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Real</w:t>
            </w:r>
          </w:p>
        </w:tc>
        <w:tc>
          <w:tcPr>
            <w:tcW w:w="326" w:type="dxa"/>
            <w:tcBorders/>
            <w:shd w:fill="auto" w:val="clear"/>
            <w:vAlign w:val="center"/>
          </w:tcPr>
          <w:p>
            <w:pPr>
              <w:pStyle w:val="TableContents"/>
              <w:spacing w:before="0" w:after="1"/>
              <w:ind w:left="0" w:right="0" w:hanging="0"/>
              <w:rPr/>
            </w:pPr>
            <w:r>
              <w:rPr/>
              <w:t>    </w:t>
            </w:r>
          </w:p>
        </w:tc>
        <w:tc>
          <w:tcPr>
            <w:tcW w:w="251" w:type="dxa"/>
            <w:tcBorders/>
            <w:shd w:fill="auto" w:val="clear"/>
            <w:vAlign w:val="center"/>
          </w:tcPr>
          <w:p>
            <w:pPr>
              <w:pStyle w:val="TableContents"/>
              <w:spacing w:before="0" w:after="1"/>
              <w:ind w:left="0" w:right="0" w:hanging="0"/>
              <w:rPr/>
            </w:pPr>
            <w:r>
              <w:rPr/>
              <w:t>​</w:t>
            </w:r>
          </w:p>
        </w:tc>
        <w:tc>
          <w:tcPr>
            <w:tcW w:w="68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Commercial</w:t>
            </w:r>
          </w:p>
        </w:tc>
        <w:tc>
          <w:tcPr>
            <w:tcW w:w="326" w:type="dxa"/>
            <w:tcBorders/>
            <w:shd w:fill="auto" w:val="clear"/>
            <w:vAlign w:val="center"/>
          </w:tcPr>
          <w:p>
            <w:pPr>
              <w:pStyle w:val="TableContents"/>
              <w:spacing w:before="0" w:after="1"/>
              <w:ind w:left="0" w:right="0" w:hanging="0"/>
              <w:rPr/>
            </w:pPr>
            <w:r>
              <w:rPr/>
              <w:t>    </w:t>
            </w:r>
          </w:p>
        </w:tc>
        <w:tc>
          <w:tcPr>
            <w:tcW w:w="393" w:type="dxa"/>
            <w:tcBorders/>
            <w:shd w:fill="auto" w:val="clear"/>
            <w:vAlign w:val="center"/>
          </w:tcPr>
          <w:p>
            <w:pPr>
              <w:pStyle w:val="TableContents"/>
              <w:spacing w:before="0" w:after="1"/>
              <w:ind w:left="0" w:right="0" w:hanging="0"/>
              <w:rPr/>
            </w:pPr>
            <w:r>
              <w:rPr/>
              <w:t>​</w:t>
            </w:r>
          </w:p>
        </w:tc>
        <w:tc>
          <w:tcPr>
            <w:tcW w:w="70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82" w:type="dxa"/>
            <w:tcBorders/>
            <w:shd w:fill="auto" w:val="clear"/>
            <w:vAlign w:val="center"/>
          </w:tcPr>
          <w:p>
            <w:pPr>
              <w:pStyle w:val="TableContents"/>
              <w:spacing w:before="0" w:after="1"/>
              <w:ind w:left="0" w:right="0" w:hanging="0"/>
              <w:rPr/>
            </w:pPr>
            <w:r>
              <w:rPr/>
              <w:t>​</w:t>
            </w:r>
          </w:p>
        </w:tc>
      </w:tr>
      <w:tr>
        <w:trPr/>
        <w:tc>
          <w:tcPr>
            <w:tcW w:w="3559" w:type="dxa"/>
            <w:tcBorders/>
            <w:shd w:fill="auto" w:val="clear"/>
            <w:vAlign w:val="center"/>
          </w:tcPr>
          <w:p>
            <w:pPr>
              <w:pStyle w:val="TableContents"/>
              <w:spacing w:before="0" w:after="1"/>
              <w:ind w:left="0" w:right="0" w:hanging="0"/>
              <w:rPr>
                <w:rFonts w:ascii="Times New Roman;Times;serif" w:hAnsi="Times New Roman;Times;serif"/>
                <w:b/>
                <w:sz w:val="19"/>
              </w:rPr>
            </w:pPr>
            <w:r>
              <w:rPr>
                <w:rFonts w:ascii="Times New Roman;Times;serif" w:hAnsi="Times New Roman;Times;serif"/>
                <w:b/>
                <w:sz w:val="19"/>
              </w:rPr>
              <w:t xml:space="preserve">ACL FOR LOANS </w:t>
            </w:r>
          </w:p>
        </w:tc>
        <w:tc>
          <w:tcPr>
            <w:tcW w:w="326" w:type="dxa"/>
            <w:tcBorders/>
            <w:shd w:fill="auto" w:val="clear"/>
            <w:vAlign w:val="center"/>
          </w:tcPr>
          <w:p>
            <w:pPr>
              <w:pStyle w:val="TableContents"/>
              <w:spacing w:before="0" w:after="1"/>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Estate</w:t>
            </w:r>
          </w:p>
        </w:tc>
        <w:tc>
          <w:tcPr>
            <w:tcW w:w="326" w:type="dxa"/>
            <w:tcBorders/>
            <w:shd w:fill="auto" w:val="clear"/>
            <w:vAlign w:val="center"/>
          </w:tcPr>
          <w:p>
            <w:pPr>
              <w:pStyle w:val="TableContents"/>
              <w:spacing w:before="0" w:after="1"/>
              <w:ind w:left="0" w:right="0" w:hanging="0"/>
              <w:rPr/>
            </w:pPr>
            <w:r>
              <w:rPr/>
              <w:t>​</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Consumer</w:t>
            </w:r>
          </w:p>
        </w:tc>
        <w:tc>
          <w:tcPr>
            <w:tcW w:w="326" w:type="dxa"/>
            <w:tcBorders/>
            <w:shd w:fill="auto" w:val="clear"/>
            <w:vAlign w:val="center"/>
          </w:tcPr>
          <w:p>
            <w:pPr>
              <w:pStyle w:val="TableContents"/>
              <w:spacing w:before="0" w:after="1"/>
              <w:ind w:left="0" w:right="0" w:hanging="0"/>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Business</w:t>
            </w:r>
          </w:p>
        </w:tc>
        <w:tc>
          <w:tcPr>
            <w:tcW w:w="326" w:type="dxa"/>
            <w:tcBorders/>
            <w:shd w:fill="auto" w:val="clear"/>
            <w:vAlign w:val="center"/>
          </w:tcPr>
          <w:p>
            <w:pPr>
              <w:pStyle w:val="TableContents"/>
              <w:spacing w:before="0" w:after="1"/>
              <w:ind w:left="0" w:right="0" w:hanging="0"/>
              <w:rPr/>
            </w:pPr>
            <w:r>
              <w:rPr/>
              <w:t>​</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shd w:fill="auto" w:val="clear"/>
            <w:vAlign w:val="center"/>
          </w:tcPr>
          <w:p>
            <w:pPr>
              <w:pStyle w:val="TableContents"/>
              <w:spacing w:before="0" w:after="1"/>
              <w:ind w:left="0" w:right="0" w:hanging="0"/>
              <w:rPr/>
            </w:pPr>
            <w:r>
              <w:rPr/>
              <w:t>​</w:t>
            </w:r>
          </w:p>
        </w:tc>
        <w:tc>
          <w:tcPr>
            <w:tcW w:w="99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55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Beginning balance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14,798</w:t>
            </w:r>
          </w:p>
        </w:tc>
        <w:tc>
          <w:tcPr>
            <w:tcW w:w="326" w:type="dxa"/>
            <w:tcBorders/>
            <w:shd w:fill="CCEEFF" w:val="clear"/>
            <w:vAlign w:val="center"/>
          </w:tcPr>
          <w:p>
            <w:pPr>
              <w:pStyle w:val="TableContents"/>
              <w:spacing w:before="0" w:after="1"/>
              <w:ind w:left="0" w:right="0" w:hanging="0"/>
              <w:rPr/>
            </w:pPr>
            <w:r>
              <w:rPr/>
              <w:t>​</w:t>
            </w:r>
          </w:p>
        </w:tc>
        <w:tc>
          <w:tcPr>
            <w:tcW w:w="2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4,280</w:t>
            </w:r>
          </w:p>
        </w:tc>
        <w:tc>
          <w:tcPr>
            <w:tcW w:w="326" w:type="dxa"/>
            <w:tcBorders/>
            <w:shd w:fill="CCEEFF" w:val="clear"/>
            <w:vAlign w:val="center"/>
          </w:tcPr>
          <w:p>
            <w:pPr>
              <w:pStyle w:val="TableContents"/>
              <w:spacing w:before="0" w:after="1"/>
              <w:ind w:left="0" w:right="0" w:hanging="0"/>
              <w:rPr/>
            </w:pPr>
            <w:r>
              <w:rPr/>
              <w:t>​</w:t>
            </w:r>
          </w:p>
        </w:tc>
        <w:tc>
          <w:tcPr>
            <w:tcW w:w="2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6,536</w:t>
            </w:r>
          </w:p>
        </w:tc>
        <w:tc>
          <w:tcPr>
            <w:tcW w:w="326" w:type="dxa"/>
            <w:tcBorders/>
            <w:shd w:fill="CCEEFF" w:val="clear"/>
            <w:vAlign w:val="center"/>
          </w:tcPr>
          <w:p>
            <w:pPr>
              <w:pStyle w:val="TableContents"/>
              <w:spacing w:before="0" w:after="1"/>
              <w:ind w:left="0" w:right="0" w:hanging="0"/>
              <w:rPr/>
            </w:pPr>
            <w:r>
              <w:rPr/>
              <w:t>​</w:t>
            </w:r>
          </w:p>
        </w:tc>
        <w:tc>
          <w:tcPr>
            <w:tcW w:w="39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25,635</w:t>
            </w:r>
          </w:p>
        </w:tc>
      </w:tr>
      <w:tr>
        <w:trPr/>
        <w:tc>
          <w:tcPr>
            <w:tcW w:w="355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Impact of adopting ASC 326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(5,234)</w:t>
            </w:r>
          </w:p>
        </w:tc>
        <w:tc>
          <w:tcPr>
            <w:tcW w:w="326" w:type="dxa"/>
            <w:tcBorders/>
            <w:shd w:fill="auto" w:val="clear"/>
            <w:vAlign w:val="center"/>
          </w:tcPr>
          <w:p>
            <w:pPr>
              <w:pStyle w:val="TableContents"/>
              <w:spacing w:before="0" w:after="1"/>
              <w:ind w:left="0" w:right="0" w:hanging="0"/>
              <w:rPr/>
            </w:pPr>
            <w:r>
              <w:rPr/>
              <w:t>​</w:t>
            </w:r>
          </w:p>
        </w:tc>
        <w:tc>
          <w:tcPr>
            <w:tcW w:w="251" w:type="dxa"/>
            <w:tcBorders/>
            <w:shd w:fill="auto" w:val="clear"/>
            <w:vAlign w:val="center"/>
          </w:tcPr>
          <w:p>
            <w:pPr>
              <w:pStyle w:val="TableContents"/>
              <w:spacing w:before="0" w:after="1"/>
              <w:ind w:left="0" w:right="0" w:hanging="0"/>
              <w:rPr/>
            </w:pPr>
            <w:r>
              <w:rPr/>
              <w:t>​</w:t>
            </w:r>
          </w:p>
        </w:tc>
        <w:tc>
          <w:tcPr>
            <w:tcW w:w="6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6,078</w:t>
            </w:r>
          </w:p>
        </w:tc>
        <w:tc>
          <w:tcPr>
            <w:tcW w:w="326" w:type="dxa"/>
            <w:tcBorders/>
            <w:shd w:fill="auto" w:val="clear"/>
            <w:vAlign w:val="center"/>
          </w:tcPr>
          <w:p>
            <w:pPr>
              <w:pStyle w:val="TableContents"/>
              <w:spacing w:before="0" w:after="1"/>
              <w:ind w:left="0" w:right="0" w:hanging="0"/>
              <w:rPr/>
            </w:pPr>
            <w:r>
              <w:rPr/>
              <w:t>​</w:t>
            </w:r>
          </w:p>
        </w:tc>
        <w:tc>
          <w:tcPr>
            <w:tcW w:w="274" w:type="dxa"/>
            <w:tcBorders/>
            <w:shd w:fill="auto" w:val="clear"/>
            <w:vAlign w:val="center"/>
          </w:tcPr>
          <w:p>
            <w:pPr>
              <w:pStyle w:val="TableContents"/>
              <w:spacing w:before="0" w:after="1"/>
              <w:ind w:left="0" w:right="0" w:hanging="0"/>
              <w:rPr/>
            </w:pPr>
            <w:r>
              <w:rPr/>
              <w:t>​</w:t>
            </w:r>
          </w:p>
        </w:tc>
        <w:tc>
          <w:tcPr>
            <w:tcW w:w="8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(3,682)</w:t>
            </w:r>
          </w:p>
        </w:tc>
        <w:tc>
          <w:tcPr>
            <w:tcW w:w="326" w:type="dxa"/>
            <w:tcBorders/>
            <w:shd w:fill="auto" w:val="clear"/>
            <w:vAlign w:val="center"/>
          </w:tcPr>
          <w:p>
            <w:pPr>
              <w:pStyle w:val="TableContents"/>
              <w:spacing w:before="0" w:after="1"/>
              <w:ind w:left="0" w:right="0" w:hanging="0"/>
              <w:rPr/>
            </w:pPr>
            <w:r>
              <w:rPr/>
              <w:t>​</w:t>
            </w:r>
          </w:p>
        </w:tc>
        <w:tc>
          <w:tcPr>
            <w:tcW w:w="393" w:type="dxa"/>
            <w:tcBorders/>
            <w:shd w:fill="auto" w:val="clear"/>
            <w:vAlign w:val="center"/>
          </w:tcPr>
          <w:p>
            <w:pPr>
              <w:pStyle w:val="TableContents"/>
              <w:spacing w:before="0" w:after="1"/>
              <w:ind w:left="0" w:right="0" w:hanging="0"/>
              <w:rPr/>
            </w:pPr>
            <w:r>
              <w:rPr/>
              <w:t>​</w:t>
            </w:r>
          </w:p>
        </w:tc>
        <w:tc>
          <w:tcPr>
            <w:tcW w:w="7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(2,859)</w:t>
            </w:r>
          </w:p>
        </w:tc>
      </w:tr>
      <w:tr>
        <w:trPr/>
        <w:tc>
          <w:tcPr>
            <w:tcW w:w="355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Provision for (reversal of) credit losses on loans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shd w:fill="CCEEFF" w:val="clear"/>
            <w:vAlign w:val="center"/>
          </w:tcPr>
          <w:p>
            <w:pPr>
              <w:pStyle w:val="TableContents"/>
              <w:spacing w:before="0" w:after="1"/>
              <w:ind w:left="0" w:right="0" w:hanging="0"/>
              <w:rPr/>
            </w:pPr>
            <w:r>
              <w:rPr/>
              <w:t>​</w:t>
            </w:r>
          </w:p>
        </w:tc>
        <w:tc>
          <w:tcPr>
            <w:tcW w:w="251" w:type="dxa"/>
            <w:tcBorders/>
            <w:shd w:fill="CCEEFF" w:val="clear"/>
            <w:vAlign w:val="center"/>
          </w:tcPr>
          <w:p>
            <w:pPr>
              <w:pStyle w:val="TableContents"/>
              <w:spacing w:before="0" w:after="1"/>
              <w:ind w:left="0" w:right="0" w:hanging="0"/>
              <w:rPr/>
            </w:pPr>
            <w:r>
              <w:rPr/>
              <w:t>​</w:t>
            </w:r>
          </w:p>
        </w:tc>
        <w:tc>
          <w:tcPr>
            <w:tcW w:w="68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shd w:fill="CCEEFF" w:val="clear"/>
            <w:vAlign w:val="center"/>
          </w:tcPr>
          <w:p>
            <w:pPr>
              <w:pStyle w:val="TableContents"/>
              <w:spacing w:before="0" w:after="1"/>
              <w:ind w:left="0" w:right="0" w:hanging="0"/>
              <w:rPr/>
            </w:pPr>
            <w:r>
              <w:rPr/>
              <w:t>​</w:t>
            </w:r>
          </w:p>
        </w:tc>
        <w:tc>
          <w:tcPr>
            <w:tcW w:w="274" w:type="dxa"/>
            <w:tcBorders/>
            <w:shd w:fill="CCEEFF" w:val="clear"/>
            <w:vAlign w:val="center"/>
          </w:tcPr>
          <w:p>
            <w:pPr>
              <w:pStyle w:val="TableContents"/>
              <w:spacing w:before="0" w:after="1"/>
              <w:ind w:left="0" w:right="0" w:hanging="0"/>
              <w:rPr/>
            </w:pPr>
            <w:r>
              <w:rPr/>
              <w:t>​</w:t>
            </w:r>
          </w:p>
        </w:tc>
        <w:tc>
          <w:tcPr>
            <w:tcW w:w="8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spacing w:before="0" w:after="1"/>
              <w:ind w:left="0" w:right="0" w:hanging="0"/>
              <w:rPr/>
            </w:pPr>
            <w:r>
              <w:rPr/>
              <w:t>​</w:t>
            </w:r>
          </w:p>
        </w:tc>
        <w:tc>
          <w:tcPr>
            <w:tcW w:w="393" w:type="dxa"/>
            <w:tcBorders/>
            <w:shd w:fill="CCEEFF" w:val="clear"/>
            <w:vAlign w:val="center"/>
          </w:tcPr>
          <w:p>
            <w:pPr>
              <w:pStyle w:val="TableContents"/>
              <w:spacing w:before="0" w:after="1"/>
              <w:ind w:left="0" w:right="0" w:hanging="0"/>
              <w:rPr/>
            </w:pPr>
            <w:r>
              <w:rPr/>
              <w:t>​</w:t>
            </w:r>
          </w:p>
        </w:tc>
        <w:tc>
          <w:tcPr>
            <w:tcW w:w="70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852</w:t>
            </w:r>
          </w:p>
        </w:tc>
      </w:tr>
      <w:tr>
        <w:trPr/>
        <w:tc>
          <w:tcPr>
            <w:tcW w:w="355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Loans charged off</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8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1" w:type="dxa"/>
            <w:tcBorders/>
            <w:shd w:fill="auto" w:val="clear"/>
            <w:vAlign w:val="center"/>
          </w:tcPr>
          <w:p>
            <w:pPr>
              <w:pStyle w:val="TableContents"/>
              <w:spacing w:before="0" w:after="1"/>
              <w:ind w:left="0" w:right="0" w:hanging="0"/>
              <w:rPr/>
            </w:pPr>
            <w:r>
              <w:rPr/>
              <w:t> </w:t>
            </w:r>
          </w:p>
        </w:tc>
        <w:tc>
          <w:tcPr>
            <w:tcW w:w="68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shd w:fill="auto" w:val="clear"/>
            <w:vAlign w:val="center"/>
          </w:tcPr>
          <w:p>
            <w:pPr>
              <w:pStyle w:val="TableContents"/>
              <w:spacing w:before="0" w:after="1"/>
              <w:ind w:left="0" w:right="0" w:hanging="0"/>
              <w:rPr/>
            </w:pPr>
            <w:r>
              <w:rPr/>
              <w:t>​</w:t>
            </w:r>
          </w:p>
        </w:tc>
        <w:tc>
          <w:tcPr>
            <w:tcW w:w="274" w:type="dxa"/>
            <w:tcBorders/>
            <w:shd w:fill="auto" w:val="clear"/>
            <w:vAlign w:val="center"/>
          </w:tcPr>
          <w:p>
            <w:pPr>
              <w:pStyle w:val="TableContents"/>
              <w:spacing w:before="0" w:after="1"/>
              <w:ind w:left="0" w:right="0" w:hanging="0"/>
              <w:rPr/>
            </w:pPr>
            <w:r>
              <w:rPr/>
              <w:t> </w:t>
            </w:r>
          </w:p>
        </w:tc>
        <w:tc>
          <w:tcPr>
            <w:tcW w:w="82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93" w:type="dxa"/>
            <w:tcBorders/>
            <w:shd w:fill="auto" w:val="clear"/>
            <w:vAlign w:val="center"/>
          </w:tcPr>
          <w:p>
            <w:pPr>
              <w:pStyle w:val="TableContents"/>
              <w:spacing w:before="0" w:after="1"/>
              <w:ind w:left="0" w:right="0" w:hanging="0"/>
              <w:rPr/>
            </w:pPr>
            <w:r>
              <w:rPr/>
              <w:t> </w:t>
            </w:r>
          </w:p>
        </w:tc>
        <w:tc>
          <w:tcPr>
            <w:tcW w:w="70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r>
      <w:tr>
        <w:trPr/>
        <w:tc>
          <w:tcPr>
            <w:tcW w:w="355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Recoveries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shd w:fill="CCEEFF" w:val="clear"/>
            <w:vAlign w:val="center"/>
          </w:tcPr>
          <w:p>
            <w:pPr>
              <w:pStyle w:val="TableContents"/>
              <w:spacing w:before="0" w:after="1"/>
              <w:ind w:left="0" w:right="0" w:hanging="0"/>
              <w:rPr/>
            </w:pPr>
            <w:r>
              <w:rPr/>
              <w:t>​</w:t>
            </w:r>
          </w:p>
        </w:tc>
        <w:tc>
          <w:tcPr>
            <w:tcW w:w="27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9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0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355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ending ACL balance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10,560</w:t>
            </w:r>
          </w:p>
        </w:tc>
        <w:tc>
          <w:tcPr>
            <w:tcW w:w="326" w:type="dxa"/>
            <w:tcBorders/>
            <w:shd w:fill="auto" w:val="clear"/>
            <w:vAlign w:val="center"/>
          </w:tcPr>
          <w:p>
            <w:pPr>
              <w:pStyle w:val="TableContents"/>
              <w:spacing w:before="0" w:after="1"/>
              <w:ind w:left="0" w:right="0" w:hanging="0"/>
              <w:rPr/>
            </w:pPr>
            <w:r>
              <w:rPr/>
              <w:t>​</w:t>
            </w:r>
          </w:p>
        </w:tc>
        <w:tc>
          <w:tcPr>
            <w:tcW w:w="25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9,792</w:t>
            </w:r>
          </w:p>
        </w:tc>
        <w:tc>
          <w:tcPr>
            <w:tcW w:w="326" w:type="dxa"/>
            <w:tcBorders/>
            <w:shd w:fill="auto" w:val="clear"/>
            <w:vAlign w:val="center"/>
          </w:tcPr>
          <w:p>
            <w:pPr>
              <w:pStyle w:val="TableContents"/>
              <w:spacing w:before="0" w:after="1"/>
              <w:ind w:left="0" w:right="0" w:hanging="0"/>
              <w:rPr/>
            </w:pPr>
            <w:r>
              <w:rPr/>
              <w:t>​</w:t>
            </w:r>
          </w:p>
        </w:tc>
        <w:tc>
          <w:tcPr>
            <w:tcW w:w="27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3,013</w:t>
            </w:r>
          </w:p>
        </w:tc>
        <w:tc>
          <w:tcPr>
            <w:tcW w:w="326" w:type="dxa"/>
            <w:tcBorders/>
            <w:shd w:fill="auto" w:val="clear"/>
            <w:vAlign w:val="center"/>
          </w:tcPr>
          <w:p>
            <w:pPr>
              <w:pStyle w:val="TableContents"/>
              <w:spacing w:before="0" w:after="1"/>
              <w:ind w:left="0" w:right="0" w:hanging="0"/>
              <w:rPr/>
            </w:pPr>
            <w:r>
              <w:rPr/>
              <w:t>​</w:t>
            </w:r>
          </w:p>
        </w:tc>
        <w:tc>
          <w:tcPr>
            <w:tcW w:w="39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23,365</w:t>
            </w:r>
          </w:p>
        </w:tc>
      </w:tr>
    </w:tbl>
    <w:p>
      <w:pPr>
        <w:pStyle w:val="TextBody"/>
        <w:spacing w:before="0" w:after="200"/>
        <w:ind w:left="0" w:right="0" w:hanging="0"/>
        <w:jc w:val="both"/>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i/>
          <w:sz w:val="20"/>
        </w:rPr>
        <w:t>Nonaccrual and Past Due Loans</w:t>
      </w:r>
      <w:r>
        <w:rPr>
          <w:rFonts w:ascii="Times New Roman;Times;serif" w:hAnsi="Times New Roman;Times;serif"/>
          <w:sz w:val="20"/>
        </w:rPr>
        <w:t>. Loans are considered past due if the required principal and interest payments have not been received as of the date such payments were due. Loans are automatically placed on nonaccrual once the loan is 90 days past due or sooner if, in management’s opinion, the borrower may be unable to meet payment obligations as they become due, or as required by regulatory authorities.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Loan Modifications for Borrowers Experiencing Financial Difficulty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may agree to modify the contractual terms of a loan to a borrower experiencing financial difficulty as a part of ongoing loss mitigation strategies. These modifications may result in an interest rate reduction, term extension, an other-than-insignificant payment delay, or a combination thereof. The Company typically does not offer principal forgiveness.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restructured two related commercial and industrial loans during the first quarter of 2023. The restructuring included a consolidation of the loans into a single loan, an increase in contractual term of 60 months, and a reduction in the contractual interest rate from 7.5% to 4.1%. The loan had an amortized cost of $3.7 million, or 1.7% of commercial and industrial loans, at March 31, 2023. The loan has paid as agreed subsequent to the restructuring, however, was classified as current and nonaccrual as of March 31, 2023, and individually evaluated in the determination of the associated ACL for loans. There were no loans that were modified on or after January 1, 2023, the date the Company adopted ASU 2022–02, through March 31, 2023 that subsequently defaulted during the period presented.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Troubled Debt Restructurings (“TDRs”)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At March 31, 2022, the Company had no TDRs. There were no TDRs which incurred a payment default within twelve months of the restructure date during the three months ended March 31, 2022.</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both"/>
        <w:rPr>
          <w:rFonts w:ascii="Times New Roman;Times;serif" w:hAnsi="Times New Roman;Times;serif"/>
          <w:sz w:val="20"/>
        </w:rPr>
      </w:pPr>
      <w:bookmarkStart w:id="1137" w:name="Tc_vLwE3sWy3E-lc1ttNeCJOQ_21_20"/>
      <w:bookmarkStart w:id="1138" w:name="Tc_-Fl8deDDx0yGp-kNL47vfw_21_17"/>
      <w:bookmarkStart w:id="1139" w:name="Tc_J5IRspkuvkaupD8C22pCkQ_21_14"/>
      <w:bookmarkStart w:id="1140" w:name="Tc_fQcXnatcMUSaHM98buhLHQ_21_11"/>
      <w:bookmarkStart w:id="1141" w:name="Tc_J9ZlytdYnkKLrFUOoq5USg_21_8"/>
      <w:bookmarkStart w:id="1142" w:name="Tc_cEZRJ7nWXEe2qTFYez2bqw_21_5"/>
      <w:bookmarkStart w:id="1143" w:name="Tc_xNKI7iIE0USXGeCzpOaZzw_21_2"/>
      <w:bookmarkStart w:id="1144" w:name="Tc_pB2OBSVb9UaPCcqNPndmpQ_21_0"/>
      <w:bookmarkStart w:id="1145" w:name="Tc_1IbQWbvRkESWf5gjYfur3g_20_6"/>
      <w:bookmarkStart w:id="1146" w:name="Tc_-pbT4gZYEECJ6smQuRFzGA_20_0"/>
      <w:bookmarkStart w:id="1147" w:name="Tc_Km0DdpPCGkS3x5uyrhw1JA_19_21"/>
      <w:bookmarkStart w:id="1148" w:name="Tc_6CKBfrFIyEiuyI0_7CbAtA_19_12"/>
      <w:bookmarkStart w:id="1149" w:name="Tc_asuvX3ClNEyd9D1BoajAYA_19_9"/>
      <w:bookmarkStart w:id="1150" w:name="Tc_WEUixjjhO0Ckzkc5obGaVw_19_6"/>
      <w:bookmarkStart w:id="1151" w:name="Tc_eFJhe4l_5UaEJcBK9Yj8pw_19_3"/>
      <w:bookmarkStart w:id="1152" w:name="Tc_JhsHcvnJS0GdHJRQ7QOA5Q_19_0"/>
      <w:bookmarkStart w:id="1153" w:name="Tc_UgzG9vdbE0SYvfUHRk98Vw_18_6"/>
      <w:bookmarkStart w:id="1154" w:name="Tc_5LJZYDVdPUqqk48sMW3xOA_18_0"/>
      <w:bookmarkStart w:id="1155" w:name="Tc_2r6oHgYKV02JMJHvcPZaIw_17_0"/>
      <w:bookmarkStart w:id="1156" w:name="Tc_qDUVSa53dkebTi1R28ddXQ_16_0"/>
      <w:bookmarkStart w:id="1157" w:name="Tc_Vf-ngNfXxkmcOPY3YVpDmQ_15_0"/>
      <w:bookmarkStart w:id="1158" w:name="Tc_TE7E4AWsiU26zsqhgM6G4g_14_0"/>
      <w:bookmarkStart w:id="1159" w:name="Tc_LhjTCIcnBk-IU_MOqRk-lg_13_0"/>
      <w:bookmarkStart w:id="1160" w:name="Tc_978qCkB26UqUKUWqro4RLg_12_0"/>
      <w:bookmarkStart w:id="1161" w:name="Tc_-SlkNBc-PE6-VJS6IxktoA_11_0"/>
      <w:bookmarkStart w:id="1162" w:name="Tc_i2gKB8szA0CKrXVmHgEm3Q_10_21"/>
      <w:bookmarkStart w:id="1163" w:name="Tc_F9WqqF-uJ0GEc9kmladrtg_10_12"/>
      <w:bookmarkStart w:id="1164" w:name="Tc_gwCoJqQAWkOejQcEs510iA_10_9"/>
      <w:bookmarkStart w:id="1165" w:name="Tc_QA4rOCB7ekmTMHAUshg5rQ_10_6"/>
      <w:bookmarkStart w:id="1166" w:name="Tc_rjrz8y__G0Ctyv4YmoUErA_10_3"/>
      <w:bookmarkStart w:id="1167" w:name="Tc__tnm2_dEdEyCqpbR0XAkuQ_10_0"/>
      <w:bookmarkStart w:id="1168" w:name="Tc__2o0L1j0T0Ch0bieUy5vog_9_6"/>
      <w:bookmarkStart w:id="1169" w:name="Tc_nVzWm4YiR0OQyZ119wzdoQ_9_3"/>
      <w:bookmarkStart w:id="1170" w:name="Tc_Pf9NhmpEN06a5V6cmpoTPg_9_0"/>
      <w:bookmarkStart w:id="1171" w:name="Tc_a9Vov34CVEeY6tlLFBWdaA_8_0"/>
      <w:bookmarkStart w:id="1172" w:name="Tc_A9D-MznP5069plVEMRj5qA_7_21"/>
      <w:bookmarkStart w:id="1173" w:name="Tc_9t-qFeydzkOO0wzXrM-hAQ_7_12"/>
      <w:bookmarkStart w:id="1174" w:name="Tc_3j8VtxmvpUu8RS15BjF9KQ_7_9"/>
      <w:bookmarkStart w:id="1175" w:name="Tc_9xKMbpzAq0Gug2KLRXCSxA_7_6"/>
      <w:bookmarkStart w:id="1176" w:name="Tc_SoQ8b7lww0qi68Lcii1-2w_7_3"/>
      <w:bookmarkStart w:id="1177" w:name="Tc_Dwa7BF5EDkS3DISguTYJBQ_7_0"/>
      <w:bookmarkStart w:id="1178" w:name="Tc_DG4RfmfmgEuVUIcZt9pSBg_6_21"/>
      <w:bookmarkStart w:id="1179" w:name="Tc_Ub2-iqrwXkKS5rGyQexqRA_6_20"/>
      <w:bookmarkStart w:id="1180" w:name="Tc_f13nNyRzukO1KTaVeCiCOQ_6_17"/>
      <w:bookmarkStart w:id="1181" w:name="Tc_HJ0ZZPDy7EqEWN-j6HO5WA_6_14"/>
      <w:bookmarkStart w:id="1182" w:name="Tc_zXpfPAyyzU2rPkPiFpLRuQ_6_12"/>
      <w:bookmarkStart w:id="1183" w:name="Tc_3L-Jy7kECkqGliNePOy0gQ_6_11"/>
      <w:bookmarkStart w:id="1184" w:name="Tc_4iG14OmPw0WQdcbfOBK6qg_6_9"/>
      <w:bookmarkStart w:id="1185" w:name="Tc_jKr3ybF2Nkmh-J4zoFZ91A_6_8"/>
      <w:bookmarkStart w:id="1186" w:name="Tc_1yCtX8O8ZUaIP504prwFFA_6_6"/>
      <w:bookmarkStart w:id="1187" w:name="Tc_dk0dkkf5qkqZlHqOncuynQ_6_5"/>
      <w:bookmarkStart w:id="1188" w:name="Tc_vKijlLsdc0OexOPxy363KQ_6_3"/>
      <w:bookmarkStart w:id="1189" w:name="Tc_deuXCC3pykeHUA3K9WCzxg_6_2"/>
      <w:bookmarkStart w:id="1190" w:name="Tc_h5-WZDQJMEmtozS3DeR_fQ_6_0"/>
      <w:bookmarkStart w:id="1191" w:name="Tc_R8HBDOKh_kGI0df6l5RUDg_5_20"/>
      <w:bookmarkStart w:id="1192" w:name="Tc_LvzE3YN530mxK0pY4LXjvQ_5_17"/>
      <w:bookmarkStart w:id="1193" w:name="Tc_dyj90F1p6km3RD6KDFy9mQ_5_14"/>
      <w:bookmarkStart w:id="1194" w:name="Tc_4SRaGTCvuEiCCVoeRhuiMQ_5_11"/>
      <w:bookmarkStart w:id="1195" w:name="Tc_4UhQYpVVmEC6Ma26ztDZEQ_5_8"/>
      <w:bookmarkStart w:id="1196" w:name="Tc_be-gtnlgkUmzyE50L464zw_5_5"/>
      <w:bookmarkStart w:id="1197" w:name="Tc_MMJOSDcO9k2f9KwPs7KALA_5_2"/>
      <w:bookmarkStart w:id="1198" w:name="Tc_T3jUjRP-XkKguNWw6rEkyQ_5_0"/>
      <w:bookmarkStart w:id="1199" w:name="Tc_mH7nuKuAoEOfnMpk7eThXA_4_20"/>
      <w:bookmarkStart w:id="1200" w:name="Tc_JH2UaJWzIEuwByYio4fCfw_4_17"/>
      <w:bookmarkStart w:id="1201" w:name="Tc_sT4yj4Kk8E-nC38fP5flLQ_4_11"/>
      <w:bookmarkStart w:id="1202" w:name="Tc_d9jUOh-Rdk6h7qcgw-i0VA_4_8"/>
      <w:bookmarkStart w:id="1203" w:name="Tc_RTKMb1w9wkWlBhoyD12_lA_4_5"/>
      <w:bookmarkStart w:id="1204" w:name="Tc_lu-A-N2oT0ityluTPLbJfA_4_2"/>
      <w:bookmarkStart w:id="1205" w:name="Tc_6XQJuLig9kmMyxZg1GLyqg_3_17"/>
      <w:bookmarkStart w:id="1206" w:name="Tc_iNxYkvyuq0GOY9GFWwG9kg_3_11"/>
      <w:bookmarkStart w:id="1207" w:name="Tc_kEhHK_QhpECdeitNvej4kA_3_8"/>
      <w:bookmarkStart w:id="1208" w:name="Tc__yjtZon2XkOAtEuA7JcPUA_3_5"/>
      <w:bookmarkStart w:id="1209" w:name="Tc_AE_dpjT-i0CD--8rBO6oPQ_3_2"/>
      <w:bookmarkStart w:id="1210" w:name="Tc_O3N-DwsaOUa7qSLHD6yq1w_2_5"/>
      <w:bookmarkStart w:id="1211" w:name="Tc_wnFyI-cWuEeqrpK-6QAk1w_2_2"/>
      <w:bookmarkStart w:id="1212" w:name="Tc_6n8IaSl66ESnJvGtE19j4w_1_2"/>
      <w:bookmarkStart w:id="1213" w:name="_43aa8d75_2679_4e52_b637_d14a5744a858"/>
      <w:bookmarkStart w:id="1214" w:name="Tc_c2limHcZpkq2zJk6u_t8vQ_21_20"/>
      <w:bookmarkStart w:id="1215" w:name="Tc_29wP-YvKzkCDb5btFfJz8g_21_17"/>
      <w:bookmarkStart w:id="1216" w:name="Tc__I_uVYTiL0WTKRdX0I0fZQ_21_14"/>
      <w:bookmarkStart w:id="1217" w:name="Tc_1xgZV-Qb8kyD7nSJNaYkNg_21_11"/>
      <w:bookmarkStart w:id="1218" w:name="Tc_YkoCeWDCrk6W_mMptQo2VA_21_8"/>
      <w:bookmarkStart w:id="1219" w:name="Tc_8Nmf7E-rx0uAwqFncczftg_21_5"/>
      <w:bookmarkStart w:id="1220" w:name="Tc_ECYRWCkjPUOCc3GKvRFJSw_21_2"/>
      <w:bookmarkStart w:id="1221" w:name="Tc_nDzyDmzcZkCxDpadRNH0Aw_21_0"/>
      <w:bookmarkStart w:id="1222" w:name="Tc_4awrKcDo1ESL2CBtZCDVGg_20_6"/>
      <w:bookmarkStart w:id="1223" w:name="Tc_M6NSBR0C9EeAW3FkthUJdA_20_3"/>
      <w:bookmarkStart w:id="1224" w:name="Tc_qjxrwPzK80yYjTAikAzxTA_20_0"/>
      <w:bookmarkStart w:id="1225" w:name="Tc_dZ-ALTTNPUWytsPGfwH6TA_19_21"/>
      <w:bookmarkStart w:id="1226" w:name="Tc_Fo4TOr3eT0e1LsbIEw2p6w_19_12"/>
      <w:bookmarkStart w:id="1227" w:name="Tc_gmL1U_LuY0enWqneinPNzA_19_9"/>
      <w:bookmarkStart w:id="1228" w:name="Tc_tICkBTsl0EKOaqGyh6VLLw_19_6"/>
      <w:bookmarkStart w:id="1229" w:name="Tc_FCn8jEb-ckyDGd_-DCj0Iw_19_3"/>
      <w:bookmarkStart w:id="1230" w:name="Tc_2y_mYdij7kuI3OoPmE3ZMw_19_0"/>
      <w:bookmarkStart w:id="1231" w:name="Tc_4-wDiJFB_0GGVNXNVt0mfg_18_6"/>
      <w:bookmarkStart w:id="1232" w:name="Tc_LhyUPU3nJEe8DimnwS8Zvg_18_3"/>
      <w:bookmarkStart w:id="1233" w:name="Tc_7mMZp7B3lkmdwNAPuPsPkg_18_0"/>
      <w:bookmarkStart w:id="1234" w:name="Tc_nsGPK3IM10OCxJ83WfUO5A_17_0"/>
      <w:bookmarkStart w:id="1235" w:name="Tc_YH5f_JR9c0eVHyFcOm308w_16_0"/>
      <w:bookmarkStart w:id="1236" w:name="Tc_kosjFsgSykin_Xk0TVjmGQ_15_9"/>
      <w:bookmarkStart w:id="1237" w:name="Tc_Z3jx7vxHT0m7QVAxYOLFAQ_15_0"/>
      <w:bookmarkStart w:id="1238" w:name="Tc_LJzoyrlioEij0MZ1fIX7RQ_14_0"/>
      <w:bookmarkStart w:id="1239" w:name="Tc_pcasDYJP9EylhAvrwE2fsQ_13_0"/>
      <w:bookmarkStart w:id="1240" w:name="Tc_OAqtnEMIMUCsytcWRfBHhQ_12_0"/>
      <w:bookmarkStart w:id="1241" w:name="Tc_GiCMJWrUaESKLzko3L82kg_11_0"/>
      <w:bookmarkStart w:id="1242" w:name="Tc_01tXLXp_B06DNJWDSiGyaw_10_21"/>
      <w:bookmarkStart w:id="1243" w:name="Tc_TvzeOqUTlkmeMiX1CIyK9w_10_12"/>
      <w:bookmarkStart w:id="1244" w:name="Tc_IuSN1kM-oUegBavmjYYFvA_10_9"/>
      <w:bookmarkStart w:id="1245" w:name="Tc_VqbaNU3wi0qqt0lY_gKftw_10_6"/>
      <w:bookmarkStart w:id="1246" w:name="Tc_fY4KSKvdPUWktRE-ixkS5g_10_3"/>
      <w:bookmarkStart w:id="1247" w:name="Tc_BBg-PwYl1Eq8QFg-OnkYHw_10_0"/>
      <w:bookmarkStart w:id="1248" w:name="Tc_5fyhkL8n2kyeRMezz2i7Xw_9_6"/>
      <w:bookmarkStart w:id="1249" w:name="Tc_F9f8paPGckiKqoO_LtwuZg_9_0"/>
      <w:bookmarkStart w:id="1250" w:name="Tc_hfeaxghgVUOTLA46mmRp5A_8_0"/>
      <w:bookmarkStart w:id="1251" w:name="Tc_uNWGN3vQKU65Oj9g3jPc1g_7_21"/>
      <w:bookmarkStart w:id="1252" w:name="Tc_qhj6EvJGhk6W5QNzywSd3Q_7_12"/>
      <w:bookmarkStart w:id="1253" w:name="Tc_O43XS2A37EGrufC5Qgjpng_7_9"/>
      <w:bookmarkStart w:id="1254" w:name="Tc_tiErRudYvU2pgBUkQ_9tjA_7_6"/>
      <w:bookmarkStart w:id="1255" w:name="Tc_dY4OoBEutkCIR8KD2T5I4g_7_3"/>
      <w:bookmarkStart w:id="1256" w:name="Tc_EgJYNql17kOff6Fz6NS10A_7_0"/>
      <w:bookmarkStart w:id="1257" w:name="Tc_6-FjivKY9Ue2Xk2cI7HXFQ_6_21"/>
      <w:bookmarkStart w:id="1258" w:name="Tc_PnItp6__YEu_lffRVwXAyA_6_20"/>
      <w:bookmarkStart w:id="1259" w:name="Tc_ZEupSF-Mp0e6Wl4zrddcYw_6_17"/>
      <w:bookmarkStart w:id="1260" w:name="Tc_0MjjJ7qeIU2gEeznHHIonA_6_14"/>
      <w:bookmarkStart w:id="1261" w:name="Tc_rX5KgFeGYEi6ci2RHxmlPA_6_12"/>
      <w:bookmarkStart w:id="1262" w:name="Tc_Wwl8dSRunke4lWpXwiMWxQ_6_11"/>
      <w:bookmarkStart w:id="1263" w:name="Tc_VpJZxkZqF0OwmSIz2VjFyA_6_9"/>
      <w:bookmarkStart w:id="1264" w:name="Tc_ynSsFo7lrE2ZcpcjaAjAkg_6_8"/>
      <w:bookmarkStart w:id="1265" w:name="Tc_3kbk6yfEoUKStIZP0FSkxw_6_6"/>
      <w:bookmarkStart w:id="1266" w:name="Tc_xWpbIz8Drk6LLKg55JkYwA_6_5"/>
      <w:bookmarkStart w:id="1267" w:name="Tc_CYnWzyuGxUu73NViWgEY6g_6_3"/>
      <w:bookmarkStart w:id="1268" w:name="Tc_ZAhzhSkciEWdLh6jjg30kw_6_2"/>
      <w:bookmarkStart w:id="1269" w:name="Tc_c2D-Kb_Go0ajnBv1yyTPuw_6_0"/>
      <w:bookmarkStart w:id="1270" w:name="Tc_mzY-Sur9gE2uXAd72a_2Cw_5_20"/>
      <w:bookmarkStart w:id="1271" w:name="Tc_zirxHEVMFUSy3k7nYtvRMg_5_17"/>
      <w:bookmarkStart w:id="1272" w:name="Tc_1mU116l43U6_xknclNSQBw_5_14"/>
      <w:bookmarkStart w:id="1273" w:name="Tc_nZaBLmELREKfU7ypJg6QeA_5_11"/>
      <w:bookmarkStart w:id="1274" w:name="Tc_tQaVb_Wj00GM9J0QP5MudA_5_8"/>
      <w:bookmarkStart w:id="1275" w:name="Tc_AoYRZ0RF1EGQalDas4N_pA_5_5"/>
      <w:bookmarkStart w:id="1276" w:name="Tc_xAv9pHSqA0ycmUA5FkJVpw_5_2"/>
      <w:bookmarkStart w:id="1277" w:name="Tc_KYKFi7LMqE6Dksww4PKRyQ_5_0"/>
      <w:bookmarkStart w:id="1278" w:name="Tc_9_8lkdIMGEy8VgUx4A2N6g_4_20"/>
      <w:bookmarkStart w:id="1279" w:name="Tc_umCZ0iTQ_0axeVO4nzOGXg_4_17"/>
      <w:bookmarkStart w:id="1280" w:name="Tc_eTiF-Ib2Fk2XCgmOSKEI2A_4_11"/>
      <w:bookmarkStart w:id="1281" w:name="Tc_1GvCynFdXUGKESclQDNkIQ_4_8"/>
      <w:bookmarkStart w:id="1282" w:name="Tc_nHctCInU9Ei3o2P0YKCS0g_4_5"/>
      <w:bookmarkStart w:id="1283" w:name="Tc_Cj0uAsmkGkqzMOoTvxsZVA_4_2"/>
      <w:bookmarkStart w:id="1284" w:name="Tc_PWKsUdDagEu6okM74IQiew_3_17"/>
      <w:bookmarkStart w:id="1285" w:name="Tc_EILPafW5Ek6jeWDP7Gceag_3_11"/>
      <w:bookmarkStart w:id="1286" w:name="Tc_KUZoC4hiBkWRQEteSiUh5g_3_8"/>
      <w:bookmarkStart w:id="1287" w:name="Tc_eC06msvO7kCYWrAlXvji5g_3_5"/>
      <w:bookmarkStart w:id="1288" w:name="Tc_8nBAy8eTuUmciOL-JtVVZQ_3_2"/>
      <w:bookmarkStart w:id="1289" w:name="Tc_K6ldlWfcRU-kwzmZt4kcNQ_2_5"/>
      <w:bookmarkStart w:id="1290" w:name="Tc_ZBj-daJjnUiPqA3ieTIxWA_2_2"/>
      <w:bookmarkStart w:id="1291" w:name="Tc_O5zyZ7XkF06CzUeEHCN2bw_1_2"/>
      <w:bookmarkStart w:id="1292" w:name="_71626249_b067_4f94_b4c7_35d1f55b2fca"/>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r>
        <w:rPr>
          <w:rFonts w:ascii="Times New Roman;Times;serif" w:hAnsi="Times New Roman;Times;serif"/>
          <w:sz w:val="20"/>
        </w:rPr>
        <w:t>The following tables provide information pertaining to the aging analysis of contractually past due loans and nonaccrual loans at March 31, 2023 and December 31, 2022:</w:t>
      </w:r>
    </w:p>
    <w:p>
      <w:pPr>
        <w:pStyle w:val="TextBody"/>
        <w:spacing w:before="0" w:after="0"/>
        <w:ind w:left="0" w:right="0" w:hanging="0"/>
        <w:rPr/>
      </w:pPr>
      <w:r>
        <w:rPr/>
        <w:t>​</w:t>
      </w:r>
    </w:p>
    <w:tbl>
      <w:tblPr>
        <w:tblW w:w="10321" w:type="dxa"/>
        <w:jc w:val="left"/>
        <w:tblInd w:w="0" w:type="dxa"/>
        <w:tblCellMar>
          <w:top w:w="0" w:type="dxa"/>
          <w:left w:w="0" w:type="dxa"/>
          <w:bottom w:w="0" w:type="dxa"/>
          <w:right w:w="0" w:type="dxa"/>
        </w:tblCellMar>
      </w:tblPr>
      <w:tblGrid>
        <w:gridCol w:w="1651"/>
        <w:gridCol w:w="326"/>
        <w:gridCol w:w="211"/>
        <w:gridCol w:w="571"/>
        <w:gridCol w:w="326"/>
        <w:gridCol w:w="211"/>
        <w:gridCol w:w="571"/>
        <w:gridCol w:w="326"/>
        <w:gridCol w:w="234"/>
        <w:gridCol w:w="637"/>
        <w:gridCol w:w="326"/>
        <w:gridCol w:w="211"/>
        <w:gridCol w:w="571"/>
        <w:gridCol w:w="326"/>
        <w:gridCol w:w="211"/>
        <w:gridCol w:w="931"/>
        <w:gridCol w:w="326"/>
        <w:gridCol w:w="211"/>
        <w:gridCol w:w="931"/>
        <w:gridCol w:w="326"/>
        <w:gridCol w:w="211"/>
        <w:gridCol w:w="676"/>
      </w:tblGrid>
      <w:tr>
        <w:trPr/>
        <w:tc>
          <w:tcPr>
            <w:tcW w:w="1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048385" cy="175260"/>
                      <wp:effectExtent l="0" t="0" r="0" b="0"/>
                      <wp:wrapNone/>
                      <wp:docPr id="232" name="Frame232"/>
                      <a:graphic xmlns:a="http://schemas.openxmlformats.org/drawingml/2006/main">
                        <a:graphicData uri="http://schemas.microsoft.com/office/word/2010/wordprocessingShape">
                          <wps:wsp>
                            <wps:cNvSpPr txBox="1"/>
                            <wps:spPr>
                              <a:xfrm>
                                <a:off x="0" y="0"/>
                                <a:ext cx="1048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62585" cy="175260"/>
                      <wp:effectExtent l="0" t="0" r="0" b="0"/>
                      <wp:wrapNone/>
                      <wp:docPr id="235" name="Frame23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62585" cy="175260"/>
                      <wp:effectExtent l="0" t="0" r="0" b="0"/>
                      <wp:wrapNone/>
                      <wp:docPr id="238" name="Frame23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48590" cy="175260"/>
                      <wp:effectExtent l="0" t="0" r="0" b="0"/>
                      <wp:wrapNone/>
                      <wp:docPr id="240" name="Frame240"/>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04495" cy="175260"/>
                      <wp:effectExtent l="0" t="0" r="0" b="0"/>
                      <wp:wrapNone/>
                      <wp:docPr id="241" name="Frame241"/>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62585" cy="175260"/>
                      <wp:effectExtent l="0" t="0" r="0" b="0"/>
                      <wp:wrapNone/>
                      <wp:docPr id="244" name="Frame24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91185" cy="175260"/>
                      <wp:effectExtent l="0" t="0" r="0" b="0"/>
                      <wp:wrapNone/>
                      <wp:docPr id="247" name="Frame24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91185" cy="175260"/>
                      <wp:effectExtent l="0" t="0" r="0" b="0"/>
                      <wp:wrapNone/>
                      <wp:docPr id="250" name="Frame25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29260" cy="175260"/>
                      <wp:effectExtent l="0" t="0" r="0" b="0"/>
                      <wp:wrapNone/>
                      <wp:docPr id="253" name="Frame25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344" w:type="dxa"/>
            <w:gridSpan w:val="2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r>
      <w:tr>
        <w:trPr/>
        <w:tc>
          <w:tcPr>
            <w:tcW w:w="16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30-59</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60-89</w:t>
            </w:r>
          </w:p>
        </w:tc>
        <w:tc>
          <w:tcPr>
            <w:tcW w:w="326" w:type="dxa"/>
            <w:tcBorders/>
            <w:shd w:fill="auto" w:val="clear"/>
            <w:vAlign w:val="center"/>
          </w:tcPr>
          <w:p>
            <w:pPr>
              <w:pStyle w:val="TableContents"/>
              <w:spacing w:before="0" w:after="0"/>
              <w:ind w:left="0" w:right="0" w:hanging="0"/>
              <w:rPr/>
            </w:pPr>
            <w:r>
              <w:rPr/>
              <w:t>    </w:t>
            </w:r>
          </w:p>
        </w:tc>
        <w:tc>
          <w:tcPr>
            <w:tcW w:w="871"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shd w:fill="auto" w:val="clear"/>
            <w:vAlign w:val="center"/>
          </w:tcPr>
          <w:p>
            <w:pPr>
              <w:pStyle w:val="TableContents"/>
              <w:spacing w:before="0" w:after="0"/>
              <w:ind w:left="0" w:right="0" w:hanging="0"/>
              <w:jc w:val="center"/>
              <w:rPr/>
            </w:pPr>
            <w:r>
              <w:rPr/>
              <w:t>​</w: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Days</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Days</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90 Days</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pPr>
            <w:r>
              <w:rPr/>
              <w:t>​</w: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Past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Past</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or More</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Past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Loans</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Non-</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REAL ESTATE LOANS</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Due</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Due</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Past Due</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Due</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Receivable</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Accrual </w:t>
            </w:r>
            <w:r>
              <w:rPr>
                <w:rFonts w:ascii="Times New Roman;Times;serif" w:hAnsi="Times New Roman;Times;serif"/>
                <w:sz w:val="15"/>
              </w:rPr>
              <w:t>(1)</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339,794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339,794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Construction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63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337,452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337,452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Home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6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60,170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60,625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One-to-four-family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6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500,581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501,100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232,201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232,201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real estate loans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1,470,198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1,471,172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CONSUMER LOANS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63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  </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Indirect home improvement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6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528,513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531,632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Marine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6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70,994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consumer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consumer loans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602,799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606,668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COMMERCIAL BUSINESS LOANS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63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and industrial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6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221,085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223,702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6,325</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Warehouse lending</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commercial business loans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249,129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251,746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6,325</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loans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7,460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2,322,126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2,329,586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8,706</w:t>
            </w:r>
          </w:p>
        </w:tc>
      </w:tr>
    </w:tbl>
    <w:p>
      <w:pPr>
        <w:pStyle w:val="TextBody"/>
        <w:spacing w:before="0" w:after="0"/>
        <w:ind w:left="0" w:right="0" w:hanging="0"/>
        <w:rPr/>
      </w:pPr>
      <w:r>
        <w:rPr/>
        <w:t>​</w:t>
      </w:r>
    </w:p>
    <w:tbl>
      <w:tblPr>
        <w:tblW w:w="10321" w:type="dxa"/>
        <w:jc w:val="left"/>
        <w:tblInd w:w="0" w:type="dxa"/>
        <w:tblCellMar>
          <w:top w:w="0" w:type="dxa"/>
          <w:left w:w="0" w:type="dxa"/>
          <w:bottom w:w="0" w:type="dxa"/>
          <w:right w:w="0" w:type="dxa"/>
        </w:tblCellMar>
      </w:tblPr>
      <w:tblGrid>
        <w:gridCol w:w="1651"/>
        <w:gridCol w:w="326"/>
        <w:gridCol w:w="211"/>
        <w:gridCol w:w="571"/>
        <w:gridCol w:w="326"/>
        <w:gridCol w:w="211"/>
        <w:gridCol w:w="571"/>
        <w:gridCol w:w="326"/>
        <w:gridCol w:w="234"/>
        <w:gridCol w:w="637"/>
        <w:gridCol w:w="326"/>
        <w:gridCol w:w="211"/>
        <w:gridCol w:w="571"/>
        <w:gridCol w:w="326"/>
        <w:gridCol w:w="211"/>
        <w:gridCol w:w="931"/>
        <w:gridCol w:w="326"/>
        <w:gridCol w:w="211"/>
        <w:gridCol w:w="931"/>
        <w:gridCol w:w="326"/>
        <w:gridCol w:w="211"/>
        <w:gridCol w:w="676"/>
      </w:tblGrid>
      <w:tr>
        <w:trPr/>
        <w:tc>
          <w:tcPr>
            <w:tcW w:w="1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048385" cy="175260"/>
                      <wp:effectExtent l="0" t="0" r="0" b="0"/>
                      <wp:wrapNone/>
                      <wp:docPr id="254" name="Frame254"/>
                      <a:graphic xmlns:a="http://schemas.openxmlformats.org/drawingml/2006/main">
                        <a:graphicData uri="http://schemas.microsoft.com/office/word/2010/wordprocessingShape">
                          <wps:wsp>
                            <wps:cNvSpPr txBox="1"/>
                            <wps:spPr>
                              <a:xfrm>
                                <a:off x="0" y="0"/>
                                <a:ext cx="1048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62585" cy="175260"/>
                      <wp:effectExtent l="0" t="0" r="0" b="0"/>
                      <wp:wrapNone/>
                      <wp:docPr id="257" name="Frame25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62585" cy="175260"/>
                      <wp:effectExtent l="0" t="0" r="0" b="0"/>
                      <wp:wrapNone/>
                      <wp:docPr id="260" name="Frame26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8590" cy="175260"/>
                      <wp:effectExtent l="0" t="0" r="0" b="0"/>
                      <wp:wrapNone/>
                      <wp:docPr id="262" name="Frame262"/>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04495" cy="175260"/>
                      <wp:effectExtent l="0" t="0" r="0" b="0"/>
                      <wp:wrapNone/>
                      <wp:docPr id="263" name="Frame263"/>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62585" cy="175260"/>
                      <wp:effectExtent l="0" t="0" r="0" b="0"/>
                      <wp:wrapNone/>
                      <wp:docPr id="266" name="Frame26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91185" cy="175260"/>
                      <wp:effectExtent l="0" t="0" r="0" b="0"/>
                      <wp:wrapNone/>
                      <wp:docPr id="269" name="Frame26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91185" cy="175260"/>
                      <wp:effectExtent l="0" t="0" r="0" b="0"/>
                      <wp:wrapNone/>
                      <wp:docPr id="272" name="Frame27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29260" cy="175260"/>
                      <wp:effectExtent l="0" t="0" r="0" b="0"/>
                      <wp:wrapNone/>
                      <wp:docPr id="275" name="Frame27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344" w:type="dxa"/>
            <w:gridSpan w:val="2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16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30-59</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60-89</w:t>
            </w:r>
          </w:p>
        </w:tc>
        <w:tc>
          <w:tcPr>
            <w:tcW w:w="326" w:type="dxa"/>
            <w:tcBorders/>
            <w:shd w:fill="auto" w:val="clear"/>
            <w:vAlign w:val="center"/>
          </w:tcPr>
          <w:p>
            <w:pPr>
              <w:pStyle w:val="TableContents"/>
              <w:spacing w:before="0" w:after="0"/>
              <w:ind w:left="0" w:right="0" w:hanging="0"/>
              <w:rPr/>
            </w:pPr>
            <w:r>
              <w:rPr/>
              <w:t>    </w:t>
            </w:r>
          </w:p>
        </w:tc>
        <w:tc>
          <w:tcPr>
            <w:tcW w:w="871"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shd w:fill="auto" w:val="clear"/>
            <w:vAlign w:val="center"/>
          </w:tcPr>
          <w:p>
            <w:pPr>
              <w:pStyle w:val="TableContents"/>
              <w:spacing w:before="0" w:after="0"/>
              <w:ind w:left="0" w:right="0" w:hanging="0"/>
              <w:jc w:val="center"/>
              <w:rPr/>
            </w:pPr>
            <w:r>
              <w:rPr/>
              <w:t>​</w: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Days</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Days</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90 Days</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pPr>
            <w:r>
              <w:rPr/>
              <w:t>​</w: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Past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Past</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or More</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Past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Loans</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Non-</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REAL ESTATE LOANS</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Due</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Due</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Past Due</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Due</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Receivable</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Accrual </w:t>
            </w:r>
            <w:r>
              <w:rPr>
                <w:rFonts w:ascii="Times New Roman;Times;serif" w:hAnsi="Times New Roman;Times;serif"/>
                <w:sz w:val="15"/>
              </w:rPr>
              <w:t>(1)</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334,059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334,059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Construction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63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342,591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342,591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Home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6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One-to-four-family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6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469,022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469,485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219,738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219,738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real estate loans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1,420,648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1,421,260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CONSUMER LOANS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63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  </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Indirect home improvement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6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492,426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495,941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Marine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6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69,446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70,567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consumer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consumer loans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564,862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569,572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1,352</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COMMERCIAL BUSINESS LOANS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63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and industrial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6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194,173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196,791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6,334</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Warehouse lending</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commercial business loans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225,402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228,020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6,334</w:t>
            </w:r>
          </w:p>
        </w:tc>
      </w:tr>
      <w:tr>
        <w:trPr/>
        <w:tc>
          <w:tcPr>
            <w:tcW w:w="16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loans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2,210,912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2,218,852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8,652</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___________________________</w:t>
      </w:r>
    </w:p>
    <w:tbl>
      <w:tblPr>
        <w:tblW w:w="3542" w:type="dxa"/>
        <w:jc w:val="left"/>
        <w:tblInd w:w="0" w:type="dxa"/>
        <w:tblCellMar>
          <w:top w:w="0" w:type="dxa"/>
          <w:left w:w="0" w:type="dxa"/>
          <w:bottom w:w="0" w:type="dxa"/>
          <w:right w:w="0" w:type="dxa"/>
        </w:tblCellMar>
      </w:tblPr>
      <w:tblGrid>
        <w:gridCol w:w="346"/>
        <w:gridCol w:w="319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31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past due loans as applicable.</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loans 90 days or more past due and still accruing interest at both March 31, 2023 and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Credit Quality Indicators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utilizes a risk grading matrix to assign a risk grade to its real estate and commercial business loans. Loans are graded on a scale of 1 to 10, with loans in risk grades 1 to 6 considered “Pass” and loans in risk grades 7 to 10 are reported as classified loans in the Company’s ACL loan analysis.</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A description of the 10 risk grades is as follows:</w:t>
      </w:r>
    </w:p>
    <w:tbl>
      <w:tblPr>
        <w:tblW w:w="10022" w:type="dxa"/>
        <w:jc w:val="left"/>
        <w:tblInd w:w="0" w:type="dxa"/>
        <w:tblCellMar>
          <w:top w:w="0" w:type="dxa"/>
          <w:left w:w="0" w:type="dxa"/>
          <w:bottom w:w="0" w:type="dxa"/>
          <w:right w:w="0" w:type="dxa"/>
        </w:tblCellMar>
      </w:tblPr>
      <w:tblGrid>
        <w:gridCol w:w="271"/>
        <w:gridCol w:w="9751"/>
      </w:tblGrid>
      <w:tr>
        <w:trPr/>
        <w:tc>
          <w:tcPr>
            <w:tcW w:w="271" w:type="dxa"/>
            <w:tcBorders/>
            <w:shd w:fill="auto" w:val="clear"/>
            <w:vAlign w:val="center"/>
          </w:tcPr>
          <w:p>
            <w:pPr>
              <w:pStyle w:val="TableContents"/>
              <w:spacing w:before="0" w:after="283"/>
              <w:rPr/>
            </w:pPr>
            <w:r>
              <w:rPr/>
              <w:t>●</w:t>
            </w:r>
          </w:p>
        </w:tc>
        <w:tc>
          <w:tcPr>
            <w:tcW w:w="9751" w:type="dxa"/>
            <w:tcBorders/>
            <w:shd w:fill="auto" w:val="clear"/>
            <w:vAlign w:val="center"/>
          </w:tcPr>
          <w:p>
            <w:pPr>
              <w:pStyle w:val="TableContents"/>
              <w:spacing w:before="0" w:after="283"/>
              <w:rPr/>
            </w:pPr>
            <w:r>
              <w:rPr>
                <w:rFonts w:ascii="Times New Roman;Times;serif" w:hAnsi="Times New Roman;Times;serif"/>
                <w:b w:val="false"/>
                <w:i/>
                <w:sz w:val="20"/>
              </w:rPr>
              <w:t>Grades 1 and 2 -</w:t>
            </w:r>
            <w:r>
              <w:rPr>
                <w:caps w:val="false"/>
                <w:smallCaps w:val="false"/>
              </w:rPr>
              <w:t xml:space="preserve"> </w:t>
            </w:r>
            <w:r>
              <w:rPr>
                <w:rFonts w:ascii="Times New Roman;Times;serif" w:hAnsi="Times New Roman;Times;serif"/>
                <w:b w:val="false"/>
                <w:i w:val="false"/>
                <w:caps w:val="false"/>
                <w:smallCaps w:val="false"/>
                <w:sz w:val="20"/>
              </w:rPr>
              <w:t>These grades include loans to very high-quality borrowers with excellent or desirable business credit.</w:t>
            </w:r>
          </w:p>
        </w:tc>
      </w:tr>
    </w:tbl>
    <w:tbl>
      <w:tblPr>
        <w:tblW w:w="7877" w:type="dxa"/>
        <w:jc w:val="left"/>
        <w:tblInd w:w="0" w:type="dxa"/>
        <w:tblCellMar>
          <w:top w:w="0" w:type="dxa"/>
          <w:left w:w="0" w:type="dxa"/>
          <w:bottom w:w="0" w:type="dxa"/>
          <w:right w:w="0" w:type="dxa"/>
        </w:tblCellMar>
      </w:tblPr>
      <w:tblGrid>
        <w:gridCol w:w="271"/>
        <w:gridCol w:w="7606"/>
      </w:tblGrid>
      <w:tr>
        <w:trPr/>
        <w:tc>
          <w:tcPr>
            <w:tcW w:w="271" w:type="dxa"/>
            <w:tcBorders/>
            <w:shd w:fill="auto" w:val="clear"/>
            <w:vAlign w:val="center"/>
          </w:tcPr>
          <w:p>
            <w:pPr>
              <w:pStyle w:val="TableContents"/>
              <w:spacing w:before="0" w:after="283"/>
              <w:rPr/>
            </w:pPr>
            <w:r>
              <w:rPr/>
              <w:t>●</w:t>
            </w:r>
          </w:p>
        </w:tc>
        <w:tc>
          <w:tcPr>
            <w:tcW w:w="7606" w:type="dxa"/>
            <w:tcBorders/>
            <w:shd w:fill="auto" w:val="clear"/>
            <w:vAlign w:val="center"/>
          </w:tcPr>
          <w:p>
            <w:pPr>
              <w:pStyle w:val="TableContents"/>
              <w:spacing w:before="0" w:after="283"/>
              <w:rPr/>
            </w:pPr>
            <w:r>
              <w:rPr>
                <w:rFonts w:ascii="Times New Roman;Times;serif" w:hAnsi="Times New Roman;Times;serif"/>
                <w:b w:val="false"/>
                <w:i/>
                <w:sz w:val="20"/>
              </w:rPr>
              <w:t>Grade 3 -</w:t>
            </w:r>
            <w:r>
              <w:rPr>
                <w:caps w:val="false"/>
                <w:smallCaps w:val="false"/>
              </w:rPr>
              <w:t xml:space="preserve"> </w:t>
            </w:r>
            <w:r>
              <w:rPr>
                <w:rFonts w:ascii="Times New Roman;Times;serif" w:hAnsi="Times New Roman;Times;serif"/>
                <w:b w:val="false"/>
                <w:i w:val="false"/>
                <w:caps w:val="false"/>
                <w:smallCaps w:val="false"/>
                <w:sz w:val="20"/>
              </w:rPr>
              <w:t>This grade includes loans to borrowers of good business credit with moderate risk.</w:t>
            </w:r>
          </w:p>
        </w:tc>
      </w:tr>
    </w:tbl>
    <w:tbl>
      <w:tblPr>
        <w:tblW w:w="8897" w:type="dxa"/>
        <w:jc w:val="left"/>
        <w:tblInd w:w="0" w:type="dxa"/>
        <w:tblCellMar>
          <w:top w:w="0" w:type="dxa"/>
          <w:left w:w="0" w:type="dxa"/>
          <w:bottom w:w="0" w:type="dxa"/>
          <w:right w:w="0" w:type="dxa"/>
        </w:tblCellMar>
      </w:tblPr>
      <w:tblGrid>
        <w:gridCol w:w="271"/>
        <w:gridCol w:w="8626"/>
      </w:tblGrid>
      <w:tr>
        <w:trPr/>
        <w:tc>
          <w:tcPr>
            <w:tcW w:w="271" w:type="dxa"/>
            <w:tcBorders/>
            <w:shd w:fill="auto" w:val="clear"/>
            <w:vAlign w:val="center"/>
          </w:tcPr>
          <w:p>
            <w:pPr>
              <w:pStyle w:val="TableContents"/>
              <w:spacing w:before="0" w:after="283"/>
              <w:rPr/>
            </w:pPr>
            <w:r>
              <w:rPr/>
              <w:t>●</w:t>
            </w:r>
          </w:p>
        </w:tc>
        <w:tc>
          <w:tcPr>
            <w:tcW w:w="8626" w:type="dxa"/>
            <w:tcBorders/>
            <w:shd w:fill="auto" w:val="clear"/>
            <w:vAlign w:val="center"/>
          </w:tcPr>
          <w:p>
            <w:pPr>
              <w:pStyle w:val="TableContents"/>
              <w:spacing w:before="0" w:after="283"/>
              <w:rPr/>
            </w:pPr>
            <w:r>
              <w:rPr>
                <w:rFonts w:ascii="Times New Roman;Times;serif" w:hAnsi="Times New Roman;Times;serif"/>
                <w:b w:val="false"/>
                <w:i/>
                <w:sz w:val="20"/>
              </w:rPr>
              <w:t>Grades 4 and 5 -</w:t>
            </w:r>
            <w:r>
              <w:rPr>
                <w:caps w:val="false"/>
                <w:smallCaps w:val="false"/>
              </w:rPr>
              <w:t xml:space="preserve"> </w:t>
            </w:r>
            <w:r>
              <w:rPr>
                <w:rFonts w:ascii="Times New Roman;Times;serif" w:hAnsi="Times New Roman;Times;serif"/>
                <w:b w:val="false"/>
                <w:i w:val="false"/>
                <w:caps w:val="false"/>
                <w:smallCaps w:val="false"/>
                <w:sz w:val="20"/>
              </w:rPr>
              <w:t>These grades include “Pass” grade loans to borrowers of average credit quality and risk.</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Grade 6 -</w:t>
            </w:r>
            <w:r>
              <w:rPr>
                <w:caps w:val="false"/>
                <w:smallCaps w:val="false"/>
              </w:rPr>
              <w:t xml:space="preserve"> </w:t>
            </w:r>
            <w:r>
              <w:rPr>
                <w:rFonts w:ascii="Times New Roman;Times;serif" w:hAnsi="Times New Roman;Times;serif"/>
                <w:b w:val="false"/>
                <w:i w:val="false"/>
                <w:caps w:val="false"/>
                <w:smallCaps w:val="false"/>
                <w:sz w:val="20"/>
              </w:rPr>
              <w:t>This grade includes loans on management’s “Watch” list and is intended to be utilized on a temporary basis for “Pass” grade borrowers where frequent and thorough monitoring is required due to credit weaknesses and where significant risk-modifying action is anticipated in the near term.</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Grade 7 -</w:t>
            </w:r>
            <w:r>
              <w:rPr>
                <w:caps w:val="false"/>
                <w:smallCaps w:val="false"/>
              </w:rPr>
              <w:t xml:space="preserve"> </w:t>
            </w:r>
            <w:r>
              <w:rPr>
                <w:rFonts w:ascii="Times New Roman;Times;serif" w:hAnsi="Times New Roman;Times;serif"/>
                <w:b w:val="false"/>
                <w:i w:val="false"/>
                <w:caps w:val="false"/>
                <w:smallCaps w:val="false"/>
                <w:sz w:val="20"/>
              </w:rPr>
              <w:t>This grade is for “Other Assets Especially Mentioned (“OAEM”)” in accordance with regulatory guidelines and includes borrowers where performance is poor or significantly less than expected.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Grade 8 -</w:t>
            </w:r>
            <w:r>
              <w:rPr>
                <w:caps w:val="false"/>
                <w:smallCaps w:val="false"/>
              </w:rPr>
              <w:t xml:space="preserve"> </w:t>
            </w:r>
            <w:r>
              <w:rPr>
                <w:rFonts w:ascii="Times New Roman;Times;serif" w:hAnsi="Times New Roman;Times;serif"/>
                <w:b w:val="false"/>
                <w:i w:val="false"/>
                <w:caps w:val="false"/>
                <w:smallCaps w:val="false"/>
                <w:sz w:val="20"/>
              </w:rPr>
              <w:t>This grade includes “Substandard” loans in accordance with regulatory guidelines which represent an unacceptable business credit where a loss is possible if loan weakness is not corrected.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Grade 9 -</w:t>
            </w:r>
            <w:r>
              <w:rPr>
                <w:caps w:val="false"/>
                <w:smallCaps w:val="false"/>
              </w:rPr>
              <w:t xml:space="preserve"> </w:t>
            </w:r>
            <w:r>
              <w:rPr>
                <w:rFonts w:ascii="Times New Roman;Times;serif" w:hAnsi="Times New Roman;Times;serif"/>
                <w:b w:val="false"/>
                <w:i w:val="false"/>
                <w:caps w:val="false"/>
                <w:smallCaps w:val="false"/>
                <w:sz w:val="20"/>
              </w:rPr>
              <w:t>This grade includes “Doubtful” loans in accordance with regulatory guidelines where a loss is highly probable.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pPr>
            <w:r>
              <w:rPr>
                <w:rFonts w:ascii="Times New Roman;Times;serif" w:hAnsi="Times New Roman;Times;serif"/>
                <w:b w:val="false"/>
                <w:i/>
                <w:sz w:val="20"/>
              </w:rPr>
              <w:t>Grade 10 -</w:t>
            </w:r>
            <w:r>
              <w:rPr>
                <w:caps w:val="false"/>
                <w:smallCaps w:val="false"/>
              </w:rPr>
              <w:t xml:space="preserve"> </w:t>
            </w:r>
            <w:r>
              <w:rPr>
                <w:rFonts w:ascii="Times New Roman;Times;serif" w:hAnsi="Times New Roman;Times;serif"/>
                <w:b w:val="false"/>
                <w:i w:val="false"/>
                <w:caps w:val="false"/>
                <w:smallCaps w:val="false"/>
                <w:sz w:val="20"/>
              </w:rPr>
              <w:t>This grade includes “Loss” loans in accordance with regulatory guidelines for which total loss is expected and when identified are charged off.</w:t>
            </w:r>
          </w:p>
        </w:tc>
      </w:tr>
    </w:tbl>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one-to-four-family first and second liens. Under the Uniform Retail Credit Classification Policy, loans that are current or less than 90 days past due are graded “Pass” and risk rated “4” or “5” internally. Loans that are past due more than 90 days are classified “Substandard” risk graded “8” internally until the loan has demonstrated consistent performance, typically six months of contractual payments. Closed-end loans that are 120 days past due and open-end loans that are 180 days past due are charged off based on the value of the collateral less cost to sell.  Management may choose to conservatively risk rate credits even if paying in accordance with the loan’s repayment terms.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Commercial real estate, construction and development, multi-family and commercial business loans are evaluated individually for their risk classification and may 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commercial real estate borrowers with loans exceeding a certain dollar threshold are usually required to submit rent rolls or property income statements annually.  We monitor construction loans monthly.  We also review loans graded “Watch” or worse, regardless of loan type, no less than quarterly.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both"/>
        <w:rPr>
          <w:rFonts w:ascii="Times New Roman;Times;serif" w:hAnsi="Times New Roman;Times;serif"/>
          <w:sz w:val="20"/>
        </w:rPr>
      </w:pPr>
      <w:bookmarkStart w:id="1293" w:name="Tc_5JtISc42EkiCPHLDHaekfw_19_26"/>
      <w:bookmarkStart w:id="1294" w:name="Tc_Xj2FHm1hE0KuI6FdMb33RQ_19_24"/>
      <w:bookmarkStart w:id="1295" w:name="Tc_vArdd9b1I0idxQxT_WjSWA_19_23"/>
      <w:bookmarkStart w:id="1296" w:name="Tc_H-Ym3l_hMUmWHBvzTz8Fzw_19_20"/>
      <w:bookmarkStart w:id="1297" w:name="Tc_gyiU6fdKaEqU58xvyOjjkw_19_17"/>
      <w:bookmarkStart w:id="1298" w:name="Tc_y5D75bOV6U2y1cBbmo7TgA_19_14"/>
      <w:bookmarkStart w:id="1299" w:name="Tc_1OP1pPK0Kk6HUpSFn4S67A_19_11"/>
      <w:bookmarkStart w:id="1300" w:name="Tc_rvaAnS7ilk-eEUqgz3EAXg_19_8"/>
      <w:bookmarkStart w:id="1301" w:name="Tc_FyxBWBGeJUeTlokgf8dSmA_19_5"/>
      <w:bookmarkStart w:id="1302" w:name="Tc_6WR6Z_-qHEKKs0OoBK8YpA_19_2"/>
      <w:bookmarkStart w:id="1303" w:name="Tc_4JRviSS_LU6S5Z88vdx5Pw_19_0"/>
      <w:bookmarkStart w:id="1304" w:name="Tc_m2R0zBvua0eieFkYna2TaQ_18_24"/>
      <w:bookmarkStart w:id="1305" w:name="Tc_58NjrXPF5EKKHWOkDLnx3w_18_18"/>
      <w:bookmarkStart w:id="1306" w:name="Tc_RBdrV68x70mUg81XZDVCUQ_18_15"/>
      <w:bookmarkStart w:id="1307" w:name="Tc_0F3yU5vxAUaq6TB9IMDH9w_18_12"/>
      <w:bookmarkStart w:id="1308" w:name="Tc_SmkTuuqY2kGyG5LKL-mteg_18_3"/>
      <w:bookmarkStart w:id="1309" w:name="Tc_HWPdz1CQvE-VrXmcpPoxfg_18_0"/>
      <w:bookmarkStart w:id="1310" w:name="Tc_DOlkYwCzv0il5EjzxoybgA_17_24"/>
      <w:bookmarkStart w:id="1311" w:name="Tc_3zoB_lwylEyVDdlaJxNa0w_17_0"/>
      <w:bookmarkStart w:id="1312" w:name="Tc_mYy7kiCzgkK5qOtw9LAhrw_16_24"/>
      <w:bookmarkStart w:id="1313" w:name="Tc_MxoF-6m0-US2IHHwWR7DMw_16_18"/>
      <w:bookmarkStart w:id="1314" w:name="Tc_GW8XzYMgBk26mHieM2cIIw_16_15"/>
      <w:bookmarkStart w:id="1315" w:name="Tc_UcsJCF7phkaZ4SGtIEknGg_16_12"/>
      <w:bookmarkStart w:id="1316" w:name="Tc_Y7k25rjE-0S011t4SHsThQ_16_9"/>
      <w:bookmarkStart w:id="1317" w:name="Tc_bTPh8OBxNE2E0ZthnIa71Q_16_6"/>
      <w:bookmarkStart w:id="1318" w:name="Tc_hs5f06fqHkegEKhtKdTdBw_16_3"/>
      <w:bookmarkStart w:id="1319" w:name="Tc_R_l3bbyniEOOEq-fiRNm_g_16_0"/>
      <w:bookmarkStart w:id="1320" w:name="Tc_Zju0wMSshEuv2D9Go8F1GA_15_24"/>
      <w:bookmarkStart w:id="1321" w:name="Tc_5wxUe9X3wEKf9l0yXg5AsA_15_0"/>
      <w:bookmarkStart w:id="1322" w:name="Tc_A4L_Ket0JkWVXGGEvZ7GLw_14_0"/>
      <w:bookmarkStart w:id="1323" w:name="Tc_Mb4a1SItOkqieo2r47_YFA_13_24"/>
      <w:bookmarkStart w:id="1324" w:name="Tc_0rSMuj-ucU6Lc9yIouYxpg_13_21"/>
      <w:bookmarkStart w:id="1325" w:name="Tc_piRT1A182k-8V04G5sKbvg_13_12"/>
      <w:bookmarkStart w:id="1326" w:name="Tc_mRo8XAdjmEmjV9tWP277WQ_13_9"/>
      <w:bookmarkStart w:id="1327" w:name="Tc_WkhF9_Ofu06uyoCEWq9jHA_13_6"/>
      <w:bookmarkStart w:id="1328" w:name="Tc_jAC0KHNpSEaC_kNRpxhCZw_13_3"/>
      <w:bookmarkStart w:id="1329" w:name="Tc_u6kZXX18m0K6ix8Jfe-RAw_13_0"/>
      <w:bookmarkStart w:id="1330" w:name="Tc_NSFWxMvvtUuTA3u54aoQDw_12_24"/>
      <w:bookmarkStart w:id="1331" w:name="Tc_Bu5BXiahgEuCj-43GdzGxQ_12_21"/>
      <w:bookmarkStart w:id="1332" w:name="Tc_3L5CGrEYx0CoGtWPf3eJtQ_12_0"/>
      <w:bookmarkStart w:id="1333" w:name="Tc__r-dzs_WbU-PuQMuDUAScA_11_24"/>
      <w:bookmarkStart w:id="1334" w:name="Tc_awplfm0d8E20aadPbyQjXQ_11_21"/>
      <w:bookmarkStart w:id="1335" w:name="Tc_aIp2BENro0KGFdDz6eG4XQ_11_12"/>
      <w:bookmarkStart w:id="1336" w:name="Tc_QhD0aslw8ESmSbvDzC7fNQ_11_3"/>
      <w:bookmarkStart w:id="1337" w:name="Tc_jS3FAmZGvUWtfyoA4edohA_11_0"/>
      <w:bookmarkStart w:id="1338" w:name="Tc_n-ViDwaBsUupznkJGUoEnA_10_24"/>
      <w:bookmarkStart w:id="1339" w:name="Tc_XB8uH6dEMkSrpJVHyLpcMw_10_21"/>
      <w:bookmarkStart w:id="1340" w:name="Tc_o_But8GCnEuo1clIunKRnA_10_0"/>
      <w:bookmarkStart w:id="1341" w:name="Tc_1AoZ-pi3IU-a2X0eHiE_Rg_9_0"/>
      <w:bookmarkStart w:id="1342" w:name="Tc_rRdPPm_70Ue5-wJ9U2eX4w_8_24"/>
      <w:bookmarkStart w:id="1343" w:name="Tc_Lk3xGFSGI02j8B5dsKCu-w_8_21"/>
      <w:bookmarkStart w:id="1344" w:name="Tc_7766po9OekiPFobYUIWepw_8_15"/>
      <w:bookmarkStart w:id="1345" w:name="Tc__6PDGUUzJUWoAELDqLOpQw_8_3"/>
      <w:bookmarkStart w:id="1346" w:name="Tc_caOMuEb2RUC_5rreVr16Rw_8_0"/>
      <w:bookmarkStart w:id="1347" w:name="Tc_1yNiA1gTEkCbCqz2lPi-Wg_7_24"/>
      <w:bookmarkStart w:id="1348" w:name="Tc_FXu3EwUUmU6UQtA3xAm2ig_7_0"/>
      <w:bookmarkStart w:id="1349" w:name="Tc_Erdn4q8lckSZB-7vhfOdyw_6_24"/>
      <w:bookmarkStart w:id="1350" w:name="Tc_Mb6Wh9ZmGUOy9Ei94YCxOQ_6_21"/>
      <w:bookmarkStart w:id="1351" w:name="Tc_c-p_iYW_XEWxL0SbN9Zzlw_6_3"/>
      <w:bookmarkStart w:id="1352" w:name="Tc_JtpXl7TRu0GHBRcAK8VMhA_6_0"/>
      <w:bookmarkStart w:id="1353" w:name="Tc_BE5oplQCV0S8C7BgYH45YA_5_26"/>
      <w:bookmarkStart w:id="1354" w:name="Tc_OhhFDVZZsk2Nalb8-Y3EHw_5_24"/>
      <w:bookmarkStart w:id="1355" w:name="Tc_YhvrPI_UFkCToXSM_1sXKg_5_23"/>
      <w:bookmarkStart w:id="1356" w:name="Tc_Jxj4qDEZMUS0nZrBkGBZHg_5_20"/>
      <w:bookmarkStart w:id="1357" w:name="Tc_1a6YTtQbG0-bMA3EoJ_Gxg_5_17"/>
      <w:bookmarkStart w:id="1358" w:name="Tc_Nh98IuTzn0unwCaQGB9Vyg_5_14"/>
      <w:bookmarkStart w:id="1359" w:name="Tc_lBCnbTK940C193zbyfG2EQ_5_11"/>
      <w:bookmarkStart w:id="1360" w:name="Tc_ueuSSxeIiEemkKh5_2nB8g_5_8"/>
      <w:bookmarkStart w:id="1361" w:name="Tc_ZPO6vxyqy06LD0yWAkweNg_5_5"/>
      <w:bookmarkStart w:id="1362" w:name="Tc_QhzcPlnISkmsRt-KK35N4g_5_2"/>
      <w:bookmarkStart w:id="1363" w:name="Tc_MZEaWf373ECavMSfCYUezw_5_0"/>
      <w:bookmarkStart w:id="1364" w:name="Tc_MWj8sEbHCk2U9bLaaPIi7w_4_26"/>
      <w:bookmarkStart w:id="1365" w:name="Tc_zqmrfwfOUU27gauI0JIllA_4_23"/>
      <w:bookmarkStart w:id="1366" w:name="Tc_nT6d-JN-UUKvmMC7SUiKCA_4_20"/>
      <w:bookmarkStart w:id="1367" w:name="Tc_94Kbe4Cx0UKY-lVhX2HmkA_4_17"/>
      <w:bookmarkStart w:id="1368" w:name="Tc_zL7RpLN0oUqF3zvKCy84-A_4_14"/>
      <w:bookmarkStart w:id="1369" w:name="Tc_0cH3m5ZC3UC6ub6vqVKv_A_4_11"/>
      <w:bookmarkStart w:id="1370" w:name="Tc__efDM0PcA0GK85KmKMtPZg_4_8"/>
      <w:bookmarkStart w:id="1371" w:name="Tc_vRZH8_sb_UyhPv1-JbdBqA_4_5"/>
      <w:bookmarkStart w:id="1372" w:name="Tc__UxWXLuhJEWChhAbHtU9Vw_4_2"/>
      <w:bookmarkStart w:id="1373" w:name="Tc_McovbkxkZEmBlmefWhp3GA_4_0"/>
      <w:bookmarkStart w:id="1374" w:name="Tc_QceZYXWSwUesV4yRgJrYGA_3_23"/>
      <w:bookmarkStart w:id="1375" w:name="Tc_CtIGJgcffkm74alsj5P1pg_3_2"/>
      <w:bookmarkStart w:id="1376" w:name="Tc_u4LOGFMckkeL3lWpakz8hQ_3_0"/>
      <w:bookmarkStart w:id="1377" w:name="Tc_437WG5cGykiskDEYIoRlyw_2_23"/>
      <w:bookmarkStart w:id="1378" w:name="Tc_dqWRc3QTNE63MagoTak3dQ_1_2"/>
      <w:bookmarkStart w:id="1379" w:name="_0ef79d88_942b_4d11_9ed1_95c3f9cbbc1c"/>
      <w:bookmarkStart w:id="1380" w:name="Tc_oloS9zDZ9UqtqxC6Y6p-jA_26_26"/>
      <w:bookmarkStart w:id="1381" w:name="Tc_ruNgidIMLkiJ8V7zEhI8VA_26_23"/>
      <w:bookmarkStart w:id="1382" w:name="Tc_71l3AWcRyEujIOxngl2qiw_26_20"/>
      <w:bookmarkStart w:id="1383" w:name="Tc_3gqIoVi67kyH7TbJnLh9Bg_26_17"/>
      <w:bookmarkStart w:id="1384" w:name="Tc_SbtPNVcMvEW2gQnGH3KKmg_26_14"/>
      <w:bookmarkStart w:id="1385" w:name="Tc_t6xLJD_ce0OhEesXHBBkYQ_26_11"/>
      <w:bookmarkStart w:id="1386" w:name="Tc_GvcJTlBW20WwNyUXMgETKw_26_8"/>
      <w:bookmarkStart w:id="1387" w:name="Tc_zrmEj2vtc0GHIj409glR4Q_26_5"/>
      <w:bookmarkStart w:id="1388" w:name="Tc_QjEctkSpZkS8UmXPz4h4Hg_26_2"/>
      <w:bookmarkStart w:id="1389" w:name="Tc_6CRX4apxDEOMMNDGEwhV3A_26_0"/>
      <w:bookmarkStart w:id="1390" w:name="Tc_skPqeQv6bUi_WB_l2SYCpg_25_24"/>
      <w:bookmarkStart w:id="1391" w:name="Tc_KbsuTiWefE6F6m_dy9wcLg_25_21"/>
      <w:bookmarkStart w:id="1392" w:name="Tc_GB6nYPPonk-Hb3I-LtMXUQ_25_0"/>
      <w:bookmarkStart w:id="1393" w:name="Tc_B8iJbuRqqkGd_cXq2v2ltg_24_24"/>
      <w:bookmarkStart w:id="1394" w:name="Tc_gq2-EJnvsEWFBsBd1ghmAQ_24_21"/>
      <w:bookmarkStart w:id="1395" w:name="Tc_IzShon0Vj0SWxc5NKLWy0A_24_0"/>
      <w:bookmarkStart w:id="1396" w:name="Tc_Fdy1tGyOpkGWBCug3jqYdQ_23_0"/>
      <w:bookmarkStart w:id="1397" w:name="Tc_kTlT2pMWE0ujIQCOxFAx9g_22_21"/>
      <w:bookmarkStart w:id="1398" w:name="Tc_bwN1oOnJ1EqxLuPurnx-6w_22_0"/>
      <w:bookmarkStart w:id="1399" w:name="Tc_rki-Km6IXEqIZzDxdYPpbg_21_24"/>
      <w:bookmarkStart w:id="1400" w:name="Tc_izs1wj9YXUOd5zFQNrpqMA_21_21"/>
      <w:bookmarkStart w:id="1401" w:name="Tc_AlNakt4LZkGPWotCSiIlAQ_21_15"/>
      <w:bookmarkStart w:id="1402" w:name="Tc_Yi38YypmTkSfur79wLvjng_21_12"/>
      <w:bookmarkStart w:id="1403" w:name="Tc_r56brykEf0qC16djiV8ztA_21_9"/>
      <w:bookmarkStart w:id="1404" w:name="Tc_5QiuBHmtEkCfba3gXS95ew_21_6"/>
      <w:bookmarkStart w:id="1405" w:name="Tc_bOZZ1ZUti0GaqZQo_eeyVg_21_3"/>
      <w:bookmarkStart w:id="1406" w:name="Tc_cvqkAJN1tUWKU_8N0w9hDw_21_0"/>
      <w:bookmarkStart w:id="1407" w:name="Tc_Ap9BXCR-dEuLF0nJncr3wA_20_24"/>
      <w:bookmarkStart w:id="1408" w:name="Tc_M82CyXbdV0mKavDpCBPMeg_20_21"/>
      <w:bookmarkStart w:id="1409" w:name="Tc_K-KCz3rWu0yt2mNUmBxvCQ_20_18"/>
      <w:bookmarkStart w:id="1410" w:name="Tc_cbG4E8PZoEuHH3KI5l6ETA_20_15"/>
      <w:bookmarkStart w:id="1411" w:name="Tc_e5cI_qAJyEqECsHCQpvZqg_20_12"/>
      <w:bookmarkStart w:id="1412" w:name="Tc_0NWTUgbGzEOM6NZJUaDdRw_20_9"/>
      <w:bookmarkStart w:id="1413" w:name="Tc_mGPCGLnZIka3EcQ_zx3MLQ_20_3"/>
      <w:bookmarkStart w:id="1414" w:name="Tc_n1UEllEMeUOW4O9C64FTrA_20_0"/>
      <w:bookmarkStart w:id="1415" w:name="Tc_b_HKDZETe0mi66ze6hZ-6A_19_21"/>
      <w:bookmarkStart w:id="1416" w:name="Tc_x9wYhVXSEEunu-PBUiWczg_19_0"/>
      <w:bookmarkStart w:id="1417" w:name="Tc_KwiSOeDqXEqzDDpa9se0mA_18_0"/>
      <w:bookmarkStart w:id="1418" w:name="Tc_v1JovlkDk06d4AeZmSbqPg_17_24"/>
      <w:bookmarkStart w:id="1419" w:name="Tc_JA2tsGgfdUaPP8C6Bz55FA_17_18"/>
      <w:bookmarkStart w:id="1420" w:name="Tc_8ptS3gvTmUWeCC5kxbRCyA_17_15"/>
      <w:bookmarkStart w:id="1421" w:name="Tc_hD_8-xHHcUmvzvZ6Fi-FXA_17_12"/>
      <w:bookmarkStart w:id="1422" w:name="Tc_2zAbxokAiEG1gwXvZI2A5A_17_9"/>
      <w:bookmarkStart w:id="1423" w:name="Tc_Zci9DVdjD0a85wkuOx4psA_17_6"/>
      <w:bookmarkStart w:id="1424" w:name="Tc_GOPMNtX1qUuqn3bME6Khpg_17_3"/>
      <w:bookmarkStart w:id="1425" w:name="Tc_T2EWHh1S8EqyCAGJ0JFlHA_17_0"/>
      <w:bookmarkStart w:id="1426" w:name="Tc_LFkOJog020GuN0P5mZRxfw_16_24"/>
      <w:bookmarkStart w:id="1427" w:name="Tc_CzrvH8SIe0qmfxR6d6Xx4g_16_0"/>
      <w:bookmarkStart w:id="1428" w:name="Tc_eNHIK2aw2Uq919rSHuWOSg_15_24"/>
      <w:bookmarkStart w:id="1429" w:name="Tc_r6lBRqn61U61mQdM68f9uQ_15_21"/>
      <w:bookmarkStart w:id="1430" w:name="Tc_CRybQixrFUWVhK_EuNXj7w_15_15"/>
      <w:bookmarkStart w:id="1431" w:name="Tc_vmyhcvIFnkyU0Q7g_szcUA_15_12"/>
      <w:bookmarkStart w:id="1432" w:name="Tc_kurCFhsw6EaBaemWxli9Jg_15_9"/>
      <w:bookmarkStart w:id="1433" w:name="Tc_mt_3n5bVMkOSUi2XxE5O0A_15_6"/>
      <w:bookmarkStart w:id="1434" w:name="Tc_xKvsmGPOCkajQqJX6M1Akg_15_3"/>
      <w:bookmarkStart w:id="1435" w:name="Tc_PlLZf0T1bEigDIQZPNz1uA_15_0"/>
      <w:bookmarkStart w:id="1436" w:name="Tc_P-Nwp-jAk02VuALw9XkqHQ_14_24"/>
      <w:bookmarkStart w:id="1437" w:name="Tc_XxZC8JRmFEKgQc7N1tOtlQ_14_0"/>
      <w:bookmarkStart w:id="1438" w:name="Tc_ofDmf-E5fUScxiselU5i4Q_13_0"/>
      <w:bookmarkStart w:id="1439" w:name="Tc_aUQkVnrdKkSN6ruxbcniog_12_24"/>
      <w:bookmarkStart w:id="1440" w:name="Tc_yr2fffM6nEi7QoZAAO0yiA_12_21"/>
      <w:bookmarkStart w:id="1441" w:name="Tc_kbiXkLxFtUmSzcj9A7VOZg_12_0"/>
      <w:bookmarkStart w:id="1442" w:name="Tc_AwFwmdmZuEKlel1FFvxuuA_11_24"/>
      <w:bookmarkStart w:id="1443" w:name="Tc_vf4fGt-ZWkGyb_zgPZ81rw_11_21"/>
      <w:bookmarkStart w:id="1444" w:name="Tc_WuCqUy3y5USWuj-kQf5jNA_11_0"/>
      <w:bookmarkStart w:id="1445" w:name="Tc_yPBnNIBsGUKF_bLDrFzIRA_10_0"/>
      <w:bookmarkStart w:id="1446" w:name="Tc_PmQVw8NMoEijygHOtn5-Uw_9_24"/>
      <w:bookmarkStart w:id="1447" w:name="Tc_SiI9i4hnqECZoFLWKy00FA_9_21"/>
      <w:bookmarkStart w:id="1448" w:name="Tc_ag-AJURPBE6ZP5XkcEDjgA_9_0"/>
      <w:bookmarkStart w:id="1449" w:name="Tc_RYlHAtjr60GxpwYuK72qFQ_8_24"/>
      <w:bookmarkStart w:id="1450" w:name="Tc_PEfbywUaHU24D0JanWp0xw_8_21"/>
      <w:bookmarkStart w:id="1451" w:name="Tc_cT2sDPYD8keIHTdzScSDYA_8_15"/>
      <w:bookmarkStart w:id="1452" w:name="Tc_VYjvXQI8zE2cMFN3Z4_ukQ_8_12"/>
      <w:bookmarkStart w:id="1453" w:name="Tc_af-nvw3QO0eZUFAvspTkBw_8_9"/>
      <w:bookmarkStart w:id="1454" w:name="Tc_Skve7KLqu0-inJbMSqZRVw_8_6"/>
      <w:bookmarkStart w:id="1455" w:name="Tc_O7_jlrZy3UaHSD_SgLmkLw_8_3"/>
      <w:bookmarkStart w:id="1456" w:name="Tc_fTglCEOFa0ukHbCrcrZKUg_8_0"/>
      <w:bookmarkStart w:id="1457" w:name="Tc_ftjgtW0q202zHnsMC6mHqQ_7_24"/>
      <w:bookmarkStart w:id="1458" w:name="Tc_svH5Hjfa7Eik3EmHpv7k9A_7_21"/>
      <w:bookmarkStart w:id="1459" w:name="Tc_z0VD5hdSxUGnHYiXgw-1hw_7_18"/>
      <w:bookmarkStart w:id="1460" w:name="Tc_6e8bXuvmTE-R8xpKJKxceg_7_12"/>
      <w:bookmarkStart w:id="1461" w:name="Tc_xA8xw0vd7EKbGmSW4FPmlw_7_9"/>
      <w:bookmarkStart w:id="1462" w:name="Tc_WTDafEOMOUyBci8egp5qAA_7_6"/>
      <w:bookmarkStart w:id="1463" w:name="Tc_xpO3vbiU8EeyAVrj7wGx6Q_7_3"/>
      <w:bookmarkStart w:id="1464" w:name="Tc_Bbq2J6dCM0C6D_0eFSK9MQ_7_0"/>
      <w:bookmarkStart w:id="1465" w:name="Tc_isrwoccPjkutXHpDovuoCA_6_24"/>
      <w:bookmarkStart w:id="1466" w:name="Tc_fo2vYX20rUOV56olE_s0tg_6_21"/>
      <w:bookmarkStart w:id="1467" w:name="Tc_MXoQRylr4EihUENs9csx5Q_6_18"/>
      <w:bookmarkStart w:id="1468" w:name="Tc_Yi-OosvCYkeW69YwKddgxw_6_15"/>
      <w:bookmarkStart w:id="1469" w:name="Tc_JvQwhAQ3skWsIkdAfTRiBw_6_9"/>
      <w:bookmarkStart w:id="1470" w:name="Tc_iBj35l30iUu3958TWR2JpQ_6_3"/>
      <w:bookmarkStart w:id="1471" w:name="Tc_Ticgw38Ho0m-o1eNW_yyGQ_6_0"/>
      <w:bookmarkStart w:id="1472" w:name="Tc_zp3kSZJPqEuMJ-dahGet9w_5_26"/>
      <w:bookmarkStart w:id="1473" w:name="Tc_FK5vsB5Q8kOu6y36r06lrQ_5_24"/>
      <w:bookmarkStart w:id="1474" w:name="Tc_gfDfFzI750eXBke5dRYsxA_5_23"/>
      <w:bookmarkStart w:id="1475" w:name="Tc_-Vueo7qpYUqndueCWzjnBA_5_21"/>
      <w:bookmarkStart w:id="1476" w:name="Tc_vLjYKtm1-USEtkYlQPKtww_5_20"/>
      <w:bookmarkStart w:id="1477" w:name="Tc_2fT1H4K3REm9hzSynaGE_g_5_17"/>
      <w:bookmarkStart w:id="1478" w:name="Tc_bDySkux8-UCH5pxdm-JPqQ_5_14"/>
      <w:bookmarkStart w:id="1479" w:name="Tc_rJfRdDG5SEyweV5m5DoC-w_5_11"/>
      <w:bookmarkStart w:id="1480" w:name="Tc_H6dwFJA-7kOOTTeCClW2kw_5_8"/>
      <w:bookmarkStart w:id="1481" w:name="Tc_l_Hn9BhWfEeqO0jjbxb8jQ_5_5"/>
      <w:bookmarkStart w:id="1482" w:name="Tc_vOsF_WGbu0iyY0Ttjrk4AQ_5_2"/>
      <w:bookmarkStart w:id="1483" w:name="Tc_nAGakQB-pk2twF0mxALIIA_5_0"/>
      <w:bookmarkStart w:id="1484" w:name="Tc_PpSX1q48SE6LzIwF94Bx5g_4_26"/>
      <w:bookmarkStart w:id="1485" w:name="Tc_FeZ4S-Gah0mnk0x5-aAPfQ_4_23"/>
      <w:bookmarkStart w:id="1486" w:name="Tc_grBNy5W0bEmwEL8GoAUwMA_4_20"/>
      <w:bookmarkStart w:id="1487" w:name="Tc_3YvF96La3USa-ClW2dxhkQ_4_17"/>
      <w:bookmarkStart w:id="1488" w:name="Tc_BU7m_GTpUkuIt5iiAELmfA_4_14"/>
      <w:bookmarkStart w:id="1489" w:name="Tc_GmInjQtAGkeH639FUzZ1-Q_4_11"/>
      <w:bookmarkStart w:id="1490" w:name="Tc___ojkgYFCUedH4U9Le2Xww_4_8"/>
      <w:bookmarkStart w:id="1491" w:name="Tc_mLlsmhDqsk2UY-QN2mCcdw_4_5"/>
      <w:bookmarkStart w:id="1492" w:name="Tc_OXV1BqFbc0uO0QYXd4UpoA_4_2"/>
      <w:bookmarkStart w:id="1493" w:name="Tc_tuMIfpcydU2U-c_C_r9_zA_4_0"/>
      <w:bookmarkStart w:id="1494" w:name="Tc_LckzsWSR80Cfp3QEjnzhEQ_3_23"/>
      <w:bookmarkStart w:id="1495" w:name="Tc_RU88t7OtlUeIXNtryhoXdA_3_2"/>
      <w:bookmarkStart w:id="1496" w:name="Tc_NJl4-6_nBEib-mxSy0cmuA_3_0"/>
      <w:bookmarkStart w:id="1497" w:name="Tc_DB3rfTokaEO5LAzi5KgXzQ_2_23"/>
      <w:bookmarkStart w:id="1498" w:name="Tc__hey-KKDDUGaMh_mfgfURw_1_2"/>
      <w:bookmarkStart w:id="1499" w:name="_22929d7c_562a_4fe7_895a_94d6941c4e6c"/>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r>
        <w:rPr>
          <w:rFonts w:ascii="Times New Roman;Times;serif" w:hAnsi="Times New Roman;Times;serif"/>
          <w:sz w:val="20"/>
        </w:rPr>
        <w:t>The following tables summarize risk rated loan balances by category as of the dates indicated.  Term loans that were renewed or extended for periods longer than 90 days are presented as a new origination in the year of the most recent renewal or extension.</w:t>
      </w:r>
    </w:p>
    <w:p>
      <w:pPr>
        <w:pStyle w:val="TextBody"/>
        <w:spacing w:before="0" w:after="0"/>
        <w:ind w:left="0" w:right="0" w:hanging="0"/>
        <w:rPr/>
      </w:pPr>
      <w:r>
        <w:rPr/>
        <w:t>​</w:t>
      </w:r>
    </w:p>
    <w:tbl>
      <w:tblPr>
        <w:tblW w:w="10759" w:type="dxa"/>
        <w:jc w:val="left"/>
        <w:tblInd w:w="0" w:type="dxa"/>
        <w:tblCellMar>
          <w:top w:w="0" w:type="dxa"/>
          <w:left w:w="0" w:type="dxa"/>
          <w:bottom w:w="0" w:type="dxa"/>
          <w:right w:w="0" w:type="dxa"/>
        </w:tblCellMar>
      </w:tblPr>
      <w:tblGrid>
        <w:gridCol w:w="1471"/>
        <w:gridCol w:w="146"/>
        <w:gridCol w:w="196"/>
        <w:gridCol w:w="601"/>
        <w:gridCol w:w="146"/>
        <w:gridCol w:w="196"/>
        <w:gridCol w:w="691"/>
        <w:gridCol w:w="146"/>
        <w:gridCol w:w="196"/>
        <w:gridCol w:w="691"/>
        <w:gridCol w:w="146"/>
        <w:gridCol w:w="196"/>
        <w:gridCol w:w="691"/>
        <w:gridCol w:w="146"/>
        <w:gridCol w:w="196"/>
        <w:gridCol w:w="691"/>
        <w:gridCol w:w="146"/>
        <w:gridCol w:w="196"/>
        <w:gridCol w:w="691"/>
        <w:gridCol w:w="146"/>
        <w:gridCol w:w="203"/>
        <w:gridCol w:w="623"/>
        <w:gridCol w:w="109"/>
        <w:gridCol w:w="283"/>
        <w:gridCol w:w="543"/>
        <w:gridCol w:w="146"/>
        <w:gridCol w:w="196"/>
        <w:gridCol w:w="931"/>
      </w:tblGrid>
      <w:tr>
        <w:trPr/>
        <w:tc>
          <w:tcPr>
            <w:tcW w:w="14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34085" cy="175260"/>
                      <wp:effectExtent l="0" t="0" r="0" b="0"/>
                      <wp:wrapNone/>
                      <wp:docPr id="276" name="Frame276"/>
                      <a:graphic xmlns:a="http://schemas.openxmlformats.org/drawingml/2006/main">
                        <a:graphicData uri="http://schemas.microsoft.com/office/word/2010/wordprocessingShape">
                          <wps:wsp>
                            <wps:cNvSpPr txBox="1"/>
                            <wps:spPr>
                              <a:xfrm>
                                <a:off x="0" y="0"/>
                                <a:ext cx="934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2710" cy="175260"/>
                      <wp:effectExtent l="0" t="0" r="0" b="0"/>
                      <wp:wrapNone/>
                      <wp:docPr id="277" name="Frame27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4460" cy="175260"/>
                      <wp:effectExtent l="0" t="0" r="0" b="0"/>
                      <wp:wrapNone/>
                      <wp:docPr id="278" name="Frame27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81635" cy="175260"/>
                      <wp:effectExtent l="0" t="0" r="0" b="0"/>
                      <wp:wrapNone/>
                      <wp:docPr id="279" name="Frame279"/>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2710" cy="175260"/>
                      <wp:effectExtent l="0" t="0" r="0" b="0"/>
                      <wp:wrapNone/>
                      <wp:docPr id="280" name="Frame28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4460" cy="175260"/>
                      <wp:effectExtent l="0" t="0" r="0" b="0"/>
                      <wp:wrapNone/>
                      <wp:docPr id="281" name="Frame28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38785" cy="175260"/>
                      <wp:effectExtent l="0" t="0" r="0" b="0"/>
                      <wp:wrapNone/>
                      <wp:docPr id="282" name="Frame28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2710" cy="175260"/>
                      <wp:effectExtent l="0" t="0" r="0" b="0"/>
                      <wp:wrapNone/>
                      <wp:docPr id="283" name="Frame28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4460" cy="175260"/>
                      <wp:effectExtent l="0" t="0" r="0" b="0"/>
                      <wp:wrapNone/>
                      <wp:docPr id="284" name="Frame28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38785" cy="175260"/>
                      <wp:effectExtent l="0" t="0" r="0" b="0"/>
                      <wp:wrapNone/>
                      <wp:docPr id="285" name="Frame28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92710" cy="175260"/>
                      <wp:effectExtent l="0" t="0" r="0" b="0"/>
                      <wp:wrapNone/>
                      <wp:docPr id="286" name="Frame28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4460" cy="175260"/>
                      <wp:effectExtent l="0" t="0" r="0" b="0"/>
                      <wp:wrapNone/>
                      <wp:docPr id="287" name="Frame28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38785" cy="175260"/>
                      <wp:effectExtent l="0" t="0" r="0" b="0"/>
                      <wp:wrapNone/>
                      <wp:docPr id="288" name="Frame28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2710" cy="175260"/>
                      <wp:effectExtent l="0" t="0" r="0" b="0"/>
                      <wp:wrapNone/>
                      <wp:docPr id="289" name="Frame28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4460" cy="175260"/>
                      <wp:effectExtent l="0" t="0" r="0" b="0"/>
                      <wp:wrapNone/>
                      <wp:docPr id="290" name="Frame29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38785" cy="175260"/>
                      <wp:effectExtent l="0" t="0" r="0" b="0"/>
                      <wp:wrapNone/>
                      <wp:docPr id="291" name="Frame29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92710" cy="175260"/>
                      <wp:effectExtent l="0" t="0" r="0" b="0"/>
                      <wp:wrapNone/>
                      <wp:docPr id="292" name="Frame29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4460" cy="175260"/>
                      <wp:effectExtent l="0" t="0" r="0" b="0"/>
                      <wp:wrapNone/>
                      <wp:docPr id="293" name="Frame29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38785" cy="175260"/>
                      <wp:effectExtent l="0" t="0" r="0" b="0"/>
                      <wp:wrapNone/>
                      <wp:docPr id="294" name="Frame29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92710" cy="175260"/>
                      <wp:effectExtent l="0" t="0" r="0" b="0"/>
                      <wp:wrapNone/>
                      <wp:docPr id="295" name="Frame29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8905" cy="175260"/>
                      <wp:effectExtent l="0" t="0" r="0" b="0"/>
                      <wp:wrapNone/>
                      <wp:docPr id="296" name="Frame296"/>
                      <a:graphic xmlns:a="http://schemas.openxmlformats.org/drawingml/2006/main">
                        <a:graphicData uri="http://schemas.microsoft.com/office/word/2010/wordprocessingShape">
                          <wps:wsp>
                            <wps:cNvSpPr txBox="1"/>
                            <wps:spPr>
                              <a:xfrm>
                                <a:off x="0" y="0"/>
                                <a:ext cx="128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95605" cy="175260"/>
                      <wp:effectExtent l="0" t="0" r="0" b="0"/>
                      <wp:wrapNone/>
                      <wp:docPr id="297" name="Frame297"/>
                      <a:graphic xmlns:a="http://schemas.openxmlformats.org/drawingml/2006/main">
                        <a:graphicData uri="http://schemas.microsoft.com/office/word/2010/wordprocessingShape">
                          <wps:wsp>
                            <wps:cNvSpPr txBox="1"/>
                            <wps:spPr>
                              <a:xfrm>
                                <a:off x="0" y="0"/>
                                <a:ext cx="395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79705" cy="175260"/>
                      <wp:effectExtent l="0" t="0" r="0" b="0"/>
                      <wp:wrapNone/>
                      <wp:docPr id="299" name="Frame299"/>
                      <a:graphic xmlns:a="http://schemas.openxmlformats.org/drawingml/2006/main">
                        <a:graphicData uri="http://schemas.microsoft.com/office/word/2010/wordprocessingShape">
                          <wps:wsp>
                            <wps:cNvSpPr txBox="1"/>
                            <wps:spPr>
                              <a:xfrm>
                                <a:off x="0" y="0"/>
                                <a:ext cx="179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44805" cy="175260"/>
                      <wp:effectExtent l="0" t="0" r="0" b="0"/>
                      <wp:wrapNone/>
                      <wp:docPr id="300" name="Frame300"/>
                      <a:graphic xmlns:a="http://schemas.openxmlformats.org/drawingml/2006/main">
                        <a:graphicData uri="http://schemas.microsoft.com/office/word/2010/wordprocessingShape">
                          <wps:wsp>
                            <wps:cNvSpPr txBox="1"/>
                            <wps:spPr>
                              <a:xfrm>
                                <a:off x="0" y="0"/>
                                <a:ext cx="344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92710" cy="175260"/>
                      <wp:effectExtent l="0" t="0" r="0" b="0"/>
                      <wp:wrapNone/>
                      <wp:docPr id="301" name="Frame30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24460" cy="175260"/>
                      <wp:effectExtent l="0" t="0" r="0" b="0"/>
                      <wp:wrapNone/>
                      <wp:docPr id="302" name="Frame30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91185" cy="175260"/>
                      <wp:effectExtent l="0" t="0" r="0" b="0"/>
                      <wp:wrapNone/>
                      <wp:docPr id="303" name="Frame30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7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142"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March 31, 2023</w:t>
            </w:r>
          </w:p>
        </w:tc>
      </w:tr>
      <w:tr>
        <w:trPr/>
        <w:tc>
          <w:tcPr>
            <w:tcW w:w="147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203" w:type="dxa"/>
            <w:tcBorders/>
            <w:shd w:fill="auto" w:val="clear"/>
            <w:vAlign w:val="center"/>
          </w:tcPr>
          <w:p>
            <w:pPr>
              <w:pStyle w:val="TableContents"/>
              <w:spacing w:before="0" w:after="0"/>
              <w:ind w:left="0" w:right="0" w:hanging="0"/>
              <w:jc w:val="center"/>
              <w:rPr/>
            </w:pPr>
            <w:r>
              <w:rPr/>
              <w:t>​</w:t>
            </w:r>
          </w:p>
        </w:tc>
        <w:tc>
          <w:tcPr>
            <w:tcW w:w="62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REAL ESTATE LOANS</w:t>
            </w:r>
          </w:p>
        </w:tc>
        <w:tc>
          <w:tcPr>
            <w:tcW w:w="146" w:type="dxa"/>
            <w:tcBorders/>
            <w:shd w:fill="auto" w:val="clear"/>
            <w:vAlign w:val="center"/>
          </w:tcPr>
          <w:p>
            <w:pPr>
              <w:pStyle w:val="TableContents"/>
              <w:spacing w:before="0" w:after="0"/>
              <w:ind w:left="0" w:right="0" w:hanging="0"/>
              <w:rPr/>
            </w:pPr>
            <w:r>
              <w:rPr/>
              <w:t> </w:t>
            </w:r>
          </w:p>
        </w:tc>
        <w:tc>
          <w:tcPr>
            <w:tcW w:w="5962" w:type="dxa"/>
            <w:gridSpan w:val="1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Commercial</w:t>
            </w:r>
          </w:p>
        </w:tc>
        <w:tc>
          <w:tcPr>
            <w:tcW w:w="14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shd w:fill="auto" w:val="clear"/>
            <w:vAlign w:val="center"/>
          </w:tcPr>
          <w:p>
            <w:pPr>
              <w:pStyle w:val="TableContents"/>
              <w:spacing w:before="0" w:after="0"/>
              <w:ind w:left="0" w:right="0" w:hanging="0"/>
              <w:rPr/>
            </w:pPr>
            <w:r>
              <w:rPr/>
              <w:t> </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4,250</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87,946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76,971</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48,515</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28,976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76,334</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322,992</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Watch</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9,506</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9,876</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2,096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2,096</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4,830</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4,830</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Total commercial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4,250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97,452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76,971</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48,885</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31,072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81,164</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339,794</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Construction and development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 </w:t>
            </w:r>
          </w:p>
        </w:tc>
        <w:tc>
          <w:tcPr>
            <w:tcW w:w="6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 </w:t>
            </w:r>
          </w:p>
        </w:tc>
        <w:tc>
          <w:tcPr>
            <w:tcW w:w="543"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rPr/>
            </w:pPr>
            <w:r>
              <w:rPr/>
              <w:t>​</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18,597</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215,701</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80,145</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14,903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7,502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604</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337,452</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construction and development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18,597</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215,701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80,145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14,903</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7,502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604</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337,452</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Home equity</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949</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3,049</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1,715</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6,721</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2,419</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45,716</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60,580</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home equity</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949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3,049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6,721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2,464</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45,716</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60,625</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Home equity gross charge-offs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jc w:val="right"/>
              <w:rPr/>
            </w:pPr>
            <w:r>
              <w:rPr/>
              <w:t>​</w:t>
            </w:r>
          </w:p>
        </w:tc>
        <w:tc>
          <w:tcPr>
            <w:tcW w:w="6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jc w:val="right"/>
              <w:rPr/>
            </w:pPr>
            <w:r>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One-to-four-family</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28,264</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167,209</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128,930</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82,098</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33,613</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57,054</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479</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497,647</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Watch</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874</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874</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2,579</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2,579</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one-to-four-family</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28,264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168,083</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128,930</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82,098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33,613</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59,633</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501,100</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Multi-family</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3,972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34,361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78,372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48,134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38,599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28,763</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232,201</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multi-family</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3,972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34,361</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78,372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48,134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38,599</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28,763</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232,201</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real estate loans</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56,032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518,646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366,133</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200,741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110,797</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172,628</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45,716</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1,471,172</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51"/>
        <w:gridCol w:w="146"/>
        <w:gridCol w:w="196"/>
        <w:gridCol w:w="601"/>
        <w:gridCol w:w="146"/>
        <w:gridCol w:w="196"/>
        <w:gridCol w:w="691"/>
        <w:gridCol w:w="146"/>
        <w:gridCol w:w="196"/>
        <w:gridCol w:w="691"/>
        <w:gridCol w:w="146"/>
        <w:gridCol w:w="196"/>
        <w:gridCol w:w="601"/>
        <w:gridCol w:w="146"/>
        <w:gridCol w:w="196"/>
        <w:gridCol w:w="601"/>
        <w:gridCol w:w="146"/>
        <w:gridCol w:w="196"/>
        <w:gridCol w:w="601"/>
        <w:gridCol w:w="146"/>
        <w:gridCol w:w="237"/>
        <w:gridCol w:w="623"/>
        <w:gridCol w:w="109"/>
        <w:gridCol w:w="310"/>
        <w:gridCol w:w="550"/>
        <w:gridCol w:w="146"/>
        <w:gridCol w:w="196"/>
        <w:gridCol w:w="799"/>
      </w:tblGrid>
      <w:tr>
        <w:trPr/>
        <w:tc>
          <w:tcPr>
            <w:tcW w:w="1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94385" cy="175260"/>
                      <wp:effectExtent l="0" t="0" r="0" b="0"/>
                      <wp:wrapNone/>
                      <wp:docPr id="304" name="Frame304"/>
                      <a:graphic xmlns:a="http://schemas.openxmlformats.org/drawingml/2006/main">
                        <a:graphicData uri="http://schemas.microsoft.com/office/word/2010/wordprocessingShape">
                          <wps:wsp>
                            <wps:cNvSpPr txBox="1"/>
                            <wps:spPr>
                              <a:xfrm>
                                <a:off x="0" y="0"/>
                                <a:ext cx="794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92710" cy="175260"/>
                      <wp:effectExtent l="0" t="0" r="0" b="0"/>
                      <wp:wrapNone/>
                      <wp:docPr id="305" name="Frame30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81635" cy="175260"/>
                      <wp:effectExtent l="0" t="0" r="0" b="0"/>
                      <wp:wrapNone/>
                      <wp:docPr id="307" name="Frame307"/>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2710" cy="175260"/>
                      <wp:effectExtent l="0" t="0" r="0" b="0"/>
                      <wp:wrapNone/>
                      <wp:docPr id="308" name="Frame30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4460" cy="175260"/>
                      <wp:effectExtent l="0" t="0" r="0" b="0"/>
                      <wp:wrapNone/>
                      <wp:docPr id="309" name="Frame30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38785" cy="175260"/>
                      <wp:effectExtent l="0" t="0" r="0" b="0"/>
                      <wp:wrapNone/>
                      <wp:docPr id="310" name="Frame31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2710" cy="175260"/>
                      <wp:effectExtent l="0" t="0" r="0" b="0"/>
                      <wp:wrapNone/>
                      <wp:docPr id="311" name="Frame31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4460" cy="175260"/>
                      <wp:effectExtent l="0" t="0" r="0" b="0"/>
                      <wp:wrapNone/>
                      <wp:docPr id="312" name="Frame31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38785" cy="175260"/>
                      <wp:effectExtent l="0" t="0" r="0" b="0"/>
                      <wp:wrapNone/>
                      <wp:docPr id="313" name="Frame31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92710" cy="175260"/>
                      <wp:effectExtent l="0" t="0" r="0" b="0"/>
                      <wp:wrapNone/>
                      <wp:docPr id="314" name="Frame31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24460" cy="175260"/>
                      <wp:effectExtent l="0" t="0" r="0" b="0"/>
                      <wp:wrapNone/>
                      <wp:docPr id="315" name="Frame31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81635" cy="175260"/>
                      <wp:effectExtent l="0" t="0" r="0" b="0"/>
                      <wp:wrapNone/>
                      <wp:docPr id="316" name="Frame316"/>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92710" cy="175260"/>
                      <wp:effectExtent l="0" t="0" r="0" b="0"/>
                      <wp:wrapNone/>
                      <wp:docPr id="317" name="Frame31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8" name="Frame31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81635" cy="175260"/>
                      <wp:effectExtent l="0" t="0" r="0" b="0"/>
                      <wp:wrapNone/>
                      <wp:docPr id="319" name="Frame319"/>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92710" cy="175260"/>
                      <wp:effectExtent l="0" t="0" r="0" b="0"/>
                      <wp:wrapNone/>
                      <wp:docPr id="320" name="Frame32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4460" cy="175260"/>
                      <wp:effectExtent l="0" t="0" r="0" b="0"/>
                      <wp:wrapNone/>
                      <wp:docPr id="321" name="Frame32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81635" cy="175260"/>
                      <wp:effectExtent l="0" t="0" r="0" b="0"/>
                      <wp:wrapNone/>
                      <wp:docPr id="322" name="Frame322"/>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92710" cy="175260"/>
                      <wp:effectExtent l="0" t="0" r="0" b="0"/>
                      <wp:wrapNone/>
                      <wp:docPr id="323" name="Frame32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50495" cy="175260"/>
                      <wp:effectExtent l="0" t="0" r="0" b="0"/>
                      <wp:wrapNone/>
                      <wp:docPr id="324" name="Frame324"/>
                      <a:graphic xmlns:a="http://schemas.openxmlformats.org/drawingml/2006/main">
                        <a:graphicData uri="http://schemas.microsoft.com/office/word/2010/wordprocessingShape">
                          <wps:wsp>
                            <wps:cNvSpPr txBox="1"/>
                            <wps:spPr>
                              <a:xfrm>
                                <a:off x="0" y="0"/>
                                <a:ext cx="150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95605" cy="175260"/>
                      <wp:effectExtent l="0" t="0" r="0" b="0"/>
                      <wp:wrapNone/>
                      <wp:docPr id="325" name="Frame325"/>
                      <a:graphic xmlns:a="http://schemas.openxmlformats.org/drawingml/2006/main">
                        <a:graphicData uri="http://schemas.microsoft.com/office/word/2010/wordprocessingShape">
                          <wps:wsp>
                            <wps:cNvSpPr txBox="1"/>
                            <wps:spPr>
                              <a:xfrm>
                                <a:off x="0" y="0"/>
                                <a:ext cx="395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96850" cy="175260"/>
                      <wp:effectExtent l="0" t="0" r="0" b="0"/>
                      <wp:wrapNone/>
                      <wp:docPr id="327" name="Frame327"/>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49250" cy="175260"/>
                      <wp:effectExtent l="0" t="0" r="0" b="0"/>
                      <wp:wrapNone/>
                      <wp:docPr id="328" name="Frame328"/>
                      <a:graphic xmlns:a="http://schemas.openxmlformats.org/drawingml/2006/main">
                        <a:graphicData uri="http://schemas.microsoft.com/office/word/2010/wordprocessingShape">
                          <wps:wsp>
                            <wps:cNvSpPr txBox="1"/>
                            <wps:spPr>
                              <a:xfrm>
                                <a:off x="0" y="0"/>
                                <a:ext cx="349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92710" cy="175260"/>
                      <wp:effectExtent l="0" t="0" r="0" b="0"/>
                      <wp:wrapNone/>
                      <wp:docPr id="329" name="Frame32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3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07365" cy="175260"/>
                      <wp:effectExtent l="0" t="0" r="0" b="0"/>
                      <wp:wrapNone/>
                      <wp:docPr id="331" name="Frame331"/>
                      <a:graphic xmlns:a="http://schemas.openxmlformats.org/drawingml/2006/main">
                        <a:graphicData uri="http://schemas.microsoft.com/office/word/2010/wordprocessingShape">
                          <wps:wsp>
                            <wps:cNvSpPr txBox="1"/>
                            <wps:spPr>
                              <a:xfrm>
                                <a:off x="0" y="0"/>
                                <a:ext cx="507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5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8808"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March 31, 2023</w:t>
            </w:r>
          </w:p>
        </w:tc>
      </w:tr>
      <w:tr>
        <w:trPr/>
        <w:tc>
          <w:tcPr>
            <w:tcW w:w="125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237" w:type="dxa"/>
            <w:tcBorders/>
            <w:shd w:fill="auto" w:val="clear"/>
            <w:vAlign w:val="center"/>
          </w:tcPr>
          <w:p>
            <w:pPr>
              <w:pStyle w:val="TableContents"/>
              <w:spacing w:before="0" w:after="0"/>
              <w:ind w:left="0" w:right="0" w:hanging="0"/>
              <w:jc w:val="center"/>
              <w:rPr/>
            </w:pPr>
            <w:r>
              <w:rPr/>
              <w:t>​</w:t>
            </w:r>
          </w:p>
        </w:tc>
        <w:tc>
          <w:tcPr>
            <w:tcW w:w="62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60"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99" w:type="dxa"/>
            <w:tcBorders/>
            <w:shd w:fill="auto" w:val="clear"/>
            <w:vAlign w:val="center"/>
          </w:tcPr>
          <w:p>
            <w:pPr>
              <w:pStyle w:val="TableContents"/>
              <w:spacing w:before="0" w:after="0"/>
              <w:ind w:left="0" w:right="0" w:hanging="0"/>
              <w:jc w:val="center"/>
              <w:rPr/>
            </w:pPr>
            <w:r>
              <w:rPr/>
              <w:t>​</w:t>
            </w:r>
          </w:p>
        </w:tc>
      </w:tr>
      <w:tr>
        <w:trPr/>
        <w:tc>
          <w:tcPr>
            <w:tcW w:w="12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CONSUMER LOANS</w:t>
            </w:r>
          </w:p>
        </w:tc>
        <w:tc>
          <w:tcPr>
            <w:tcW w:w="146" w:type="dxa"/>
            <w:tcBorders/>
            <w:shd w:fill="auto" w:val="clear"/>
            <w:vAlign w:val="center"/>
          </w:tcPr>
          <w:p>
            <w:pPr>
              <w:pStyle w:val="TableContents"/>
              <w:spacing w:before="0" w:after="0"/>
              <w:ind w:left="0" w:right="0" w:hanging="0"/>
              <w:rPr/>
            </w:pPr>
            <w:r>
              <w:rPr/>
              <w:t> </w:t>
            </w:r>
          </w:p>
        </w:tc>
        <w:tc>
          <w:tcPr>
            <w:tcW w:w="5692" w:type="dxa"/>
            <w:gridSpan w:val="1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60"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9" w:type="dxa"/>
            <w:tcBorders/>
            <w:shd w:fill="auto" w:val="clear"/>
            <w:vAlign w:val="center"/>
          </w:tcPr>
          <w:p>
            <w:pPr>
              <w:pStyle w:val="TableContents"/>
              <w:spacing w:before="0" w:after="0"/>
              <w:ind w:left="0" w:right="0" w:hanging="0"/>
              <w:rPr/>
            </w:pPr>
            <w:r>
              <w:rPr/>
              <w:t>​</w:t>
            </w:r>
          </w:p>
        </w:tc>
      </w:tr>
      <w:tr>
        <w:trPr/>
        <w:tc>
          <w:tcPr>
            <w:tcW w:w="12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Indirect home improvement</w:t>
            </w:r>
          </w:p>
        </w:tc>
        <w:tc>
          <w:tcPr>
            <w:tcW w:w="14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shd w:fill="auto" w:val="clear"/>
            <w:vAlign w:val="center"/>
          </w:tcPr>
          <w:p>
            <w:pPr>
              <w:pStyle w:val="TableContents"/>
              <w:spacing w:before="0" w:after="0"/>
              <w:ind w:left="0" w:right="0" w:hanging="0"/>
              <w:rPr/>
            </w:pPr>
            <w:r>
              <w:rPr/>
              <w:t> </w:t>
            </w:r>
          </w:p>
        </w:tc>
        <w:tc>
          <w:tcPr>
            <w:tcW w:w="8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2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57,646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247,305</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114,882</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43,379</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29,332</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37,806</w:t>
            </w:r>
          </w:p>
        </w:tc>
        <w:tc>
          <w:tcPr>
            <w:tcW w:w="14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50"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530,358</w:t>
            </w:r>
          </w:p>
        </w:tc>
      </w:tr>
      <w:tr>
        <w:trPr/>
        <w:tc>
          <w:tcPr>
            <w:tcW w:w="12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553</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14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r>
      <w:tr>
        <w:trPr/>
        <w:tc>
          <w:tcPr>
            <w:tcW w:w="12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indirect home improvement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57,646</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247,858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115,092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43,550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29,448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38,030</w:t>
            </w:r>
          </w:p>
        </w:tc>
        <w:tc>
          <w:tcPr>
            <w:tcW w:w="14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109"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531,632</w:t>
            </w:r>
          </w:p>
        </w:tc>
      </w:tr>
      <w:tr>
        <w:trPr/>
        <w:tc>
          <w:tcPr>
            <w:tcW w:w="12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Indirect home improvement gross charge-offs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14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jc w:val="right"/>
              <w:rPr/>
            </w:pPr>
            <w:r>
              <w:rPr/>
              <w:t>​</w:t>
            </w:r>
          </w:p>
        </w:tc>
        <w:tc>
          <w:tcPr>
            <w:tcW w:w="6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jc w:val="right"/>
              <w:rPr/>
            </w:pPr>
            <w:r>
              <w:rPr/>
              <w:t>​</w:t>
            </w:r>
          </w:p>
        </w:tc>
        <w:tc>
          <w:tcPr>
            <w:tcW w:w="55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w:t>
            </w:r>
          </w:p>
        </w:tc>
      </w:tr>
      <w:tr>
        <w:trPr/>
        <w:tc>
          <w:tcPr>
            <w:tcW w:w="12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Marine</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550"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99" w:type="dxa"/>
            <w:tcBorders/>
            <w:shd w:fill="CCEEFF" w:val="clear"/>
            <w:vAlign w:val="center"/>
          </w:tcPr>
          <w:p>
            <w:pPr>
              <w:pStyle w:val="TableContents"/>
              <w:spacing w:before="0" w:after="0"/>
              <w:ind w:left="0" w:right="0" w:hanging="0"/>
              <w:rPr/>
            </w:pPr>
            <w:r>
              <w:rPr/>
              <w:t>​</w:t>
            </w:r>
          </w:p>
        </w:tc>
      </w:tr>
      <w:tr>
        <w:trPr/>
        <w:tc>
          <w:tcPr>
            <w:tcW w:w="12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2,771</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27,023</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11,227</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14,905</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5,838</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8,821</w:t>
            </w:r>
          </w:p>
        </w:tc>
        <w:tc>
          <w:tcPr>
            <w:tcW w:w="14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55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70,585</w:t>
            </w:r>
          </w:p>
        </w:tc>
      </w:tr>
      <w:tr>
        <w:trPr/>
        <w:tc>
          <w:tcPr>
            <w:tcW w:w="12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14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409</w:t>
            </w:r>
          </w:p>
        </w:tc>
      </w:tr>
      <w:tr>
        <w:trPr/>
        <w:tc>
          <w:tcPr>
            <w:tcW w:w="12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marine</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27,072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11,323</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14,905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5,986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8,937</w:t>
            </w:r>
          </w:p>
        </w:tc>
        <w:tc>
          <w:tcPr>
            <w:tcW w:w="14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70,994</w:t>
            </w:r>
          </w:p>
        </w:tc>
      </w:tr>
      <w:tr>
        <w:trPr/>
        <w:tc>
          <w:tcPr>
            <w:tcW w:w="12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Marine gross charge-offs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14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jc w:val="right"/>
              <w:rPr/>
            </w:pPr>
            <w:r>
              <w:rPr/>
              <w:t>​</w:t>
            </w:r>
          </w:p>
        </w:tc>
        <w:tc>
          <w:tcPr>
            <w:tcW w:w="6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jc w:val="right"/>
              <w:rPr/>
            </w:pPr>
            <w:r>
              <w:rPr/>
              <w:t>​</w:t>
            </w:r>
          </w:p>
        </w:tc>
        <w:tc>
          <w:tcPr>
            <w:tcW w:w="550"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r>
      <w:tr>
        <w:trPr/>
        <w:tc>
          <w:tcPr>
            <w:tcW w:w="12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consumer</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37"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550"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9" w:type="dxa"/>
            <w:tcBorders/>
            <w:shd w:fill="auto" w:val="clear"/>
            <w:vAlign w:val="center"/>
          </w:tcPr>
          <w:p>
            <w:pPr>
              <w:pStyle w:val="TableContents"/>
              <w:spacing w:before="0" w:after="0"/>
              <w:ind w:left="0" w:right="0" w:hanging="0"/>
              <w:rPr/>
            </w:pPr>
            <w:r>
              <w:rPr/>
              <w:t>​</w:t>
            </w:r>
          </w:p>
        </w:tc>
      </w:tr>
      <w:tr>
        <w:trPr/>
        <w:tc>
          <w:tcPr>
            <w:tcW w:w="12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958</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146" w:type="dxa"/>
            <w:tcBorders/>
            <w:shd w:fill="CCEEFF" w:val="clear"/>
            <w:vAlign w:val="center"/>
          </w:tcPr>
          <w:p>
            <w:pPr>
              <w:pStyle w:val="TableContents"/>
              <w:spacing w:before="0" w:after="0"/>
              <w:ind w:left="0" w:right="0" w:hanging="0"/>
              <w:rPr/>
            </w:pPr>
            <w:r>
              <w:rPr/>
              <w:t>​</w:t>
            </w:r>
          </w:p>
        </w:tc>
        <w:tc>
          <w:tcPr>
            <w:tcW w:w="237"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2,282</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550"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9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4,036</w:t>
            </w:r>
          </w:p>
        </w:tc>
      </w:tr>
      <w:tr>
        <w:trPr/>
        <w:tc>
          <w:tcPr>
            <w:tcW w:w="12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shd w:fill="auto" w:val="clear"/>
            <w:vAlign w:val="center"/>
          </w:tcPr>
          <w:p>
            <w:pPr>
              <w:pStyle w:val="TableContents"/>
              <w:spacing w:before="0" w:after="0"/>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12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other consumer</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14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2,288</w:t>
            </w:r>
          </w:p>
        </w:tc>
        <w:tc>
          <w:tcPr>
            <w:tcW w:w="109"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4,042</w:t>
            </w:r>
          </w:p>
        </w:tc>
      </w:tr>
      <w:tr>
        <w:trPr/>
        <w:tc>
          <w:tcPr>
            <w:tcW w:w="125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consumer gross charge-offs</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109" w:type="dxa"/>
            <w:tcBorders/>
            <w:shd w:fill="auto" w:val="clear"/>
            <w:vAlign w:val="center"/>
          </w:tcPr>
          <w:p>
            <w:pPr>
              <w:pStyle w:val="TableContents"/>
              <w:spacing w:before="0" w:after="0"/>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5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r>
      <w:tr>
        <w:trPr/>
        <w:tc>
          <w:tcPr>
            <w:tcW w:w="125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consumer loans</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60,504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275,888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126,701</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58,602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35,461</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47,216</w:t>
            </w:r>
          </w:p>
        </w:tc>
        <w:tc>
          <w:tcPr>
            <w:tcW w:w="146" w:type="dxa"/>
            <w:tcBorders/>
            <w:shd w:fill="CCEEFF" w:val="clear"/>
            <w:vAlign w:val="center"/>
          </w:tcPr>
          <w:p>
            <w:pPr>
              <w:pStyle w:val="TableContents"/>
              <w:spacing w:before="0" w:after="0"/>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2,296</w:t>
            </w:r>
          </w:p>
        </w:tc>
        <w:tc>
          <w:tcPr>
            <w:tcW w:w="109"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9"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606,668</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500" w:name="Tc_jDiy-T33nUCcGI3sV5K6Hg_24_26"/>
      <w:bookmarkStart w:id="1501" w:name="Tc_z1aWeaGF7UO8BwgWE54O0Q_24_23"/>
      <w:bookmarkStart w:id="1502" w:name="Tc_1oxR6uTrAEeQl0BFgCCNvg_24_20"/>
      <w:bookmarkStart w:id="1503" w:name="Tc_AvxUEHMY80OLz78ibspqlQ_24_17"/>
      <w:bookmarkStart w:id="1504" w:name="Tc_Tr07-uSzu0iTM9cyN9E4Rg_24_14"/>
      <w:bookmarkStart w:id="1505" w:name="Tc_aMUjMDb3P06WefcuhF8wlA_24_11"/>
      <w:bookmarkStart w:id="1506" w:name="Tc_i5a2Zdu2E0aqm6FrHLJgxQ_24_8"/>
      <w:bookmarkStart w:id="1507" w:name="Tc_3tqovcHwQkGjsT-pG2qlzg_24_5"/>
      <w:bookmarkStart w:id="1508" w:name="Tc_BAJCGAHiTUysCYrTn9FrCA_24_2"/>
      <w:bookmarkStart w:id="1509" w:name="Tc_RUQJlANxA0aFCMLhHy4cqg_24_0"/>
      <w:bookmarkStart w:id="1510" w:name="Tc_oK2QEyYRYEm4A3GvFCl69g_23_24"/>
      <w:bookmarkStart w:id="1511" w:name="Tc_7aENk_aQDk-z0-NYO2m8eA_23_21"/>
      <w:bookmarkStart w:id="1512" w:name="Tc_s0h5oYcThk27ALXbx2dtBA_23_0"/>
      <w:bookmarkStart w:id="1513" w:name="Tc_Jjx7L7cAXUmyw_lcmiVqBQ_22_24"/>
      <w:bookmarkStart w:id="1514" w:name="Tc_1ytSfzrpxEiSXLWevxGUyQ_22_21"/>
      <w:bookmarkStart w:id="1515" w:name="Tc_lyIf2SfbqECjBLH5Y5QExQ_22_0"/>
      <w:bookmarkStart w:id="1516" w:name="Tc_vdv6pORo9kmDSfssT1-tIA_21_0"/>
      <w:bookmarkStart w:id="1517" w:name="Tc_1A8My6Bp20CRoic5iXqimQ_20_21"/>
      <w:bookmarkStart w:id="1518" w:name="Tc_S8tNIHcljECDmp60P-Lj8A_20_0"/>
      <w:bookmarkStart w:id="1519" w:name="Tc_sas5J5Ey90SBKkWe0BZ12g_19_24"/>
      <w:bookmarkStart w:id="1520" w:name="Tc_VKw70sWNeUS8Wj5IoxiJQA_19_21"/>
      <w:bookmarkStart w:id="1521" w:name="Tc_GftXpc63vkK_woMqO4GFrQ_19_12"/>
      <w:bookmarkStart w:id="1522" w:name="Tc_KyWstF8kXUi8XoIxvBXLkA_19_9"/>
      <w:bookmarkStart w:id="1523" w:name="Tc_c2YBDadE3EGfeXjCj0LMUw_19_6"/>
      <w:bookmarkStart w:id="1524" w:name="Tc_hTaDmRH22UeGM0m1PrM9PQ_19_3"/>
      <w:bookmarkStart w:id="1525" w:name="Tc_vkqq-U_wdUmsTA8617iw8w_19_0"/>
      <w:bookmarkStart w:id="1526" w:name="Tc_vjJn5SA5KEqkrNe6FkAFew_18_21"/>
      <w:bookmarkStart w:id="1527" w:name="Tc_03PmS6htpUmDMt81P5iw4Q_18_0"/>
      <w:bookmarkStart w:id="1528" w:name="Tc_4ulNWYs4Rk2H5ezRGXK-SA_17_0"/>
      <w:bookmarkStart w:id="1529" w:name="Tc_rYMFarKLNUOB9oSljALRRA_16_24"/>
      <w:bookmarkStart w:id="1530" w:name="Tc_XfQ0cJ4j70iKcFNYqH-6-Q_16_0"/>
      <w:bookmarkStart w:id="1531" w:name="Tc_y4QiUEhOxk-BYbsGQ2x6iw_15_24"/>
      <w:bookmarkStart w:id="1532" w:name="Tc_8laxIILFjUOXVVztriAdpw_15_21"/>
      <w:bookmarkStart w:id="1533" w:name="Tc_C1H2TIvZsky5ko69MHR4oQ_15_12"/>
      <w:bookmarkStart w:id="1534" w:name="Tc_kZqEx7JNn0W8sDZoYpcfyA_15_9"/>
      <w:bookmarkStart w:id="1535" w:name="Tc_AQWnv6FM7kymv_awmZ2QHw_15_6"/>
      <w:bookmarkStart w:id="1536" w:name="Tc_jh8p1xWFokCniOvINHYrbg_15_3"/>
      <w:bookmarkStart w:id="1537" w:name="Tc_ZXAMiz4k2UWROK6kdZKa6w_15_0"/>
      <w:bookmarkStart w:id="1538" w:name="Tc_sc-yy-ynW0eg4t79QGH-Dw_14_24"/>
      <w:bookmarkStart w:id="1539" w:name="Tc_p52eUthtrk6B8nPS5FwIGA_14_0"/>
      <w:bookmarkStart w:id="1540" w:name="Tc_85izstk2sE6w7V0zMZD-OQ_13_0"/>
      <w:bookmarkStart w:id="1541" w:name="Tc_qGlJgXxkRU2xtZwtz1eJaQ_12_24"/>
      <w:bookmarkStart w:id="1542" w:name="Tc_uhMnYHvyN0CFB5WnCBA7GA_12_21"/>
      <w:bookmarkStart w:id="1543" w:name="Tc_lNyG7uLB8kO03-lGQtoD8A_12_15"/>
      <w:bookmarkStart w:id="1544" w:name="Tc_udHXI3iFdEiCM2MOfLjPBA_12_0"/>
      <w:bookmarkStart w:id="1545" w:name="Tc_E5WV_WJlhEGnw-wJyWAYuQ_11_24"/>
      <w:bookmarkStart w:id="1546" w:name="Tc_h85s7cXRdUW1tjyZeY9EzA_11_21"/>
      <w:bookmarkStart w:id="1547" w:name="Tc_VoaWkbmDR0S4WJA-bnxgmA_11_15"/>
      <w:bookmarkStart w:id="1548" w:name="Tc_rmhfruibJEqI1vQp836_Hg_11_0"/>
      <w:bookmarkStart w:id="1549" w:name="Tc_tgdSznYxzEaGTLQNk4jyCQ_10_0"/>
      <w:bookmarkStart w:id="1550" w:name="Tc_TeiLhovUXUKMpFMCHmP3cQ_9_24"/>
      <w:bookmarkStart w:id="1551" w:name="Tc_slRlelJDUEWeQFTm5-wwfQ_9_21"/>
      <w:bookmarkStart w:id="1552" w:name="Tc_bXHUzV_3KESnnYiCJexQRw_9_0"/>
      <w:bookmarkStart w:id="1553" w:name="Tc_pYw4AU2PW0uKb6-KZC3QKQ_8_24"/>
      <w:bookmarkStart w:id="1554" w:name="Tc_3ZqLUR_hoU21M1L23p1BcQ_8_21"/>
      <w:bookmarkStart w:id="1555" w:name="Tc_yU37Wyrzm0KEP7kEniGxvw_8_12"/>
      <w:bookmarkStart w:id="1556" w:name="Tc_PYLQYsZqME-cUEhBeqjuyQ_8_9"/>
      <w:bookmarkStart w:id="1557" w:name="Tc_ANepTrSkXUOg1QLd0MnNHw_8_6"/>
      <w:bookmarkStart w:id="1558" w:name="Tc_DNkrPVhcnUSxek_HqECzcw_8_3"/>
      <w:bookmarkStart w:id="1559" w:name="Tc_QahcnurXNU2GZuKYiMaNTQ_8_0"/>
      <w:bookmarkStart w:id="1560" w:name="Tc_FlCN8lyejUeiNjddXkno7A_7_24"/>
      <w:bookmarkStart w:id="1561" w:name="Tc_O-XOt5TZc0yLoAZsrsIh5Q_7_21"/>
      <w:bookmarkStart w:id="1562" w:name="Tc_becLEq16OUCuBHQVPJQTGw_7_18"/>
      <w:bookmarkStart w:id="1563" w:name="Tc_bC9VC9u67kGP0AEQCbSOgQ_7_15"/>
      <w:bookmarkStart w:id="1564" w:name="Tc_UFEfexwu50i5orfkWXNY2g_7_9"/>
      <w:bookmarkStart w:id="1565" w:name="Tc_KifCpo54fUWFfFQVrr6Q_Q_7_6"/>
      <w:bookmarkStart w:id="1566" w:name="Tc_AFj6F5mSDk60Ty4_QB9XCg_7_3"/>
      <w:bookmarkStart w:id="1567" w:name="Tc_CBdzPF_7Zkuu8mr1Z3cgug_7_0"/>
      <w:bookmarkStart w:id="1568" w:name="Tc__WMcckBv2Eqg-Dty09mrow_6_24"/>
      <w:bookmarkStart w:id="1569" w:name="Tc_lM5zjKFJSECQusoREq1joQ_6_21"/>
      <w:bookmarkStart w:id="1570" w:name="Tc_mLnhr5SYsEOF5fZ_Pe75sA_6_18"/>
      <w:bookmarkStart w:id="1571" w:name="Tc_vVqgsFZ1UEW-ghR7aNljtA_6_15"/>
      <w:bookmarkStart w:id="1572" w:name="Tc_HWzTjZKRJUu4ouCvT3CRsA_6_12"/>
      <w:bookmarkStart w:id="1573" w:name="Tc_5_2s0jAkXE6kOvMTm8lUPw_6_6"/>
      <w:bookmarkStart w:id="1574" w:name="Tc_zZ9aKMcZpkCi0wJryDvzbQ_6_0"/>
      <w:bookmarkStart w:id="1575" w:name="Tc_bjywJgNDrUa_28C5Lgw9ug_5_26"/>
      <w:bookmarkStart w:id="1576" w:name="Tc_3TEE4NZ0dkODn3RroV8Ftw_5_24"/>
      <w:bookmarkStart w:id="1577" w:name="Tc_Y_8RV1zmHUmmTjErvsqVuA_5_23"/>
      <w:bookmarkStart w:id="1578" w:name="Tc_yZQW3IQoNUihoNXm1ZcnwA_5_21"/>
      <w:bookmarkStart w:id="1579" w:name="Tc_M6UkBF_n6kC-6OYj8qu4BA_5_20"/>
      <w:bookmarkStart w:id="1580" w:name="Tc_P2d4K1mpz0WG3HbOxQUv2A_5_17"/>
      <w:bookmarkStart w:id="1581" w:name="Tc_XLJfL6s6m02oFylbsnbO7Q_5_14"/>
      <w:bookmarkStart w:id="1582" w:name="Tc_k4fjq0d8qkC1rfsir2gEGw_5_11"/>
      <w:bookmarkStart w:id="1583" w:name="Tc_Ows73c-taEa-4hIUBwLhAg_5_8"/>
      <w:bookmarkStart w:id="1584" w:name="Tc_Td6Ci6tdQEOmeYn4Wh88rQ_5_5"/>
      <w:bookmarkStart w:id="1585" w:name="Tc_g_OSrpMkbUOOJSOw9Td2FQ_5_2"/>
      <w:bookmarkStart w:id="1586" w:name="Tc_WK__11lPN06m8M4OZq1XIg_5_0"/>
      <w:bookmarkStart w:id="1587" w:name="Tc_Ff2LjP4JjUWcGZbN-JkiNQ_4_26"/>
      <w:bookmarkStart w:id="1588" w:name="Tc_Uq4FYysOwk-_j6QNaeLaTA_4_23"/>
      <w:bookmarkStart w:id="1589" w:name="Tc_k8526vg56UepQcbPLPK-_g_4_20"/>
      <w:bookmarkStart w:id="1590" w:name="Tc_45bHVDihSE-mGaoSTaBpIw_4_17"/>
      <w:bookmarkStart w:id="1591" w:name="Tc_GocrEuajgECic2mnwiRxRw_4_14"/>
      <w:bookmarkStart w:id="1592" w:name="Tc_Z_zIrr0qsUSHH3sgB7VM9Q_4_11"/>
      <w:bookmarkStart w:id="1593" w:name="Tc__o1cZiOPXEeQxaO8kvSGgA_4_8"/>
      <w:bookmarkStart w:id="1594" w:name="Tc_xNE4xDv7gE6WIxG7wm4G8Q_4_5"/>
      <w:bookmarkStart w:id="1595" w:name="Tc_siOEWEHytEWEOITSsNXxwQ_4_2"/>
      <w:bookmarkStart w:id="1596" w:name="Tc_9oQ5pM2q_kWr5VcGbVgs3g_4_0"/>
      <w:bookmarkStart w:id="1597" w:name="Tc_M55qBbT4z0WUeb9dTDWO9A_3_23"/>
      <w:bookmarkStart w:id="1598" w:name="Tc_80wX_NA0PEibdH1rr_J_-w_3_2"/>
      <w:bookmarkStart w:id="1599" w:name="Tc_8Nbb4ixp60uYXcI0KpQUtA_3_0"/>
      <w:bookmarkStart w:id="1600" w:name="Tc_mupUBwCb9kyjEsWNy05fwg_2_23"/>
      <w:bookmarkStart w:id="1601" w:name="Tc_ptQcDxaY30K_ZOeulgYs1g_1_2"/>
      <w:bookmarkStart w:id="1602" w:name="_6bd62d4d_2942_43ab_a3fc_9366a0ae4540"/>
      <w:bookmarkStart w:id="1603" w:name="Tc_SFcCcgRLmE2GsAlI_PaxJQ_23_26"/>
      <w:bookmarkStart w:id="1604" w:name="Tc_0II_HsGFAk-pzQ0AafShEQ_23_24"/>
      <w:bookmarkStart w:id="1605" w:name="Tc_1_Tj7pDdkU2MBQjANxtHqw_23_23"/>
      <w:bookmarkStart w:id="1606" w:name="Tc_iFURhB_PREeBp1_tTdy6uQ_23_20"/>
      <w:bookmarkStart w:id="1607" w:name="Tc_dtpWaAVdUkOlmRpWY9LCEw_23_17"/>
      <w:bookmarkStart w:id="1608" w:name="Tc_N2bqmVLBTE-70EyXYFWgog_23_14"/>
      <w:bookmarkStart w:id="1609" w:name="Tc_osQPjtWkHEiQiN9IIHrO_Q_23_11"/>
      <w:bookmarkStart w:id="1610" w:name="Tc_L0b55RcDqkGkimANqoUnjA_23_8"/>
      <w:bookmarkStart w:id="1611" w:name="Tc_cF5wRVaXckyuQmkYjCDhNg_23_5"/>
      <w:bookmarkStart w:id="1612" w:name="Tc_TO5LYQmfU0iq-pigYiaL5Q_23_3"/>
      <w:bookmarkStart w:id="1613" w:name="Tc_OpdqK2hZjEOw18K6AeftxA_23_2"/>
      <w:bookmarkStart w:id="1614" w:name="Tc_JDcCwPnL2U2MlfPVhASCvw_23_0"/>
      <w:bookmarkStart w:id="1615" w:name="Tc_2vh7rdXmGEake-d2e6B7hA_22_26"/>
      <w:bookmarkStart w:id="1616" w:name="Tc_h-iVcTfQSEO5Kr_NNKXWjQ_22_23"/>
      <w:bookmarkStart w:id="1617" w:name="Tc_47Fkjw2RxkKjh_EzyCML_w_22_20"/>
      <w:bookmarkStart w:id="1618" w:name="Tc_HqOzxAhOp0mhji2yrEeLUQ_22_17"/>
      <w:bookmarkStart w:id="1619" w:name="Tc_LwmTm4JkCk2VOEmasGLm8Q_22_14"/>
      <w:bookmarkStart w:id="1620" w:name="Tc_2yQrgqyjGEOxScG9oLnWMg_22_11"/>
      <w:bookmarkStart w:id="1621" w:name="Tc_Ese55D-2kUaueckKpBdngw_22_8"/>
      <w:bookmarkStart w:id="1622" w:name="Tc_mfwubuUx-UaYAOvSfHoWwg_22_5"/>
      <w:bookmarkStart w:id="1623" w:name="Tc_RrcKjnBqNkaGjvNrzQ2RgA_22_2"/>
      <w:bookmarkStart w:id="1624" w:name="Tc_nhtv3JbOYUSmF58mGEACBw_22_0"/>
      <w:bookmarkStart w:id="1625" w:name="Tc__M0gCGcMDkuYQiHgeR0X1g_21_24"/>
      <w:bookmarkStart w:id="1626" w:name="Tc_LRcVPkflG0qpnUhB9okwAA_21_0"/>
      <w:bookmarkStart w:id="1627" w:name="Tc_t1G_42QFxEuDTyloISsrLw_20_24"/>
      <w:bookmarkStart w:id="1628" w:name="Tc_3e0GEuwWsU2RqPCmk8m0Zg_20_18"/>
      <w:bookmarkStart w:id="1629" w:name="Tc_yxwIhqXnR0yu-YC6pQYpaA_20_12"/>
      <w:bookmarkStart w:id="1630" w:name="Tc_-dnv7XPzD0a64w_0tdRsmg_20_9"/>
      <w:bookmarkStart w:id="1631" w:name="Tc_t4AOvhHVTUKPbJtMopMKLw_20_6"/>
      <w:bookmarkStart w:id="1632" w:name="Tc_z_twRoj0c0OfJsRUixNWQA_20_3"/>
      <w:bookmarkStart w:id="1633" w:name="Tc_tJiVrATYIUSaOsMv3SFWww_20_0"/>
      <w:bookmarkStart w:id="1634" w:name="Tc_0kAQ8WRIbES25_HY0CgD0A_19_24"/>
      <w:bookmarkStart w:id="1635" w:name="Tc_id4kbuYRg0CMhxTVU6UM3A_19_15"/>
      <w:bookmarkStart w:id="1636" w:name="Tc_AP-u8OxYpEy1j5kQqaWSYg_19_3"/>
      <w:bookmarkStart w:id="1637" w:name="Tc_cVq0oOtdAkm0RykORtoW5w_19_0"/>
      <w:bookmarkStart w:id="1638" w:name="Tc_tJLJZbZkWESVKQLcaj1QKA_18_26"/>
      <w:bookmarkStart w:id="1639" w:name="Tc_1zUh3GoHokCzVEt_ycW0cQ_18_23"/>
      <w:bookmarkStart w:id="1640" w:name="Tc_PCb1Z1e1rE-YVFRq6J5GVA_18_20"/>
      <w:bookmarkStart w:id="1641" w:name="Tc_HfOBQkYU-U2aXX1Ndg2YsA_18_17"/>
      <w:bookmarkStart w:id="1642" w:name="Tc_n6R26Vs_iEym8dsAtC6Z1g_18_14"/>
      <w:bookmarkStart w:id="1643" w:name="Tc_hqUJxGpXfUu-6NYQlToLJg_18_11"/>
      <w:bookmarkStart w:id="1644" w:name="Tc_q5YQSKVQr062QaZx9P6A5w_18_8"/>
      <w:bookmarkStart w:id="1645" w:name="Tc_H5DcnjGZb0iGV0YfMH3EYQ_18_5"/>
      <w:bookmarkStart w:id="1646" w:name="Tc_fNGvJLSIAkiCzg24lWaFdg_18_2"/>
      <w:bookmarkStart w:id="1647" w:name="Tc_RN6XSHNDJUKT-hEzXQtWLw_18_0"/>
      <w:bookmarkStart w:id="1648" w:name="Tc_cNfc37OB_kCV6zQ53_r8SA_17_0"/>
      <w:bookmarkStart w:id="1649" w:name="Tc_R9rX9PWuOkavdYMDxP6XRw_15_26"/>
      <w:bookmarkStart w:id="1650" w:name="Tc_OhtHqBN5CkWpPRzWtu_I4w_15_23"/>
      <w:bookmarkStart w:id="1651" w:name="Tc_Opv_nZUzUkeFuEWCTqOKYg_15_20"/>
      <w:bookmarkStart w:id="1652" w:name="Tc_5oFCs933IkeocNZLpZ27wg_15_17"/>
      <w:bookmarkStart w:id="1653" w:name="Tc_lMGYvjojs0upF1xPSTgkPQ_15_14"/>
      <w:bookmarkStart w:id="1654" w:name="Tc_mVuCEgu73ku4zrqmF7SIbQ_15_11"/>
      <w:bookmarkStart w:id="1655" w:name="Tc_6dQan2gwq0S8_nIbZHPPxA_15_8"/>
      <w:bookmarkStart w:id="1656" w:name="Tc_TGp2kyHrL0uuznW3RAHBxQ_15_5"/>
      <w:bookmarkStart w:id="1657" w:name="Tc_jH-dW2AnWU-1kH5ZsHX9eg_15_2"/>
      <w:bookmarkStart w:id="1658" w:name="Tc_AbMJZvWV4kmAd8Af-zEJPQ_15_0"/>
      <w:bookmarkStart w:id="1659" w:name="Tc_ZwaCCG1G00-mZHtLhRzqgQ_14_24"/>
      <w:bookmarkStart w:id="1660" w:name="Tc_ifQHqRzTG0aWxmPS8UtQBA_14_18"/>
      <w:bookmarkStart w:id="1661" w:name="Tc_YpZSIjIE3U-3bcp2miudfQ_14_15"/>
      <w:bookmarkStart w:id="1662" w:name="Tc_y8eiJr7mFUWMLl7NALAwtA_14_12"/>
      <w:bookmarkStart w:id="1663" w:name="Tc_K2eRXbk-WEanmP6krESWFA_14_9"/>
      <w:bookmarkStart w:id="1664" w:name="Tc_1fvG2Llq5UWhkHux6vQ4Ig_14_6"/>
      <w:bookmarkStart w:id="1665" w:name="Tc_vOgq8GCOg0CJ-9CBtG3YMw_14_3"/>
      <w:bookmarkStart w:id="1666" w:name="Tc_KfKI6KFfNk6nbjxe8lkVJA_14_0"/>
      <w:bookmarkStart w:id="1667" w:name="Tc_SA1Xuu7AIUSIC_c3Nke9qQ_13_24"/>
      <w:bookmarkStart w:id="1668" w:name="Tc_WBw0OkyjGEW-BiFDPr0Nwg_13_18"/>
      <w:bookmarkStart w:id="1669" w:name="Tc_NGmddaHFXECQ4KaiZC0QNA_13_15"/>
      <w:bookmarkStart w:id="1670" w:name="Tc_AnB69KRJPUeUgjVcLSSWTA_13_12"/>
      <w:bookmarkStart w:id="1671" w:name="Tc_dza-1BNhNEGcfxFJu-VYzg_13_9"/>
      <w:bookmarkStart w:id="1672" w:name="Tc_o3eiSYE2kE-NH9U5hN3rIQ_13_6"/>
      <w:bookmarkStart w:id="1673" w:name="Tc_MA1cxdYkXku1bhEzBG-5iw_13_3"/>
      <w:bookmarkStart w:id="1674" w:name="Tc_pWDNUgz9Gk2YB1zxwtvmgA_13_0"/>
      <w:bookmarkStart w:id="1675" w:name="Tc_gcg30lL10kOPjezpdcF6RQ_12_24"/>
      <w:bookmarkStart w:id="1676" w:name="Tc_A3SIcs4wYkOwh51Cvu8OAg_12_18"/>
      <w:bookmarkStart w:id="1677" w:name="Tc_HPZDCQ0A_UamcuIgcmF3Jw_12_15"/>
      <w:bookmarkStart w:id="1678" w:name="Tc_qLDx30ues0mr2o5mviPrDA_12_12"/>
      <w:bookmarkStart w:id="1679" w:name="Tc_vewcXZ8I9Eq4-czQfgsZXg_12_9"/>
      <w:bookmarkStart w:id="1680" w:name="Tc_gNx2Pmf-M0yqmSBr1YdQCg_12_6"/>
      <w:bookmarkStart w:id="1681" w:name="Tc_pddW-f5MlECjtk_E8WG4XQ_12_3"/>
      <w:bookmarkStart w:id="1682" w:name="Tc_yySJb2g18UujAGP7f1o3sw_12_0"/>
      <w:bookmarkStart w:id="1683" w:name="Tc_BksO-Oqa5EK5eWHGi7K2Ww_11_0"/>
      <w:bookmarkStart w:id="1684" w:name="Tc_PxFHZi0IB0qAaCU2Jypamw_10_24"/>
      <w:bookmarkStart w:id="1685" w:name="Tc_LMFx-rDVbkeHDzga6kQoig_10_21"/>
      <w:bookmarkStart w:id="1686" w:name="Tc_KwOlLVYYJ069uwO1MStEdA_10_18"/>
      <w:bookmarkStart w:id="1687" w:name="Tc_CbdknWixBkmQI_q9g4bLqA_10_15"/>
      <w:bookmarkStart w:id="1688" w:name="Tc_Z-2c3wpy3UeOxz40hBjPfQ_10_12"/>
      <w:bookmarkStart w:id="1689" w:name="Tc_lS97GS6_y0iJx7zRGAb_Lw_10_6"/>
      <w:bookmarkStart w:id="1690" w:name="Tc_aTux68__50690PuuRcRskw_10_3"/>
      <w:bookmarkStart w:id="1691" w:name="Tc_zkPC0z4x9kWKozLEESyVKQ_10_0"/>
      <w:bookmarkStart w:id="1692" w:name="Tc_uBm6hegJeU-yVqR-ABodvw_9_0"/>
      <w:bookmarkStart w:id="1693" w:name="Tc_1V2e9fokv0aVmhUFyxz-gw_8_24"/>
      <w:bookmarkStart w:id="1694" w:name="Tc_NG2IOReXq0KyfkQGyl2VPg_8_6"/>
      <w:bookmarkStart w:id="1695" w:name="Tc_HWqg8H72pUyRp82AX0zAmQ_8_0"/>
      <w:bookmarkStart w:id="1696" w:name="Tc_nTkWvGCFjUahgch19D5Sjw_7_24"/>
      <w:bookmarkStart w:id="1697" w:name="Tc_8CC8pQtjfEqmNWOoHIaMPg_7_18"/>
      <w:bookmarkStart w:id="1698" w:name="Tc_jQIDnJcd0kmbo7twVxhn3A_7_12"/>
      <w:bookmarkStart w:id="1699" w:name="Tc_jh1Sq64wR0Stloq6jsIN_Q_7_9"/>
      <w:bookmarkStart w:id="1700" w:name="Tc_MUuwnB0JqE2o2N6dxXvlxw_7_6"/>
      <w:bookmarkStart w:id="1701" w:name="Tc_do7u0Fn-REK3KcvtVAnIKg_7_3"/>
      <w:bookmarkStart w:id="1702" w:name="Tc_N6Hhh69I_UKklcnKshy1nA_7_0"/>
      <w:bookmarkStart w:id="1703" w:name="Tc_avapCrpPWUK9Kyh31WAnsA_6_24"/>
      <w:bookmarkStart w:id="1704" w:name="Tc__tQWRS7zQkqsKyCNQJSF5Q_6_15"/>
      <w:bookmarkStart w:id="1705" w:name="Tc_3TTasAAU5kOB1hts4NsnFg_6_6"/>
      <w:bookmarkStart w:id="1706" w:name="Tc_NsHDt5aUa0eaVygDLrn1vQ_6_3"/>
      <w:bookmarkStart w:id="1707" w:name="Tc_nhZ1tjb2m0-beTN-uiCUyg_6_0"/>
      <w:bookmarkStart w:id="1708" w:name="Tc_5zEauPrKOUawVtnLgyJ-6w_5_26"/>
      <w:bookmarkStart w:id="1709" w:name="Tc_NtdpycnuxkCFM9C7CYdbMA_5_23"/>
      <w:bookmarkStart w:id="1710" w:name="Tc_gKrsPBJd-EO5QdYvQKYOLA_5_20"/>
      <w:bookmarkStart w:id="1711" w:name="Tc_8TmUieEBxkmz3VI6uwQgeA_5_17"/>
      <w:bookmarkStart w:id="1712" w:name="Tc_FAb1Ajj3n0SFU2FmBIkITQ_5_14"/>
      <w:bookmarkStart w:id="1713" w:name="Tc_697Gn3vK-0ikfRZkjokngQ_5_11"/>
      <w:bookmarkStart w:id="1714" w:name="Tc_mm86m3o15UW9Ky8qrdrk7Q_5_8"/>
      <w:bookmarkStart w:id="1715" w:name="Tc_at6_-RzXgUWZ8aw-GdD1iA_5_5"/>
      <w:bookmarkStart w:id="1716" w:name="Tc_aSGOyQOW3kukqeKtxYqSNg_5_2"/>
      <w:bookmarkStart w:id="1717" w:name="Tc_bf41Ms8tmEuw6y4KPa0-UA_5_0"/>
      <w:bookmarkStart w:id="1718" w:name="Tc_LunIQfe3UUu2hJMnjyw55w_4_26"/>
      <w:bookmarkStart w:id="1719" w:name="Tc_PT43VrM3CEuoxN3pqZxhMw_4_23"/>
      <w:bookmarkStart w:id="1720" w:name="Tc_3VsqIoa09EWaq7oodM7n3w_4_20"/>
      <w:bookmarkStart w:id="1721" w:name="Tc_FoBhDlqtCU-864GByWeqDQ_4_17"/>
      <w:bookmarkStart w:id="1722" w:name="Tc_wVEt_Ao5H0iHH6_Pvy7AHg_4_14"/>
      <w:bookmarkStart w:id="1723" w:name="Tc_u-xDq4aQ40eauifoNPCHfA_4_11"/>
      <w:bookmarkStart w:id="1724" w:name="Tc_T3LlqfPrcEOPZMeyLf6h-A_4_8"/>
      <w:bookmarkStart w:id="1725" w:name="Tc_NoVRnKEFRE2eCmfOITYh4A_4_5"/>
      <w:bookmarkStart w:id="1726" w:name="Tc_U3sLKVQpCkW1GDqOQ8vHww_4_2"/>
      <w:bookmarkStart w:id="1727" w:name="Tc_ODXGz42SI02rGy8DKZmEdQ_4_0"/>
      <w:bookmarkStart w:id="1728" w:name="Tc_ilNLc-L3bUufoIdzBP5qew_3_23"/>
      <w:bookmarkStart w:id="1729" w:name="Tc_cPFxlwmPi0ioUugKUumJpg_3_2"/>
      <w:bookmarkStart w:id="1730" w:name="Tc_n7mWwfOctECloFyWuZ9DuQ_3_0"/>
      <w:bookmarkStart w:id="1731" w:name="Tc_zI2HDhmW60yJGXiyUrLZvw_2_23"/>
      <w:bookmarkStart w:id="1732" w:name="Tc_x-y4uRE4akytHmOJsCJfLA_2_0"/>
      <w:bookmarkStart w:id="1733" w:name="Tc_XDf9k4-OWUu2z4UqdTG5FQ_1_2"/>
      <w:bookmarkStart w:id="1734" w:name="_ad32d3a2_077f_43da_a333_3656a7d940f6"/>
      <w:bookmarkStart w:id="1735" w:name="Tc_jDiy-T33nUCcGI3sV5K6Hg_24_26"/>
      <w:bookmarkStart w:id="1736" w:name="Tc_z1aWeaGF7UO8BwgWE54O0Q_24_23"/>
      <w:bookmarkStart w:id="1737" w:name="Tc_1oxR6uTrAEeQl0BFgCCNvg_24_20"/>
      <w:bookmarkStart w:id="1738" w:name="Tc_AvxUEHMY80OLz78ibspqlQ_24_17"/>
      <w:bookmarkStart w:id="1739" w:name="Tc_Tr07-uSzu0iTM9cyN9E4Rg_24_14"/>
      <w:bookmarkStart w:id="1740" w:name="Tc_aMUjMDb3P06WefcuhF8wlA_24_11"/>
      <w:bookmarkStart w:id="1741" w:name="Tc_i5a2Zdu2E0aqm6FrHLJgxQ_24_8"/>
      <w:bookmarkStart w:id="1742" w:name="Tc_3tqovcHwQkGjsT-pG2qlzg_24_5"/>
      <w:bookmarkStart w:id="1743" w:name="Tc_BAJCGAHiTUysCYrTn9FrCA_24_2"/>
      <w:bookmarkStart w:id="1744" w:name="Tc_RUQJlANxA0aFCMLhHy4cqg_24_0"/>
      <w:bookmarkStart w:id="1745" w:name="Tc_oK2QEyYRYEm4A3GvFCl69g_23_24"/>
      <w:bookmarkStart w:id="1746" w:name="Tc_7aENk_aQDk-z0-NYO2m8eA_23_21"/>
      <w:bookmarkStart w:id="1747" w:name="Tc_s0h5oYcThk27ALXbx2dtBA_23_0"/>
      <w:bookmarkStart w:id="1748" w:name="Tc_Jjx7L7cAXUmyw_lcmiVqBQ_22_24"/>
      <w:bookmarkStart w:id="1749" w:name="Tc_1ytSfzrpxEiSXLWevxGUyQ_22_21"/>
      <w:bookmarkStart w:id="1750" w:name="Tc_lyIf2SfbqECjBLH5Y5QExQ_22_0"/>
      <w:bookmarkStart w:id="1751" w:name="Tc_vdv6pORo9kmDSfssT1-tIA_21_0"/>
      <w:bookmarkStart w:id="1752" w:name="Tc_1A8My6Bp20CRoic5iXqimQ_20_21"/>
      <w:bookmarkStart w:id="1753" w:name="Tc_S8tNIHcljECDmp60P-Lj8A_20_0"/>
      <w:bookmarkStart w:id="1754" w:name="Tc_sas5J5Ey90SBKkWe0BZ12g_19_24"/>
      <w:bookmarkStart w:id="1755" w:name="Tc_VKw70sWNeUS8Wj5IoxiJQA_19_21"/>
      <w:bookmarkStart w:id="1756" w:name="Tc_GftXpc63vkK_woMqO4GFrQ_19_12"/>
      <w:bookmarkStart w:id="1757" w:name="Tc_KyWstF8kXUi8XoIxvBXLkA_19_9"/>
      <w:bookmarkStart w:id="1758" w:name="Tc_c2YBDadE3EGfeXjCj0LMUw_19_6"/>
      <w:bookmarkStart w:id="1759" w:name="Tc_hTaDmRH22UeGM0m1PrM9PQ_19_3"/>
      <w:bookmarkStart w:id="1760" w:name="Tc_vkqq-U_wdUmsTA8617iw8w_19_0"/>
      <w:bookmarkStart w:id="1761" w:name="Tc_vjJn5SA5KEqkrNe6FkAFew_18_21"/>
      <w:bookmarkStart w:id="1762" w:name="Tc_03PmS6htpUmDMt81P5iw4Q_18_0"/>
      <w:bookmarkStart w:id="1763" w:name="Tc_4ulNWYs4Rk2H5ezRGXK-SA_17_0"/>
      <w:bookmarkStart w:id="1764" w:name="Tc_rYMFarKLNUOB9oSljALRRA_16_24"/>
      <w:bookmarkStart w:id="1765" w:name="Tc_XfQ0cJ4j70iKcFNYqH-6-Q_16_0"/>
      <w:bookmarkStart w:id="1766" w:name="Tc_y4QiUEhOxk-BYbsGQ2x6iw_15_24"/>
      <w:bookmarkStart w:id="1767" w:name="Tc_8laxIILFjUOXVVztriAdpw_15_21"/>
      <w:bookmarkStart w:id="1768" w:name="Tc_C1H2TIvZsky5ko69MHR4oQ_15_12"/>
      <w:bookmarkStart w:id="1769" w:name="Tc_kZqEx7JNn0W8sDZoYpcfyA_15_9"/>
      <w:bookmarkStart w:id="1770" w:name="Tc_AQWnv6FM7kymv_awmZ2QHw_15_6"/>
      <w:bookmarkStart w:id="1771" w:name="Tc_jh8p1xWFokCniOvINHYrbg_15_3"/>
      <w:bookmarkStart w:id="1772" w:name="Tc_ZXAMiz4k2UWROK6kdZKa6w_15_0"/>
      <w:bookmarkStart w:id="1773" w:name="Tc_sc-yy-ynW0eg4t79QGH-Dw_14_24"/>
      <w:bookmarkStart w:id="1774" w:name="Tc_p52eUthtrk6B8nPS5FwIGA_14_0"/>
      <w:bookmarkStart w:id="1775" w:name="Tc_85izstk2sE6w7V0zMZD-OQ_13_0"/>
      <w:bookmarkStart w:id="1776" w:name="Tc_qGlJgXxkRU2xtZwtz1eJaQ_12_24"/>
      <w:bookmarkStart w:id="1777" w:name="Tc_uhMnYHvyN0CFB5WnCBA7GA_12_21"/>
      <w:bookmarkStart w:id="1778" w:name="Tc_lNyG7uLB8kO03-lGQtoD8A_12_15"/>
      <w:bookmarkStart w:id="1779" w:name="Tc_udHXI3iFdEiCM2MOfLjPBA_12_0"/>
      <w:bookmarkStart w:id="1780" w:name="Tc_E5WV_WJlhEGnw-wJyWAYuQ_11_24"/>
      <w:bookmarkStart w:id="1781" w:name="Tc_h85s7cXRdUW1tjyZeY9EzA_11_21"/>
      <w:bookmarkStart w:id="1782" w:name="Tc_VoaWkbmDR0S4WJA-bnxgmA_11_15"/>
      <w:bookmarkStart w:id="1783" w:name="Tc_rmhfruibJEqI1vQp836_Hg_11_0"/>
      <w:bookmarkStart w:id="1784" w:name="Tc_tgdSznYxzEaGTLQNk4jyCQ_10_0"/>
      <w:bookmarkStart w:id="1785" w:name="Tc_TeiLhovUXUKMpFMCHmP3cQ_9_24"/>
      <w:bookmarkStart w:id="1786" w:name="Tc_slRlelJDUEWeQFTm5-wwfQ_9_21"/>
      <w:bookmarkStart w:id="1787" w:name="Tc_bXHUzV_3KESnnYiCJexQRw_9_0"/>
      <w:bookmarkStart w:id="1788" w:name="Tc_pYw4AU2PW0uKb6-KZC3QKQ_8_24"/>
      <w:bookmarkStart w:id="1789" w:name="Tc_3ZqLUR_hoU21M1L23p1BcQ_8_21"/>
      <w:bookmarkStart w:id="1790" w:name="Tc_yU37Wyrzm0KEP7kEniGxvw_8_12"/>
      <w:bookmarkStart w:id="1791" w:name="Tc_PYLQYsZqME-cUEhBeqjuyQ_8_9"/>
      <w:bookmarkStart w:id="1792" w:name="Tc_ANepTrSkXUOg1QLd0MnNHw_8_6"/>
      <w:bookmarkStart w:id="1793" w:name="Tc_DNkrPVhcnUSxek_HqECzcw_8_3"/>
      <w:bookmarkStart w:id="1794" w:name="Tc_QahcnurXNU2GZuKYiMaNTQ_8_0"/>
      <w:bookmarkStart w:id="1795" w:name="Tc_FlCN8lyejUeiNjddXkno7A_7_24"/>
      <w:bookmarkStart w:id="1796" w:name="Tc_O-XOt5TZc0yLoAZsrsIh5Q_7_21"/>
      <w:bookmarkStart w:id="1797" w:name="Tc_becLEq16OUCuBHQVPJQTGw_7_18"/>
      <w:bookmarkStart w:id="1798" w:name="Tc_bC9VC9u67kGP0AEQCbSOgQ_7_15"/>
      <w:bookmarkStart w:id="1799" w:name="Tc_UFEfexwu50i5orfkWXNY2g_7_9"/>
      <w:bookmarkStart w:id="1800" w:name="Tc_KifCpo54fUWFfFQVrr6Q_Q_7_6"/>
      <w:bookmarkStart w:id="1801" w:name="Tc_AFj6F5mSDk60Ty4_QB9XCg_7_3"/>
      <w:bookmarkStart w:id="1802" w:name="Tc_CBdzPF_7Zkuu8mr1Z3cgug_7_0"/>
      <w:bookmarkStart w:id="1803" w:name="Tc__WMcckBv2Eqg-Dty09mrow_6_24"/>
      <w:bookmarkStart w:id="1804" w:name="Tc_lM5zjKFJSECQusoREq1joQ_6_21"/>
      <w:bookmarkStart w:id="1805" w:name="Tc_mLnhr5SYsEOF5fZ_Pe75sA_6_18"/>
      <w:bookmarkStart w:id="1806" w:name="Tc_vVqgsFZ1UEW-ghR7aNljtA_6_15"/>
      <w:bookmarkStart w:id="1807" w:name="Tc_HWzTjZKRJUu4ouCvT3CRsA_6_12"/>
      <w:bookmarkStart w:id="1808" w:name="Tc_5_2s0jAkXE6kOvMTm8lUPw_6_6"/>
      <w:bookmarkStart w:id="1809" w:name="Tc_zZ9aKMcZpkCi0wJryDvzbQ_6_0"/>
      <w:bookmarkStart w:id="1810" w:name="Tc_bjywJgNDrUa_28C5Lgw9ug_5_26"/>
      <w:bookmarkStart w:id="1811" w:name="Tc_3TEE4NZ0dkODn3RroV8Ftw_5_24"/>
      <w:bookmarkStart w:id="1812" w:name="Tc_Y_8RV1zmHUmmTjErvsqVuA_5_23"/>
      <w:bookmarkStart w:id="1813" w:name="Tc_yZQW3IQoNUihoNXm1ZcnwA_5_21"/>
      <w:bookmarkStart w:id="1814" w:name="Tc_M6UkBF_n6kC-6OYj8qu4BA_5_20"/>
      <w:bookmarkStart w:id="1815" w:name="Tc_P2d4K1mpz0WG3HbOxQUv2A_5_17"/>
      <w:bookmarkStart w:id="1816" w:name="Tc_XLJfL6s6m02oFylbsnbO7Q_5_14"/>
      <w:bookmarkStart w:id="1817" w:name="Tc_k4fjq0d8qkC1rfsir2gEGw_5_11"/>
      <w:bookmarkStart w:id="1818" w:name="Tc_Ows73c-taEa-4hIUBwLhAg_5_8"/>
      <w:bookmarkStart w:id="1819" w:name="Tc_Td6Ci6tdQEOmeYn4Wh88rQ_5_5"/>
      <w:bookmarkStart w:id="1820" w:name="Tc_g_OSrpMkbUOOJSOw9Td2FQ_5_2"/>
      <w:bookmarkStart w:id="1821" w:name="Tc_WK__11lPN06m8M4OZq1XIg_5_0"/>
      <w:bookmarkStart w:id="1822" w:name="Tc_Ff2LjP4JjUWcGZbN-JkiNQ_4_26"/>
      <w:bookmarkStart w:id="1823" w:name="Tc_Uq4FYysOwk-_j6QNaeLaTA_4_23"/>
      <w:bookmarkStart w:id="1824" w:name="Tc_k8526vg56UepQcbPLPK-_g_4_20"/>
      <w:bookmarkStart w:id="1825" w:name="Tc_45bHVDihSE-mGaoSTaBpIw_4_17"/>
      <w:bookmarkStart w:id="1826" w:name="Tc_GocrEuajgECic2mnwiRxRw_4_14"/>
      <w:bookmarkStart w:id="1827" w:name="Tc_Z_zIrr0qsUSHH3sgB7VM9Q_4_11"/>
      <w:bookmarkStart w:id="1828" w:name="Tc__o1cZiOPXEeQxaO8kvSGgA_4_8"/>
      <w:bookmarkStart w:id="1829" w:name="Tc_xNE4xDv7gE6WIxG7wm4G8Q_4_5"/>
      <w:bookmarkStart w:id="1830" w:name="Tc_siOEWEHytEWEOITSsNXxwQ_4_2"/>
      <w:bookmarkStart w:id="1831" w:name="Tc_9oQ5pM2q_kWr5VcGbVgs3g_4_0"/>
      <w:bookmarkStart w:id="1832" w:name="Tc_M55qBbT4z0WUeb9dTDWO9A_3_23"/>
      <w:bookmarkStart w:id="1833" w:name="Tc_80wX_NA0PEibdH1rr_J_-w_3_2"/>
      <w:bookmarkStart w:id="1834" w:name="Tc_8Nbb4ixp60uYXcI0KpQUtA_3_0"/>
      <w:bookmarkStart w:id="1835" w:name="Tc_mupUBwCb9kyjEsWNy05fwg_2_23"/>
      <w:bookmarkStart w:id="1836" w:name="Tc_ptQcDxaY30K_ZOeulgYs1g_1_2"/>
      <w:bookmarkStart w:id="1837" w:name="_6bd62d4d_2942_43ab_a3fc_9366a0ae4540"/>
      <w:bookmarkStart w:id="1838" w:name="Tc_SFcCcgRLmE2GsAlI_PaxJQ_23_26"/>
      <w:bookmarkStart w:id="1839" w:name="Tc_0II_HsGFAk-pzQ0AafShEQ_23_24"/>
      <w:bookmarkStart w:id="1840" w:name="Tc_1_Tj7pDdkU2MBQjANxtHqw_23_23"/>
      <w:bookmarkStart w:id="1841" w:name="Tc_iFURhB_PREeBp1_tTdy6uQ_23_20"/>
      <w:bookmarkStart w:id="1842" w:name="Tc_dtpWaAVdUkOlmRpWY9LCEw_23_17"/>
      <w:bookmarkStart w:id="1843" w:name="Tc_N2bqmVLBTE-70EyXYFWgog_23_14"/>
      <w:bookmarkStart w:id="1844" w:name="Tc_osQPjtWkHEiQiN9IIHrO_Q_23_11"/>
      <w:bookmarkStart w:id="1845" w:name="Tc_L0b55RcDqkGkimANqoUnjA_23_8"/>
      <w:bookmarkStart w:id="1846" w:name="Tc_cF5wRVaXckyuQmkYjCDhNg_23_5"/>
      <w:bookmarkStart w:id="1847" w:name="Tc_TO5LYQmfU0iq-pigYiaL5Q_23_3"/>
      <w:bookmarkStart w:id="1848" w:name="Tc_OpdqK2hZjEOw18K6AeftxA_23_2"/>
      <w:bookmarkStart w:id="1849" w:name="Tc_JDcCwPnL2U2MlfPVhASCvw_23_0"/>
      <w:bookmarkStart w:id="1850" w:name="Tc_2vh7rdXmGEake-d2e6B7hA_22_26"/>
      <w:bookmarkStart w:id="1851" w:name="Tc_h-iVcTfQSEO5Kr_NNKXWjQ_22_23"/>
      <w:bookmarkStart w:id="1852" w:name="Tc_47Fkjw2RxkKjh_EzyCML_w_22_20"/>
      <w:bookmarkStart w:id="1853" w:name="Tc_HqOzxAhOp0mhji2yrEeLUQ_22_17"/>
      <w:bookmarkStart w:id="1854" w:name="Tc_LwmTm4JkCk2VOEmasGLm8Q_22_14"/>
      <w:bookmarkStart w:id="1855" w:name="Tc_2yQrgqyjGEOxScG9oLnWMg_22_11"/>
      <w:bookmarkStart w:id="1856" w:name="Tc_Ese55D-2kUaueckKpBdngw_22_8"/>
      <w:bookmarkStart w:id="1857" w:name="Tc_mfwubuUx-UaYAOvSfHoWwg_22_5"/>
      <w:bookmarkStart w:id="1858" w:name="Tc_RrcKjnBqNkaGjvNrzQ2RgA_22_2"/>
      <w:bookmarkStart w:id="1859" w:name="Tc_nhtv3JbOYUSmF58mGEACBw_22_0"/>
      <w:bookmarkStart w:id="1860" w:name="Tc__M0gCGcMDkuYQiHgeR0X1g_21_24"/>
      <w:bookmarkStart w:id="1861" w:name="Tc_LRcVPkflG0qpnUhB9okwAA_21_0"/>
      <w:bookmarkStart w:id="1862" w:name="Tc_t1G_42QFxEuDTyloISsrLw_20_24"/>
      <w:bookmarkStart w:id="1863" w:name="Tc_3e0GEuwWsU2RqPCmk8m0Zg_20_18"/>
      <w:bookmarkStart w:id="1864" w:name="Tc_yxwIhqXnR0yu-YC6pQYpaA_20_12"/>
      <w:bookmarkStart w:id="1865" w:name="Tc_-dnv7XPzD0a64w_0tdRsmg_20_9"/>
      <w:bookmarkStart w:id="1866" w:name="Tc_t4AOvhHVTUKPbJtMopMKLw_20_6"/>
      <w:bookmarkStart w:id="1867" w:name="Tc_z_twRoj0c0OfJsRUixNWQA_20_3"/>
      <w:bookmarkStart w:id="1868" w:name="Tc_tJiVrATYIUSaOsMv3SFWww_20_0"/>
      <w:bookmarkStart w:id="1869" w:name="Tc_0kAQ8WRIbES25_HY0CgD0A_19_24"/>
      <w:bookmarkStart w:id="1870" w:name="Tc_id4kbuYRg0CMhxTVU6UM3A_19_15"/>
      <w:bookmarkStart w:id="1871" w:name="Tc_AP-u8OxYpEy1j5kQqaWSYg_19_3"/>
      <w:bookmarkStart w:id="1872" w:name="Tc_cVq0oOtdAkm0RykORtoW5w_19_0"/>
      <w:bookmarkStart w:id="1873" w:name="Tc_tJLJZbZkWESVKQLcaj1QKA_18_26"/>
      <w:bookmarkStart w:id="1874" w:name="Tc_1zUh3GoHokCzVEt_ycW0cQ_18_23"/>
      <w:bookmarkStart w:id="1875" w:name="Tc_PCb1Z1e1rE-YVFRq6J5GVA_18_20"/>
      <w:bookmarkStart w:id="1876" w:name="Tc_HfOBQkYU-U2aXX1Ndg2YsA_18_17"/>
      <w:bookmarkStart w:id="1877" w:name="Tc_n6R26Vs_iEym8dsAtC6Z1g_18_14"/>
      <w:bookmarkStart w:id="1878" w:name="Tc_hqUJxGpXfUu-6NYQlToLJg_18_11"/>
      <w:bookmarkStart w:id="1879" w:name="Tc_q5YQSKVQr062QaZx9P6A5w_18_8"/>
      <w:bookmarkStart w:id="1880" w:name="Tc_H5DcnjGZb0iGV0YfMH3EYQ_18_5"/>
      <w:bookmarkStart w:id="1881" w:name="Tc_fNGvJLSIAkiCzg24lWaFdg_18_2"/>
      <w:bookmarkStart w:id="1882" w:name="Tc_RN6XSHNDJUKT-hEzXQtWLw_18_0"/>
      <w:bookmarkStart w:id="1883" w:name="Tc_cNfc37OB_kCV6zQ53_r8SA_17_0"/>
      <w:bookmarkStart w:id="1884" w:name="Tc_R9rX9PWuOkavdYMDxP6XRw_15_26"/>
      <w:bookmarkStart w:id="1885" w:name="Tc_OhtHqBN5CkWpPRzWtu_I4w_15_23"/>
      <w:bookmarkStart w:id="1886" w:name="Tc_Opv_nZUzUkeFuEWCTqOKYg_15_20"/>
      <w:bookmarkStart w:id="1887" w:name="Tc_5oFCs933IkeocNZLpZ27wg_15_17"/>
      <w:bookmarkStart w:id="1888" w:name="Tc_lMGYvjojs0upF1xPSTgkPQ_15_14"/>
      <w:bookmarkStart w:id="1889" w:name="Tc_mVuCEgu73ku4zrqmF7SIbQ_15_11"/>
      <w:bookmarkStart w:id="1890" w:name="Tc_6dQan2gwq0S8_nIbZHPPxA_15_8"/>
      <w:bookmarkStart w:id="1891" w:name="Tc_TGp2kyHrL0uuznW3RAHBxQ_15_5"/>
      <w:bookmarkStart w:id="1892" w:name="Tc_jH-dW2AnWU-1kH5ZsHX9eg_15_2"/>
      <w:bookmarkStart w:id="1893" w:name="Tc_AbMJZvWV4kmAd8Af-zEJPQ_15_0"/>
      <w:bookmarkStart w:id="1894" w:name="Tc_ZwaCCG1G00-mZHtLhRzqgQ_14_24"/>
      <w:bookmarkStart w:id="1895" w:name="Tc_ifQHqRzTG0aWxmPS8UtQBA_14_18"/>
      <w:bookmarkStart w:id="1896" w:name="Tc_YpZSIjIE3U-3bcp2miudfQ_14_15"/>
      <w:bookmarkStart w:id="1897" w:name="Tc_y8eiJr7mFUWMLl7NALAwtA_14_12"/>
      <w:bookmarkStart w:id="1898" w:name="Tc_K2eRXbk-WEanmP6krESWFA_14_9"/>
      <w:bookmarkStart w:id="1899" w:name="Tc_1fvG2Llq5UWhkHux6vQ4Ig_14_6"/>
      <w:bookmarkStart w:id="1900" w:name="Tc_vOgq8GCOg0CJ-9CBtG3YMw_14_3"/>
      <w:bookmarkStart w:id="1901" w:name="Tc_KfKI6KFfNk6nbjxe8lkVJA_14_0"/>
      <w:bookmarkStart w:id="1902" w:name="Tc_SA1Xuu7AIUSIC_c3Nke9qQ_13_24"/>
      <w:bookmarkStart w:id="1903" w:name="Tc_WBw0OkyjGEW-BiFDPr0Nwg_13_18"/>
      <w:bookmarkStart w:id="1904" w:name="Tc_NGmddaHFXECQ4KaiZC0QNA_13_15"/>
      <w:bookmarkStart w:id="1905" w:name="Tc_AnB69KRJPUeUgjVcLSSWTA_13_12"/>
      <w:bookmarkStart w:id="1906" w:name="Tc_dza-1BNhNEGcfxFJu-VYzg_13_9"/>
      <w:bookmarkStart w:id="1907" w:name="Tc_o3eiSYE2kE-NH9U5hN3rIQ_13_6"/>
      <w:bookmarkStart w:id="1908" w:name="Tc_MA1cxdYkXku1bhEzBG-5iw_13_3"/>
      <w:bookmarkStart w:id="1909" w:name="Tc_pWDNUgz9Gk2YB1zxwtvmgA_13_0"/>
      <w:bookmarkStart w:id="1910" w:name="Tc_gcg30lL10kOPjezpdcF6RQ_12_24"/>
      <w:bookmarkStart w:id="1911" w:name="Tc_A3SIcs4wYkOwh51Cvu8OAg_12_18"/>
      <w:bookmarkStart w:id="1912" w:name="Tc_HPZDCQ0A_UamcuIgcmF3Jw_12_15"/>
      <w:bookmarkStart w:id="1913" w:name="Tc_qLDx30ues0mr2o5mviPrDA_12_12"/>
      <w:bookmarkStart w:id="1914" w:name="Tc_vewcXZ8I9Eq4-czQfgsZXg_12_9"/>
      <w:bookmarkStart w:id="1915" w:name="Tc_gNx2Pmf-M0yqmSBr1YdQCg_12_6"/>
      <w:bookmarkStart w:id="1916" w:name="Tc_pddW-f5MlECjtk_E8WG4XQ_12_3"/>
      <w:bookmarkStart w:id="1917" w:name="Tc_yySJb2g18UujAGP7f1o3sw_12_0"/>
      <w:bookmarkStart w:id="1918" w:name="Tc_BksO-Oqa5EK5eWHGi7K2Ww_11_0"/>
      <w:bookmarkStart w:id="1919" w:name="Tc_PxFHZi0IB0qAaCU2Jypamw_10_24"/>
      <w:bookmarkStart w:id="1920" w:name="Tc_LMFx-rDVbkeHDzga6kQoig_10_21"/>
      <w:bookmarkStart w:id="1921" w:name="Tc_KwOlLVYYJ069uwO1MStEdA_10_18"/>
      <w:bookmarkStart w:id="1922" w:name="Tc_CbdknWixBkmQI_q9g4bLqA_10_15"/>
      <w:bookmarkStart w:id="1923" w:name="Tc_Z-2c3wpy3UeOxz40hBjPfQ_10_12"/>
      <w:bookmarkStart w:id="1924" w:name="Tc_lS97GS6_y0iJx7zRGAb_Lw_10_6"/>
      <w:bookmarkStart w:id="1925" w:name="Tc_aTux68__50690PuuRcRskw_10_3"/>
      <w:bookmarkStart w:id="1926" w:name="Tc_zkPC0z4x9kWKozLEESyVKQ_10_0"/>
      <w:bookmarkStart w:id="1927" w:name="Tc_uBm6hegJeU-yVqR-ABodvw_9_0"/>
      <w:bookmarkStart w:id="1928" w:name="Tc_1V2e9fokv0aVmhUFyxz-gw_8_24"/>
      <w:bookmarkStart w:id="1929" w:name="Tc_NG2IOReXq0KyfkQGyl2VPg_8_6"/>
      <w:bookmarkStart w:id="1930" w:name="Tc_HWqg8H72pUyRp82AX0zAmQ_8_0"/>
      <w:bookmarkStart w:id="1931" w:name="Tc_nTkWvGCFjUahgch19D5Sjw_7_24"/>
      <w:bookmarkStart w:id="1932" w:name="Tc_8CC8pQtjfEqmNWOoHIaMPg_7_18"/>
      <w:bookmarkStart w:id="1933" w:name="Tc_jQIDnJcd0kmbo7twVxhn3A_7_12"/>
      <w:bookmarkStart w:id="1934" w:name="Tc_jh1Sq64wR0Stloq6jsIN_Q_7_9"/>
      <w:bookmarkStart w:id="1935" w:name="Tc_MUuwnB0JqE2o2N6dxXvlxw_7_6"/>
      <w:bookmarkStart w:id="1936" w:name="Tc_do7u0Fn-REK3KcvtVAnIKg_7_3"/>
      <w:bookmarkStart w:id="1937" w:name="Tc_N6Hhh69I_UKklcnKshy1nA_7_0"/>
      <w:bookmarkStart w:id="1938" w:name="Tc_avapCrpPWUK9Kyh31WAnsA_6_24"/>
      <w:bookmarkStart w:id="1939" w:name="Tc__tQWRS7zQkqsKyCNQJSF5Q_6_15"/>
      <w:bookmarkStart w:id="1940" w:name="Tc_3TTasAAU5kOB1hts4NsnFg_6_6"/>
      <w:bookmarkStart w:id="1941" w:name="Tc_NsHDt5aUa0eaVygDLrn1vQ_6_3"/>
      <w:bookmarkStart w:id="1942" w:name="Tc_nhZ1tjb2m0-beTN-uiCUyg_6_0"/>
      <w:bookmarkStart w:id="1943" w:name="Tc_5zEauPrKOUawVtnLgyJ-6w_5_26"/>
      <w:bookmarkStart w:id="1944" w:name="Tc_NtdpycnuxkCFM9C7CYdbMA_5_23"/>
      <w:bookmarkStart w:id="1945" w:name="Tc_gKrsPBJd-EO5QdYvQKYOLA_5_20"/>
      <w:bookmarkStart w:id="1946" w:name="Tc_8TmUieEBxkmz3VI6uwQgeA_5_17"/>
      <w:bookmarkStart w:id="1947" w:name="Tc_FAb1Ajj3n0SFU2FmBIkITQ_5_14"/>
      <w:bookmarkStart w:id="1948" w:name="Tc_697Gn3vK-0ikfRZkjokngQ_5_11"/>
      <w:bookmarkStart w:id="1949" w:name="Tc_mm86m3o15UW9Ky8qrdrk7Q_5_8"/>
      <w:bookmarkStart w:id="1950" w:name="Tc_at6_-RzXgUWZ8aw-GdD1iA_5_5"/>
      <w:bookmarkStart w:id="1951" w:name="Tc_aSGOyQOW3kukqeKtxYqSNg_5_2"/>
      <w:bookmarkStart w:id="1952" w:name="Tc_bf41Ms8tmEuw6y4KPa0-UA_5_0"/>
      <w:bookmarkStart w:id="1953" w:name="Tc_LunIQfe3UUu2hJMnjyw55w_4_26"/>
      <w:bookmarkStart w:id="1954" w:name="Tc_PT43VrM3CEuoxN3pqZxhMw_4_23"/>
      <w:bookmarkStart w:id="1955" w:name="Tc_3VsqIoa09EWaq7oodM7n3w_4_20"/>
      <w:bookmarkStart w:id="1956" w:name="Tc_FoBhDlqtCU-864GByWeqDQ_4_17"/>
      <w:bookmarkStart w:id="1957" w:name="Tc_wVEt_Ao5H0iHH6_Pvy7AHg_4_14"/>
      <w:bookmarkStart w:id="1958" w:name="Tc_u-xDq4aQ40eauifoNPCHfA_4_11"/>
      <w:bookmarkStart w:id="1959" w:name="Tc_T3LlqfPrcEOPZMeyLf6h-A_4_8"/>
      <w:bookmarkStart w:id="1960" w:name="Tc_NoVRnKEFRE2eCmfOITYh4A_4_5"/>
      <w:bookmarkStart w:id="1961" w:name="Tc_U3sLKVQpCkW1GDqOQ8vHww_4_2"/>
      <w:bookmarkStart w:id="1962" w:name="Tc_ODXGz42SI02rGy8DKZmEdQ_4_0"/>
      <w:bookmarkStart w:id="1963" w:name="Tc_ilNLc-L3bUufoIdzBP5qew_3_23"/>
      <w:bookmarkStart w:id="1964" w:name="Tc_cPFxlwmPi0ioUugKUumJpg_3_2"/>
      <w:bookmarkStart w:id="1965" w:name="Tc_n7mWwfOctECloFyWuZ9DuQ_3_0"/>
      <w:bookmarkStart w:id="1966" w:name="Tc_zI2HDhmW60yJGXiyUrLZvw_2_23"/>
      <w:bookmarkStart w:id="1967" w:name="Tc_x-y4uRE4akytHmOJsCJfLA_2_0"/>
      <w:bookmarkStart w:id="1968" w:name="Tc_XDf9k4-OWUu2z4UqdTG5FQ_1_2"/>
      <w:bookmarkStart w:id="1969" w:name="_ad32d3a2_077f_43da_a333_3656a7d940f6"/>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p>
    <w:tbl>
      <w:tblPr>
        <w:tblW w:w="10685" w:type="dxa"/>
        <w:jc w:val="left"/>
        <w:tblInd w:w="0" w:type="dxa"/>
        <w:tblCellMar>
          <w:top w:w="0" w:type="dxa"/>
          <w:left w:w="0" w:type="dxa"/>
          <w:bottom w:w="0" w:type="dxa"/>
          <w:right w:w="0" w:type="dxa"/>
        </w:tblCellMar>
      </w:tblPr>
      <w:tblGrid>
        <w:gridCol w:w="1306"/>
        <w:gridCol w:w="146"/>
        <w:gridCol w:w="196"/>
        <w:gridCol w:w="691"/>
        <w:gridCol w:w="146"/>
        <w:gridCol w:w="196"/>
        <w:gridCol w:w="691"/>
        <w:gridCol w:w="146"/>
        <w:gridCol w:w="196"/>
        <w:gridCol w:w="691"/>
        <w:gridCol w:w="146"/>
        <w:gridCol w:w="196"/>
        <w:gridCol w:w="691"/>
        <w:gridCol w:w="146"/>
        <w:gridCol w:w="196"/>
        <w:gridCol w:w="691"/>
        <w:gridCol w:w="146"/>
        <w:gridCol w:w="196"/>
        <w:gridCol w:w="691"/>
        <w:gridCol w:w="146"/>
        <w:gridCol w:w="196"/>
        <w:gridCol w:w="691"/>
        <w:gridCol w:w="109"/>
        <w:gridCol w:w="283"/>
        <w:gridCol w:w="543"/>
        <w:gridCol w:w="146"/>
        <w:gridCol w:w="196"/>
        <w:gridCol w:w="871"/>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829310" cy="175260"/>
                      <wp:effectExtent l="0" t="0" r="0" b="0"/>
                      <wp:wrapNone/>
                      <wp:docPr id="332" name="Frame332"/>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92710" cy="175260"/>
                      <wp:effectExtent l="0" t="0" r="0" b="0"/>
                      <wp:wrapNone/>
                      <wp:docPr id="333" name="Frame33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4460" cy="175260"/>
                      <wp:effectExtent l="0" t="0" r="0" b="0"/>
                      <wp:wrapNone/>
                      <wp:docPr id="334" name="Frame33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38785" cy="175260"/>
                      <wp:effectExtent l="0" t="0" r="0" b="0"/>
                      <wp:wrapNone/>
                      <wp:docPr id="335" name="Frame33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92710" cy="175260"/>
                      <wp:effectExtent l="0" t="0" r="0" b="0"/>
                      <wp:wrapNone/>
                      <wp:docPr id="336" name="Frame33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24460" cy="175260"/>
                      <wp:effectExtent l="0" t="0" r="0" b="0"/>
                      <wp:wrapNone/>
                      <wp:docPr id="337" name="Frame33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38785" cy="175260"/>
                      <wp:effectExtent l="0" t="0" r="0" b="0"/>
                      <wp:wrapNone/>
                      <wp:docPr id="338" name="Frame33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92710" cy="175260"/>
                      <wp:effectExtent l="0" t="0" r="0" b="0"/>
                      <wp:wrapNone/>
                      <wp:docPr id="339" name="Frame33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460" cy="175260"/>
                      <wp:effectExtent l="0" t="0" r="0" b="0"/>
                      <wp:wrapNone/>
                      <wp:docPr id="340" name="Frame34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38785" cy="175260"/>
                      <wp:effectExtent l="0" t="0" r="0" b="0"/>
                      <wp:wrapNone/>
                      <wp:docPr id="341" name="Frame34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92710" cy="175260"/>
                      <wp:effectExtent l="0" t="0" r="0" b="0"/>
                      <wp:wrapNone/>
                      <wp:docPr id="342" name="Frame34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24460" cy="175260"/>
                      <wp:effectExtent l="0" t="0" r="0" b="0"/>
                      <wp:wrapNone/>
                      <wp:docPr id="343" name="Frame34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38785" cy="175260"/>
                      <wp:effectExtent l="0" t="0" r="0" b="0"/>
                      <wp:wrapNone/>
                      <wp:docPr id="344" name="Frame34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92710" cy="175260"/>
                      <wp:effectExtent l="0" t="0" r="0" b="0"/>
                      <wp:wrapNone/>
                      <wp:docPr id="345" name="Frame34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4460" cy="175260"/>
                      <wp:effectExtent l="0" t="0" r="0" b="0"/>
                      <wp:wrapNone/>
                      <wp:docPr id="346" name="Frame34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38785" cy="175260"/>
                      <wp:effectExtent l="0" t="0" r="0" b="0"/>
                      <wp:wrapNone/>
                      <wp:docPr id="347" name="Frame34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92710" cy="175260"/>
                      <wp:effectExtent l="0" t="0" r="0" b="0"/>
                      <wp:wrapNone/>
                      <wp:docPr id="348" name="Frame34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24460" cy="175260"/>
                      <wp:effectExtent l="0" t="0" r="0" b="0"/>
                      <wp:wrapNone/>
                      <wp:docPr id="349" name="Frame34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38785" cy="175260"/>
                      <wp:effectExtent l="0" t="0" r="0" b="0"/>
                      <wp:wrapNone/>
                      <wp:docPr id="350" name="Frame35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92710" cy="175260"/>
                      <wp:effectExtent l="0" t="0" r="0" b="0"/>
                      <wp:wrapNone/>
                      <wp:docPr id="351" name="Frame35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4460" cy="175260"/>
                      <wp:effectExtent l="0" t="0" r="0" b="0"/>
                      <wp:wrapNone/>
                      <wp:docPr id="352" name="Frame35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38785" cy="175260"/>
                      <wp:effectExtent l="0" t="0" r="0" b="0"/>
                      <wp:wrapNone/>
                      <wp:docPr id="353" name="Frame35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54" name="Frame3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79705" cy="175260"/>
                      <wp:effectExtent l="0" t="0" r="0" b="0"/>
                      <wp:wrapNone/>
                      <wp:docPr id="355" name="Frame355"/>
                      <a:graphic xmlns:a="http://schemas.openxmlformats.org/drawingml/2006/main">
                        <a:graphicData uri="http://schemas.microsoft.com/office/word/2010/wordprocessingShape">
                          <wps:wsp>
                            <wps:cNvSpPr txBox="1"/>
                            <wps:spPr>
                              <a:xfrm>
                                <a:off x="0" y="0"/>
                                <a:ext cx="179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44805" cy="175260"/>
                      <wp:effectExtent l="0" t="0" r="0" b="0"/>
                      <wp:wrapNone/>
                      <wp:docPr id="356" name="Frame356"/>
                      <a:graphic xmlns:a="http://schemas.openxmlformats.org/drawingml/2006/main">
                        <a:graphicData uri="http://schemas.microsoft.com/office/word/2010/wordprocessingShape">
                          <wps:wsp>
                            <wps:cNvSpPr txBox="1"/>
                            <wps:spPr>
                              <a:xfrm>
                                <a:off x="0" y="0"/>
                                <a:ext cx="344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92710" cy="175260"/>
                      <wp:effectExtent l="0" t="0" r="0" b="0"/>
                      <wp:wrapNone/>
                      <wp:docPr id="357" name="Frame35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4460" cy="175260"/>
                      <wp:effectExtent l="0" t="0" r="0" b="0"/>
                      <wp:wrapNone/>
                      <wp:docPr id="358" name="Frame35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53085" cy="175260"/>
                      <wp:effectExtent l="0" t="0" r="0" b="0"/>
                      <wp:wrapNone/>
                      <wp:docPr id="359" name="Frame359"/>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233"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March 31, 2023</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COMMERCIAL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BUSINESS LOANS</w:t>
            </w:r>
          </w:p>
        </w:tc>
        <w:tc>
          <w:tcPr>
            <w:tcW w:w="146" w:type="dxa"/>
            <w:tcBorders/>
            <w:shd w:fill="auto" w:val="clear"/>
            <w:vAlign w:val="center"/>
          </w:tcPr>
          <w:p>
            <w:pPr>
              <w:pStyle w:val="TableContents"/>
              <w:spacing w:before="0" w:after="0"/>
              <w:ind w:left="0" w:right="0" w:hanging="0"/>
              <w:rPr/>
            </w:pPr>
            <w:r>
              <w:rPr/>
              <w:t>​</w:t>
            </w:r>
          </w:p>
        </w:tc>
        <w:tc>
          <w:tcPr>
            <w:tcW w:w="6052" w:type="dxa"/>
            <w:gridSpan w:val="1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Commercial and industrial</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943</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29,793</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25,818</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13,435</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5,912</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13,853</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112,889</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202,693</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Watch</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2,790</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723</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5,372</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8,897</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1,039</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1,639</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1,207</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10,473</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commercial and industrial</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4,652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29,793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27,404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17,744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8,798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14,754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120,507</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223,702</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Commercial and industrial gross charge-offs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jc w:val="right"/>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Warehouse lending</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28,043</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28,043</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Watch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warehouse lending</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28,044</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28,044</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commercial business loans</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4,652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29,793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27,404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17,744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8,798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14,754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148,551</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251,746</w:t>
            </w:r>
          </w:p>
        </w:tc>
      </w:tr>
      <w:tr>
        <w:trPr/>
        <w:tc>
          <w:tcPr>
            <w:tcW w:w="13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LOANS RECEIVABLE, GROSS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 </w:t>
            </w:r>
          </w:p>
        </w:tc>
        <w:tc>
          <w:tcPr>
            <w:tcW w:w="543"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117,479</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813,345</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518,346</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272,237</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149,810</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225,903</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188,938</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529</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2,286,587</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Watch</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10,380</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3,160</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723</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5,373</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19,648</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Special mention</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2,696</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1,039</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3,735</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3,709</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1,880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7,972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1,213</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19,616</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loans receivable, gross</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121,188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824,327</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520,238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277,087</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155,056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234,598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196,563</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2,329,586</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gross charge-offs</w:t>
            </w:r>
          </w:p>
        </w:tc>
        <w:tc>
          <w:tcPr>
            <w:tcW w:w="146" w:type="dxa"/>
            <w:tcBorders/>
            <w:shd w:fill="CCEEFF" w:val="clear"/>
            <w:vAlign w:val="center"/>
          </w:tcPr>
          <w:p>
            <w:pPr>
              <w:pStyle w:val="TableContents"/>
              <w:spacing w:before="0" w:after="0"/>
              <w:ind w:left="0" w:right="0" w:hanging="0"/>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146" w:type="dxa"/>
            <w:tcBorders/>
            <w:shd w:fill="CCEEFF" w:val="clear"/>
            <w:vAlign w:val="center"/>
          </w:tcPr>
          <w:p>
            <w:pPr>
              <w:pStyle w:val="TableContents"/>
              <w:spacing w:before="0" w:after="0"/>
              <w:ind w:left="0" w:right="0" w:hanging="0"/>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146" w:type="dxa"/>
            <w:tcBorders/>
            <w:shd w:fill="CCEEFF" w:val="clear"/>
            <w:vAlign w:val="center"/>
          </w:tcPr>
          <w:p>
            <w:pPr>
              <w:pStyle w:val="TableContents"/>
              <w:spacing w:before="0" w:after="0"/>
              <w:ind w:left="0" w:right="0" w:hanging="0"/>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146" w:type="dxa"/>
            <w:tcBorders/>
            <w:shd w:fill="CCEEFF" w:val="clear"/>
            <w:vAlign w:val="center"/>
          </w:tcPr>
          <w:p>
            <w:pPr>
              <w:pStyle w:val="TableContents"/>
              <w:spacing w:before="0" w:after="0"/>
              <w:ind w:left="0" w:right="0" w:hanging="0"/>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46" w:type="dxa"/>
            <w:tcBorders/>
            <w:shd w:fill="CCEEFF" w:val="clear"/>
            <w:vAlign w:val="center"/>
          </w:tcPr>
          <w:p>
            <w:pPr>
              <w:pStyle w:val="TableContents"/>
              <w:spacing w:before="0" w:after="0"/>
              <w:ind w:left="0" w:right="0" w:hanging="0"/>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293</w:t>
            </w:r>
          </w:p>
        </w:tc>
        <w:tc>
          <w:tcPr>
            <w:tcW w:w="146" w:type="dxa"/>
            <w:tcBorders/>
            <w:shd w:fill="CCEEFF" w:val="clear"/>
            <w:vAlign w:val="center"/>
          </w:tcPr>
          <w:p>
            <w:pPr>
              <w:pStyle w:val="TableContents"/>
              <w:spacing w:before="0" w:after="0"/>
              <w:ind w:left="0" w:right="0" w:hanging="0"/>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109" w:type="dxa"/>
            <w:tcBorders/>
            <w:shd w:fill="CCEEFF" w:val="clear"/>
            <w:vAlign w:val="center"/>
          </w:tcPr>
          <w:p>
            <w:pPr>
              <w:pStyle w:val="TableContents"/>
              <w:spacing w:before="0" w:after="0"/>
              <w:ind w:left="0" w:right="0" w:hanging="0"/>
              <w:rPr/>
            </w:pPr>
            <w:r>
              <w:rPr/>
              <w:t>​</w:t>
            </w:r>
          </w:p>
        </w:tc>
        <w:tc>
          <w:tcPr>
            <w:tcW w:w="28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720</w:t>
            </w:r>
          </w:p>
        </w:tc>
      </w:tr>
    </w:tbl>
    <w:p>
      <w:pPr>
        <w:pStyle w:val="TextBody"/>
        <w:spacing w:before="0" w:after="0"/>
        <w:ind w:left="0" w:right="0" w:hanging="0"/>
        <w:rPr/>
      </w:pPr>
      <w:r>
        <w:rPr/>
        <w:t>​</w:t>
      </w:r>
    </w:p>
    <w:tbl>
      <w:tblPr>
        <w:tblW w:w="10759" w:type="dxa"/>
        <w:jc w:val="left"/>
        <w:tblInd w:w="0" w:type="dxa"/>
        <w:tblCellMar>
          <w:top w:w="0" w:type="dxa"/>
          <w:left w:w="0" w:type="dxa"/>
          <w:bottom w:w="0" w:type="dxa"/>
          <w:right w:w="0" w:type="dxa"/>
        </w:tblCellMar>
      </w:tblPr>
      <w:tblGrid>
        <w:gridCol w:w="1471"/>
        <w:gridCol w:w="146"/>
        <w:gridCol w:w="196"/>
        <w:gridCol w:w="691"/>
        <w:gridCol w:w="146"/>
        <w:gridCol w:w="196"/>
        <w:gridCol w:w="691"/>
        <w:gridCol w:w="146"/>
        <w:gridCol w:w="196"/>
        <w:gridCol w:w="691"/>
        <w:gridCol w:w="146"/>
        <w:gridCol w:w="196"/>
        <w:gridCol w:w="691"/>
        <w:gridCol w:w="146"/>
        <w:gridCol w:w="196"/>
        <w:gridCol w:w="601"/>
        <w:gridCol w:w="146"/>
        <w:gridCol w:w="196"/>
        <w:gridCol w:w="691"/>
        <w:gridCol w:w="146"/>
        <w:gridCol w:w="203"/>
        <w:gridCol w:w="623"/>
        <w:gridCol w:w="109"/>
        <w:gridCol w:w="283"/>
        <w:gridCol w:w="543"/>
        <w:gridCol w:w="146"/>
        <w:gridCol w:w="196"/>
        <w:gridCol w:w="931"/>
      </w:tblGrid>
      <w:tr>
        <w:trPr/>
        <w:tc>
          <w:tcPr>
            <w:tcW w:w="14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934085" cy="175260"/>
                      <wp:effectExtent l="0" t="0" r="0" b="0"/>
                      <wp:wrapNone/>
                      <wp:docPr id="360" name="Frame360"/>
                      <a:graphic xmlns:a="http://schemas.openxmlformats.org/drawingml/2006/main">
                        <a:graphicData uri="http://schemas.microsoft.com/office/word/2010/wordprocessingShape">
                          <wps:wsp>
                            <wps:cNvSpPr txBox="1"/>
                            <wps:spPr>
                              <a:xfrm>
                                <a:off x="0" y="0"/>
                                <a:ext cx="934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92710" cy="175260"/>
                      <wp:effectExtent l="0" t="0" r="0" b="0"/>
                      <wp:wrapNone/>
                      <wp:docPr id="361" name="Frame36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4460" cy="175260"/>
                      <wp:effectExtent l="0" t="0" r="0" b="0"/>
                      <wp:wrapNone/>
                      <wp:docPr id="362" name="Frame36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38785" cy="175260"/>
                      <wp:effectExtent l="0" t="0" r="0" b="0"/>
                      <wp:wrapNone/>
                      <wp:docPr id="363" name="Frame36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92710" cy="175260"/>
                      <wp:effectExtent l="0" t="0" r="0" b="0"/>
                      <wp:wrapNone/>
                      <wp:docPr id="364" name="Frame36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65" name="Frame36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38785" cy="175260"/>
                      <wp:effectExtent l="0" t="0" r="0" b="0"/>
                      <wp:wrapNone/>
                      <wp:docPr id="366" name="Frame36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92710" cy="175260"/>
                      <wp:effectExtent l="0" t="0" r="0" b="0"/>
                      <wp:wrapNone/>
                      <wp:docPr id="367" name="Frame36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24460" cy="175260"/>
                      <wp:effectExtent l="0" t="0" r="0" b="0"/>
                      <wp:wrapNone/>
                      <wp:docPr id="368" name="Frame36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38785" cy="175260"/>
                      <wp:effectExtent l="0" t="0" r="0" b="0"/>
                      <wp:wrapNone/>
                      <wp:docPr id="369" name="Frame36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2710" cy="175260"/>
                      <wp:effectExtent l="0" t="0" r="0" b="0"/>
                      <wp:wrapNone/>
                      <wp:docPr id="370" name="Frame37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4460" cy="175260"/>
                      <wp:effectExtent l="0" t="0" r="0" b="0"/>
                      <wp:wrapNone/>
                      <wp:docPr id="371" name="Frame37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38785" cy="175260"/>
                      <wp:effectExtent l="0" t="0" r="0" b="0"/>
                      <wp:wrapNone/>
                      <wp:docPr id="372" name="Frame37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92710" cy="175260"/>
                      <wp:effectExtent l="0" t="0" r="0" b="0"/>
                      <wp:wrapNone/>
                      <wp:docPr id="373" name="Frame37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24460" cy="175260"/>
                      <wp:effectExtent l="0" t="0" r="0" b="0"/>
                      <wp:wrapNone/>
                      <wp:docPr id="374" name="Frame37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81635" cy="175260"/>
                      <wp:effectExtent l="0" t="0" r="0" b="0"/>
                      <wp:wrapNone/>
                      <wp:docPr id="375" name="Frame375"/>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92710" cy="175260"/>
                      <wp:effectExtent l="0" t="0" r="0" b="0"/>
                      <wp:wrapNone/>
                      <wp:docPr id="376" name="Frame37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24460" cy="175260"/>
                      <wp:effectExtent l="0" t="0" r="0" b="0"/>
                      <wp:wrapNone/>
                      <wp:docPr id="377" name="Frame37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38785" cy="175260"/>
                      <wp:effectExtent l="0" t="0" r="0" b="0"/>
                      <wp:wrapNone/>
                      <wp:docPr id="378" name="Frame37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92710" cy="175260"/>
                      <wp:effectExtent l="0" t="0" r="0" b="0"/>
                      <wp:wrapNone/>
                      <wp:docPr id="379" name="Frame37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28905" cy="175260"/>
                      <wp:effectExtent l="0" t="0" r="0" b="0"/>
                      <wp:wrapNone/>
                      <wp:docPr id="380" name="Frame380"/>
                      <a:graphic xmlns:a="http://schemas.openxmlformats.org/drawingml/2006/main">
                        <a:graphicData uri="http://schemas.microsoft.com/office/word/2010/wordprocessingShape">
                          <wps:wsp>
                            <wps:cNvSpPr txBox="1"/>
                            <wps:spPr>
                              <a:xfrm>
                                <a:off x="0" y="0"/>
                                <a:ext cx="128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95605" cy="175260"/>
                      <wp:effectExtent l="0" t="0" r="0" b="0"/>
                      <wp:wrapNone/>
                      <wp:docPr id="381" name="Frame381"/>
                      <a:graphic xmlns:a="http://schemas.openxmlformats.org/drawingml/2006/main">
                        <a:graphicData uri="http://schemas.microsoft.com/office/word/2010/wordprocessingShape">
                          <wps:wsp>
                            <wps:cNvSpPr txBox="1"/>
                            <wps:spPr>
                              <a:xfrm>
                                <a:off x="0" y="0"/>
                                <a:ext cx="395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215" cy="175260"/>
                      <wp:effectExtent l="0" t="0" r="0" b="0"/>
                      <wp:wrapNone/>
                      <wp:docPr id="382" name="Frame38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79705" cy="175260"/>
                      <wp:effectExtent l="0" t="0" r="0" b="0"/>
                      <wp:wrapNone/>
                      <wp:docPr id="383" name="Frame383"/>
                      <a:graphic xmlns:a="http://schemas.openxmlformats.org/drawingml/2006/main">
                        <a:graphicData uri="http://schemas.microsoft.com/office/word/2010/wordprocessingShape">
                          <wps:wsp>
                            <wps:cNvSpPr txBox="1"/>
                            <wps:spPr>
                              <a:xfrm>
                                <a:off x="0" y="0"/>
                                <a:ext cx="179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44805" cy="175260"/>
                      <wp:effectExtent l="0" t="0" r="0" b="0"/>
                      <wp:wrapNone/>
                      <wp:docPr id="384" name="Frame384"/>
                      <a:graphic xmlns:a="http://schemas.openxmlformats.org/drawingml/2006/main">
                        <a:graphicData uri="http://schemas.microsoft.com/office/word/2010/wordprocessingShape">
                          <wps:wsp>
                            <wps:cNvSpPr txBox="1"/>
                            <wps:spPr>
                              <a:xfrm>
                                <a:off x="0" y="0"/>
                                <a:ext cx="344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92710" cy="175260"/>
                      <wp:effectExtent l="0" t="0" r="0" b="0"/>
                      <wp:wrapNone/>
                      <wp:docPr id="385" name="Frame38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24460" cy="175260"/>
                      <wp:effectExtent l="0" t="0" r="0" b="0"/>
                      <wp:wrapNone/>
                      <wp:docPr id="386" name="Frame38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91185" cy="175260"/>
                      <wp:effectExtent l="0" t="0" r="0" b="0"/>
                      <wp:wrapNone/>
                      <wp:docPr id="387" name="Frame38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7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142"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r>
      <w:tr>
        <w:trPr/>
        <w:tc>
          <w:tcPr>
            <w:tcW w:w="147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203" w:type="dxa"/>
            <w:tcBorders/>
            <w:shd w:fill="auto" w:val="clear"/>
            <w:vAlign w:val="center"/>
          </w:tcPr>
          <w:p>
            <w:pPr>
              <w:pStyle w:val="TableContents"/>
              <w:spacing w:before="0" w:after="0"/>
              <w:ind w:left="0" w:right="0" w:hanging="0"/>
              <w:jc w:val="center"/>
              <w:rPr/>
            </w:pPr>
            <w:r>
              <w:rPr/>
              <w:t>​</w:t>
            </w:r>
          </w:p>
        </w:tc>
        <w:tc>
          <w:tcPr>
            <w:tcW w:w="62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REAL ESTATE LOANS</w:t>
            </w:r>
          </w:p>
        </w:tc>
        <w:tc>
          <w:tcPr>
            <w:tcW w:w="146" w:type="dxa"/>
            <w:tcBorders/>
            <w:shd w:fill="auto" w:val="clear"/>
            <w:vAlign w:val="center"/>
          </w:tcPr>
          <w:p>
            <w:pPr>
              <w:pStyle w:val="TableContents"/>
              <w:spacing w:before="0" w:after="0"/>
              <w:ind w:left="0" w:right="0" w:hanging="0"/>
              <w:rPr/>
            </w:pPr>
            <w:r>
              <w:rPr/>
              <w:t> </w:t>
            </w:r>
          </w:p>
        </w:tc>
        <w:tc>
          <w:tcPr>
            <w:tcW w:w="5962" w:type="dxa"/>
            <w:gridSpan w:val="1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Commercial</w:t>
            </w:r>
          </w:p>
        </w:tc>
        <w:tc>
          <w:tcPr>
            <w:tcW w:w="14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2018</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shd w:fill="auto" w:val="clear"/>
            <w:vAlign w:val="center"/>
          </w:tcPr>
          <w:p>
            <w:pPr>
              <w:pStyle w:val="TableContents"/>
              <w:spacing w:before="0" w:after="0"/>
              <w:ind w:left="0" w:right="0" w:hanging="0"/>
              <w:rPr/>
            </w:pPr>
            <w:r>
              <w:rPr/>
              <w:t> </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86,189</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76,030</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46,125</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38,930</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14,101</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55,271</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316,646</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Watch</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9,504</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9,877</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2,113</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2,113</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4,842</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5,423</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Total commercial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95,693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76,030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46,498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41,043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14,682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60,113</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334,059</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Construction and development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 </w:t>
            </w:r>
          </w:p>
        </w:tc>
        <w:tc>
          <w:tcPr>
            <w:tcW w:w="62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 </w:t>
            </w:r>
          </w:p>
        </w:tc>
        <w:tc>
          <w:tcPr>
            <w:tcW w:w="543"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rPr/>
            </w:pPr>
            <w:r>
              <w:rPr/>
              <w:t>​</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193,084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118,724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21,966</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8,379</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342,591</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construction and development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193,084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118,724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21,966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8,379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342,591</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Home equity</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4,978</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1,696</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6,818</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1,203</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1,572</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39,063</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55,341</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home equity</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4,978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6,818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1,605</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39,063</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55,387</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One-to-four-family</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166,388</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129,282</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82,461</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31,878</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15,837</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40,526</w:t>
            </w:r>
          </w:p>
        </w:tc>
        <w:tc>
          <w:tcPr>
            <w:tcW w:w="146" w:type="dxa"/>
            <w:tcBorders/>
            <w:shd w:fill="auto" w:val="clear"/>
            <w:vAlign w:val="center"/>
          </w:tcPr>
          <w:p>
            <w:pPr>
              <w:pStyle w:val="TableContents"/>
              <w:spacing w:before="0" w:after="0"/>
              <w:ind w:left="0" w:right="0" w:hanging="0"/>
              <w:rPr/>
            </w:pPr>
            <w:r>
              <w:rPr/>
              <w:t>​</w:t>
            </w:r>
          </w:p>
        </w:tc>
        <w:tc>
          <w:tcPr>
            <w:tcW w:w="203" w:type="dxa"/>
            <w:tcBorders/>
            <w:shd w:fill="auto" w:val="clear"/>
            <w:vAlign w:val="center"/>
          </w:tcPr>
          <w:p>
            <w:pPr>
              <w:pStyle w:val="TableContents"/>
              <w:spacing w:before="0" w:after="0"/>
              <w:ind w:left="0" w:right="0" w:hanging="0"/>
              <w:rPr/>
            </w:pPr>
            <w:r>
              <w:rPr/>
              <w:t>​</w:t>
            </w:r>
          </w:p>
        </w:tc>
        <w:tc>
          <w:tcPr>
            <w:tcW w:w="62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466,571</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1,941</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973</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2,914</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one-to-four-family</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166,388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129,282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82,461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31,878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17,778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41,499</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469,485</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Multi-family</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203"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41,041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63,353</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48,376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38,805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4,176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23,987</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219,738</w:t>
            </w:r>
          </w:p>
        </w:tc>
      </w:tr>
      <w:tr>
        <w:trPr/>
        <w:tc>
          <w:tcPr>
            <w:tcW w:w="14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multi-family</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41,041</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63,353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48,376</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38,805</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4,176</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23,987</w:t>
            </w:r>
          </w:p>
        </w:tc>
        <w:tc>
          <w:tcPr>
            <w:tcW w:w="146" w:type="dxa"/>
            <w:tcBorders/>
            <w:shd w:fill="CCEEFF" w:val="clear"/>
            <w:vAlign w:val="center"/>
          </w:tcPr>
          <w:p>
            <w:pPr>
              <w:pStyle w:val="TableContents"/>
              <w:spacing w:before="0" w:after="0"/>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219,738</w:t>
            </w:r>
          </w:p>
        </w:tc>
      </w:tr>
      <w:tr>
        <w:trPr/>
        <w:tc>
          <w:tcPr>
            <w:tcW w:w="14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real estate loans</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501,184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389,085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206,119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120,116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37,852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127,642</w:t>
            </w:r>
          </w:p>
        </w:tc>
        <w:tc>
          <w:tcPr>
            <w:tcW w:w="146" w:type="dxa"/>
            <w:tcBorders/>
            <w:shd w:fill="auto" w:val="clear"/>
            <w:vAlign w:val="center"/>
          </w:tcPr>
          <w:p>
            <w:pPr>
              <w:pStyle w:val="TableContents"/>
              <w:spacing w:before="0" w:after="0"/>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39,063</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1,421,260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1970" w:name="Tc_uF-bjoBb3Eu5Bn9_DIV1dg_21_26"/>
      <w:bookmarkStart w:id="1971" w:name="Tc_70i0gsopQECEZMUGHYSE9Q_21_23"/>
      <w:bookmarkStart w:id="1972" w:name="Tc_Z9FXzjrJZkemc2rFObXV-w_21_20"/>
      <w:bookmarkStart w:id="1973" w:name="Tc_6cJkcescN0yK1kcaPSpSog_21_17"/>
      <w:bookmarkStart w:id="1974" w:name="Tc_WQgSlKTDSk-7BqR8p0DUvw_21_14"/>
      <w:bookmarkStart w:id="1975" w:name="Tc_iVu0CydRNUmb5QQMARv3EQ_21_11"/>
      <w:bookmarkStart w:id="1976" w:name="Tc_aJrGwgTDDUqJulN5IGG4JQ_21_8"/>
      <w:bookmarkStart w:id="1977" w:name="Tc_eGXy_Jqm8k2h1RxkBz-fFA_21_5"/>
      <w:bookmarkStart w:id="1978" w:name="Tc_z-UgMyFtBEGVBEG3RHFE0Q_21_2"/>
      <w:bookmarkStart w:id="1979" w:name="Tc_bj32DqHpqEOOJppnkBYGMw_21_0"/>
      <w:bookmarkStart w:id="1980" w:name="Tc_8d3KMlNv4kGdaM9VSJ6qjg_20_0"/>
      <w:bookmarkStart w:id="1981" w:name="Tc_Ex_Iivxuz02P__OlNs2YiA_19_24"/>
      <w:bookmarkStart w:id="1982" w:name="Tc_F6bX8iYOqUqHbQCGXnnSZg_19_18"/>
      <w:bookmarkStart w:id="1983" w:name="Tc_qzN6zNZfYEC6efywKmvq-w_19_15"/>
      <w:bookmarkStart w:id="1984" w:name="Tc_2QlHNr4xqUu6HyD98JXUww_19_9"/>
      <w:bookmarkStart w:id="1985" w:name="Tc_xVSJF36hfUuZr4GkT5CA1w_19_6"/>
      <w:bookmarkStart w:id="1986" w:name="Tc_rqj3Q7SKA0WwAAUyeBBg1w_19_3"/>
      <w:bookmarkStart w:id="1987" w:name="Tc_yJN2dRLgtk-PZ7X50nhe1g_19_0"/>
      <w:bookmarkStart w:id="1988" w:name="Tc_j6eeDlOGmkG2XyhWF__frg_18_24"/>
      <w:bookmarkStart w:id="1989" w:name="Tc_P8WeTIkf1EWr17cXfJ87lw_18_15"/>
      <w:bookmarkStart w:id="1990" w:name="Tc_pvB2iXHkGUGzIZO51vP3kQ_18_12"/>
      <w:bookmarkStart w:id="1991" w:name="Tc_Roj7KX-DM0e9nNV9CNKfhw_18_0"/>
      <w:bookmarkStart w:id="1992" w:name="Tc_rcga45052EynD9f_FhhgyA_17_26"/>
      <w:bookmarkStart w:id="1993" w:name="Tc_cBFNeoEcxUap_0qa2I4qbw_17_23"/>
      <w:bookmarkStart w:id="1994" w:name="Tc_X-YAvMKVokOAcJ-Cu0oxqg_17_20"/>
      <w:bookmarkStart w:id="1995" w:name="Tc_354L10ro7UiUEssNlieubw_17_17"/>
      <w:bookmarkStart w:id="1996" w:name="Tc_P1FjcgmgdEK8aY4UaWbrMg_17_14"/>
      <w:bookmarkStart w:id="1997" w:name="Tc_Uq1msMjp_k-sqCf-pplp5w_17_11"/>
      <w:bookmarkStart w:id="1998" w:name="Tc_4A5Q1cgyXk2WC78ph90opA_17_8"/>
      <w:bookmarkStart w:id="1999" w:name="Tc_YPhS0JENfUq1K7k3e9TvDQ_17_5"/>
      <w:bookmarkStart w:id="2000" w:name="Tc_1yzqsdJzCUuOS2RTxFzV6Q_17_2"/>
      <w:bookmarkStart w:id="2001" w:name="Tc_1FTfVqJkSEGLrL2LFgymTA_17_0"/>
      <w:bookmarkStart w:id="2002" w:name="Tc_N7PJfUECDUyyM5bBgHhd_A_16_0"/>
      <w:bookmarkStart w:id="2003" w:name="Tc_2B_b2woXSkaJ3LzCLtiiuw_14_26"/>
      <w:bookmarkStart w:id="2004" w:name="Tc_mijUL6gLy0OjbGs0bKMWWQ_14_23"/>
      <w:bookmarkStart w:id="2005" w:name="Tc_X3tPonI6hkW7Xq-r1PgPeA_14_20"/>
      <w:bookmarkStart w:id="2006" w:name="Tc_5Fs3yqHi-0SmmGHmuIsziQ_14_17"/>
      <w:bookmarkStart w:id="2007" w:name="Tc_hFN_f3wfPk2UYmH378qb7g_14_14"/>
      <w:bookmarkStart w:id="2008" w:name="Tc_KNqvQHr-E02CpAdY7oqpoA_14_11"/>
      <w:bookmarkStart w:id="2009" w:name="Tc_CtblNC0UoESSKbT29w7d9Q_14_8"/>
      <w:bookmarkStart w:id="2010" w:name="Tc_g5lav4mdhU-B8D1TOLI6hA_14_5"/>
      <w:bookmarkStart w:id="2011" w:name="Tc_cSb-Gj9LDkWNO2hEnbN4xg_14_2"/>
      <w:bookmarkStart w:id="2012" w:name="Tc_sSn4qXNbJUuk-XEsyXNsrA_14_0"/>
      <w:bookmarkStart w:id="2013" w:name="Tc_fp5oSeEIEUalRF0Ac-t6JA_13_24"/>
      <w:bookmarkStart w:id="2014" w:name="Tc_YqOUSZU0RUexfdUKPu6U7Q_13_18"/>
      <w:bookmarkStart w:id="2015" w:name="Tc_LQmpGZwWi0W1n2RY0pDAuQ_13_15"/>
      <w:bookmarkStart w:id="2016" w:name="Tc_iZB6mHSWz0yp1TJXa-VPnQ_13_12"/>
      <w:bookmarkStart w:id="2017" w:name="Tc_-giQMYcIz0CFla19T8Creg_13_9"/>
      <w:bookmarkStart w:id="2018" w:name="Tc_BKXbCWF8aESNxE3vGP9D0w_13_6"/>
      <w:bookmarkStart w:id="2019" w:name="Tc_f5JI-e3w0EGzq4CZGPkDyA_13_3"/>
      <w:bookmarkStart w:id="2020" w:name="Tc_-U9xHxPP4E-it5X2h-q0cg_13_0"/>
      <w:bookmarkStart w:id="2021" w:name="Tc_bOleJtrgPkyiQL4kXqenyw_12_24"/>
      <w:bookmarkStart w:id="2022" w:name="Tc_8tw0PeV9HEW29yJrM6DYyQ_12_18"/>
      <w:bookmarkStart w:id="2023" w:name="Tc_4E5tD14Tl0yH_qWgwAmUxg_12_15"/>
      <w:bookmarkStart w:id="2024" w:name="Tc_aSNoTQI7fkWSFrbAygJ2aA_12_12"/>
      <w:bookmarkStart w:id="2025" w:name="Tc_dy1OXj-auUi6ctFSYrwQ7g_12_9"/>
      <w:bookmarkStart w:id="2026" w:name="Tc_SuDtxeaRG0q3NzxckUdPHA_12_6"/>
      <w:bookmarkStart w:id="2027" w:name="Tc_EFf4MG1My0S0niIC_2rcfA_12_3"/>
      <w:bookmarkStart w:id="2028" w:name="Tc_Ytc8N-ZNk0q9fzZW-viQtw_12_0"/>
      <w:bookmarkStart w:id="2029" w:name="Tc_BYwnvTgkOE-PvKVx1DFIzw_11_24"/>
      <w:bookmarkStart w:id="2030" w:name="Tc_Nn-LtaoaRU-b-D58w8KL7A_11_18"/>
      <w:bookmarkStart w:id="2031" w:name="Tc__9aK4lEeJ0Wm4uPtydw1kg_11_15"/>
      <w:bookmarkStart w:id="2032" w:name="Tc_8B6JyesGx0qdY5uqzdTATA_11_12"/>
      <w:bookmarkStart w:id="2033" w:name="Tc_AYKdsAe9qEy1zRToETt9DA_11_9"/>
      <w:bookmarkStart w:id="2034" w:name="Tc_v573NIWGiU6l0WNgxgxLIQ_11_6"/>
      <w:bookmarkStart w:id="2035" w:name="Tc_Lsqux2zkD0uDqcZ1i7NPEg_11_3"/>
      <w:bookmarkStart w:id="2036" w:name="Tc_2Hsxqxaaxk6LTspUvzjHtA_11_0"/>
      <w:bookmarkStart w:id="2037" w:name="Tc_3_He1Lv-60Kb4g4hAqyWzw_10_0"/>
      <w:bookmarkStart w:id="2038" w:name="Tc_jMF46TVSN06HYNb_yini5Q_9_0"/>
      <w:bookmarkStart w:id="2039" w:name="Tc_PzPPmHlcFECJzmyNBJyYDQ_8_3"/>
      <w:bookmarkStart w:id="2040" w:name="Tc_kFW6I6RsLEe26ywkBYneMw_8_0"/>
      <w:bookmarkStart w:id="2041" w:name="Tc_ZBShW0W-8k2jYqJpJo2H6w_7_24"/>
      <w:bookmarkStart w:id="2042" w:name="Tc_bmi_2hasA0CumRnTx94Buw_7_18"/>
      <w:bookmarkStart w:id="2043" w:name="Tc_5YOJJH5AHUGxMLyxy9v27A_7_15"/>
      <w:bookmarkStart w:id="2044" w:name="Tc_ECe3lwPlFkObn4E_nlW4pg_7_9"/>
      <w:bookmarkStart w:id="2045" w:name="Tc__mwrAHtcH0WFyYDrgEHceQ_7_6"/>
      <w:bookmarkStart w:id="2046" w:name="Tc_lDacI7385EOfe9kA4dh1lg_7_3"/>
      <w:bookmarkStart w:id="2047" w:name="Tc_D8zY9l7xwUCaTZs0Aut1ww_7_0"/>
      <w:bookmarkStart w:id="2048" w:name="Tc_GgjmQYYXvEyEfCmH0K2PRw_6_24"/>
      <w:bookmarkStart w:id="2049" w:name="Tc_A-qyjf_pvkqManAqIh5K0A_6_15"/>
      <w:bookmarkStart w:id="2050" w:name="Tc_xynt4PZYE0emg_GdsK9Z_Q_6_12"/>
      <w:bookmarkStart w:id="2051" w:name="Tc_T2x9KGk1v0GeyGabe4HmsA_6_3"/>
      <w:bookmarkStart w:id="2052" w:name="Tc__Xzr4p_arkWAoGboa7bYpg_6_0"/>
      <w:bookmarkStart w:id="2053" w:name="Tc_Md42WoHTmU6-VUTElg0kjg_5_26"/>
      <w:bookmarkStart w:id="2054" w:name="Tc_YmCsD9usakC0VRXh7dnl0g_5_24"/>
      <w:bookmarkStart w:id="2055" w:name="Tc_41TqjlAVeEuMXIg4UYMnEQ_5_23"/>
      <w:bookmarkStart w:id="2056" w:name="Tc_9Ag4W0Gla0uzFN2_m_SL5Q_5_20"/>
      <w:bookmarkStart w:id="2057" w:name="Tc_O7-rttjgNkmV58-j5bopFw_5_17"/>
      <w:bookmarkStart w:id="2058" w:name="Tc_FtSjNqwIb0O60npFaYxScg_5_14"/>
      <w:bookmarkStart w:id="2059" w:name="Tc_BURWs4Aapk6Dj04V15M04w_5_11"/>
      <w:bookmarkStart w:id="2060" w:name="Tc_90mHTBUKxk6sQsFIXuVwBw_5_8"/>
      <w:bookmarkStart w:id="2061" w:name="Tc_j-gYcKlin0mMrPAoi1lVCw_5_5"/>
      <w:bookmarkStart w:id="2062" w:name="Tc_tpe7g5JKgk2TomWEnGfhTw_5_2"/>
      <w:bookmarkStart w:id="2063" w:name="Tc_uOY5FmCdr0KfpN6Kreh8cw_5_0"/>
      <w:bookmarkStart w:id="2064" w:name="Tc_DTxwCPbmrEO7GVIi_ZEYZQ_4_26"/>
      <w:bookmarkStart w:id="2065" w:name="Tc_e8huBQC_WUGsamXQtc-tVg_4_23"/>
      <w:bookmarkStart w:id="2066" w:name="Tc_TZ74PSUM4k2dhOqkHyTHdg_4_20"/>
      <w:bookmarkStart w:id="2067" w:name="Tc_Kg12EXS8u0CPGS8vSvwn5w_4_17"/>
      <w:bookmarkStart w:id="2068" w:name="Tc_GRMjmlLTcUqlvmON57i76g_4_14"/>
      <w:bookmarkStart w:id="2069" w:name="Tc_OZckFuDLZkeGGb-YRyGn1w_4_11"/>
      <w:bookmarkStart w:id="2070" w:name="Tc_i3TlGtnqwUC1P0zpddnWPw_4_8"/>
      <w:bookmarkStart w:id="2071" w:name="Tc_LqQCKlOspkC_ePzVV03EMw_4_5"/>
      <w:bookmarkStart w:id="2072" w:name="Tc_u1gyMGe7EkONOP63ps9w9w_4_2"/>
      <w:bookmarkStart w:id="2073" w:name="Tc_hOeSK7ry6EW6xxOcLOatgA_4_0"/>
      <w:bookmarkStart w:id="2074" w:name="Tc_e-_USIxvXEqHOxT-ygGXfg_3_23"/>
      <w:bookmarkStart w:id="2075" w:name="Tc_PrYti09TXUG3U_v1-X6xMg_3_2"/>
      <w:bookmarkStart w:id="2076" w:name="Tc_M9PEU4sN30WcGu5voQiDWA_3_0"/>
      <w:bookmarkStart w:id="2077" w:name="Tc_LUmE1GZkMUabi8txfm07SQ_2_23"/>
      <w:bookmarkStart w:id="2078" w:name="Tc_wrk9Kj_EG0CxMAokilDskg_2_0"/>
      <w:bookmarkStart w:id="2079" w:name="Tc_MpPjguKqn0euvkz4blI5bA_1_2"/>
      <w:bookmarkStart w:id="2080" w:name="_f13cc04c_1dd9_4b62_8faa_370006a845d5"/>
      <w:bookmarkStart w:id="2081" w:name="Tc_-qtrrNu-_0K64BqfOdAy7Q_16_26"/>
      <w:bookmarkStart w:id="2082" w:name="Tc_XhAQO8wc0kKUzIQe7vH39w_16_24"/>
      <w:bookmarkStart w:id="2083" w:name="Tc_N6gDsgY040Cf4mR4tpI3sQ_16_23"/>
      <w:bookmarkStart w:id="2084" w:name="Tc_xdm2AljVL0291OtLdv5hzw_16_20"/>
      <w:bookmarkStart w:id="2085" w:name="Tc_m-pKZ1ysok6AtnmfrRBJFg_16_17"/>
      <w:bookmarkStart w:id="2086" w:name="Tc_5R7OifEgaUqiWHb7Z1a6qQ_16_14"/>
      <w:bookmarkStart w:id="2087" w:name="Tc_ePknmXTiYEWT8c01H_EoXQ_16_11"/>
      <w:bookmarkStart w:id="2088" w:name="Tc_7NKfCypMlEy_Urxx_r8iQw_16_8"/>
      <w:bookmarkStart w:id="2089" w:name="Tc_2UoHnAS5D0GSzl-GZOb__Q_16_5"/>
      <w:bookmarkStart w:id="2090" w:name="Tc_bqOPcPhkBEmlfSDwb4a93w_16_2"/>
      <w:bookmarkStart w:id="2091" w:name="Tc__t3zQ5CUv02wLrTR8eEdtA_16_0"/>
      <w:bookmarkStart w:id="2092" w:name="Tc_QN7sGefNtEiAbLPViCSGeA_15_24"/>
      <w:bookmarkStart w:id="2093" w:name="Tc_PQ2BW8aAzEOhao83Zq2Jsg_15_0"/>
      <w:bookmarkStart w:id="2094" w:name="Tc_DA1LVcdm2kOxBfR_xg_N7A_14_24"/>
      <w:bookmarkStart w:id="2095" w:name="Tc_hl3QMVhTJkyP7yVOv3EbhQ_14_18"/>
      <w:bookmarkStart w:id="2096" w:name="Tc_asrHW3m92UWQDlAFHYPU4w_14_15"/>
      <w:bookmarkStart w:id="2097" w:name="Tc_JPvPKJw4PUCiHTQJKq4Jfw_14_12"/>
      <w:bookmarkStart w:id="2098" w:name="Tc_KeanIGoFE0W_0Sw_WzQIQg_14_9"/>
      <w:bookmarkStart w:id="2099" w:name="Tc_XglJdYRzAky2ZDLMY7pyrg_14_0"/>
      <w:bookmarkStart w:id="2100" w:name="Tc_u3N7tz7kxUi9UlifvHeizA_13_24"/>
      <w:bookmarkStart w:id="2101" w:name="Tc_GHUqPvZ9mU6a51MYnbl9Ew_13_0"/>
      <w:bookmarkStart w:id="2102" w:name="Tc_9aWbheQEa0K0Sy-ur2pWJg_12_0"/>
      <w:bookmarkStart w:id="2103" w:name="Tc_TAroXzhmGkypnjGbzBUhMQ_11_24"/>
      <w:bookmarkStart w:id="2104" w:name="Tc_M9OVMG0vZkK_PGD6-aZM-A_11_21"/>
      <w:bookmarkStart w:id="2105" w:name="Tc_lsBlkoczHUCZSTcMdQ77Hw_11_0"/>
      <w:bookmarkStart w:id="2106" w:name="Tc_ZRobMr0_aEuXJQ-Rf8LAqg_10_24"/>
      <w:bookmarkStart w:id="2107" w:name="Tc_HYFNreZ4pUOQs0UNIRy9hQ_10_21"/>
      <w:bookmarkStart w:id="2108" w:name="Tc_ivcpyScqBkS7E6hCqO6FZQ_10_9"/>
      <w:bookmarkStart w:id="2109" w:name="Tc_dV323J7KH0qOB63DQ8M3Kw_10_6"/>
      <w:bookmarkStart w:id="2110" w:name="Tc_r5UCv4oicUS1BnivPlefCA_10_3"/>
      <w:bookmarkStart w:id="2111" w:name="Tc_1g-hXSU9V068Hr3-Ws5-cg_10_0"/>
      <w:bookmarkStart w:id="2112" w:name="Tc_lTVh7yK84EiCiWFp9uJ80Q_9_24"/>
      <w:bookmarkStart w:id="2113" w:name="Tc_qCwl_O69dUOFoFeu0fqtaQ_9_21"/>
      <w:bookmarkStart w:id="2114" w:name="Tc_8Dnra3Hib0yIseZ6XezjyQ_9_0"/>
      <w:bookmarkStart w:id="2115" w:name="Tc_ysdngYLHi0OolJV5tMvcow_8_0"/>
      <w:bookmarkStart w:id="2116" w:name="Tc_Ho7MvLsNyEOh0Vr87B_ddw_7_24"/>
      <w:bookmarkStart w:id="2117" w:name="Tc_KKRuxH5-nEmrhOhJAA5-Dg_7_0"/>
      <w:bookmarkStart w:id="2118" w:name="Tc_doDm4qo4p0aBIvu2zECflw_6_24"/>
      <w:bookmarkStart w:id="2119" w:name="Tc_dCAXVcfhh0CFXe8tF-Ju9Q_6_21"/>
      <w:bookmarkStart w:id="2120" w:name="Tc_c6UD6bWQhkuinWOhU_449g_6_0"/>
      <w:bookmarkStart w:id="2121" w:name="Tc_gWeRF2O9mEG37VEyvC5cPQ_5_26"/>
      <w:bookmarkStart w:id="2122" w:name="Tc_TPAeWh65T0msb_tsJAx12g_5_24"/>
      <w:bookmarkStart w:id="2123" w:name="Tc_BU5-Wld4k0e7tCwgLQPUHQ_5_23"/>
      <w:bookmarkStart w:id="2124" w:name="Tc_bvW26oIUAE2nQQ1OgBOtPw_5_20"/>
      <w:bookmarkStart w:id="2125" w:name="Tc_9gX3UXJ56EWlHQq1hU77xg_5_17"/>
      <w:bookmarkStart w:id="2126" w:name="Tc_-l6_qs-FrEawmcS-Wx9pew_5_14"/>
      <w:bookmarkStart w:id="2127" w:name="Tc_mcO0ECc5DUmr6ycVOyKHAg_5_11"/>
      <w:bookmarkStart w:id="2128" w:name="Tc_ShzN4s0bJE-JRFENXNHMJA_5_8"/>
      <w:bookmarkStart w:id="2129" w:name="Tc_9f3deqQ9hU-hHv_ClnWaLg_5_5"/>
      <w:bookmarkStart w:id="2130" w:name="Tc_Bc6VWFRTwkKGBAYCsMMPsQ_5_2"/>
      <w:bookmarkStart w:id="2131" w:name="Tc_NgSzWFaYHkqyi82fTVoyqg_5_0"/>
      <w:bookmarkStart w:id="2132" w:name="Tc_Y5UBnb5n6keh2ldKutTVEg_4_26"/>
      <w:bookmarkStart w:id="2133" w:name="Tc_VL7aFeA8EUCvnBruLBHeZw_4_23"/>
      <w:bookmarkStart w:id="2134" w:name="Tc_J6GDdDue8UyukYR45G_WRA_4_20"/>
      <w:bookmarkStart w:id="2135" w:name="Tc_CdFfKpzeWk2AWpQ9KdAMpQ_4_17"/>
      <w:bookmarkStart w:id="2136" w:name="Tc_I4gAQdJuM0aqw4d18BnJaA_4_14"/>
      <w:bookmarkStart w:id="2137" w:name="Tc_2dEAG7o0e0qFwEH20gavOg_4_11"/>
      <w:bookmarkStart w:id="2138" w:name="Tc_rf6XBzUn6kCKb4iWUNY_aw_4_8"/>
      <w:bookmarkStart w:id="2139" w:name="Tc_tJkDL30-z0amKElz8fPuTg_4_5"/>
      <w:bookmarkStart w:id="2140" w:name="Tc_MwsJGHfXuEOht5IJprqkwQ_4_2"/>
      <w:bookmarkStart w:id="2141" w:name="Tc_ftl-UL60lUW02EyTt8uXdA_4_0"/>
      <w:bookmarkStart w:id="2142" w:name="Tc_CguS_aJ990idgQoiFpDaag_3_23"/>
      <w:bookmarkStart w:id="2143" w:name="Tc_8IDV5mP8kkufBeZ-QhJLGA_3_2"/>
      <w:bookmarkStart w:id="2144" w:name="Tc_yOvs8pJCJkmRCJieTTpzvg_3_0"/>
      <w:bookmarkStart w:id="2145" w:name="Tc_PELenk_CYUSCFE2qobs1ZQ_2_23"/>
      <w:bookmarkStart w:id="2146" w:name="Tc_NbzezApgsU6Dlhv5UFkvpA_1_2"/>
      <w:bookmarkStart w:id="2147" w:name="_51b87f5e_d5a6_4f84_a5b7_a4df21f40775"/>
      <w:bookmarkStart w:id="2148" w:name="Tc_uF-bjoBb3Eu5Bn9_DIV1dg_21_26"/>
      <w:bookmarkStart w:id="2149" w:name="Tc_70i0gsopQECEZMUGHYSE9Q_21_23"/>
      <w:bookmarkStart w:id="2150" w:name="Tc_Z9FXzjrJZkemc2rFObXV-w_21_20"/>
      <w:bookmarkStart w:id="2151" w:name="Tc_6cJkcescN0yK1kcaPSpSog_21_17"/>
      <w:bookmarkStart w:id="2152" w:name="Tc_WQgSlKTDSk-7BqR8p0DUvw_21_14"/>
      <w:bookmarkStart w:id="2153" w:name="Tc_iVu0CydRNUmb5QQMARv3EQ_21_11"/>
      <w:bookmarkStart w:id="2154" w:name="Tc_aJrGwgTDDUqJulN5IGG4JQ_21_8"/>
      <w:bookmarkStart w:id="2155" w:name="Tc_eGXy_Jqm8k2h1RxkBz-fFA_21_5"/>
      <w:bookmarkStart w:id="2156" w:name="Tc_z-UgMyFtBEGVBEG3RHFE0Q_21_2"/>
      <w:bookmarkStart w:id="2157" w:name="Tc_bj32DqHpqEOOJppnkBYGMw_21_0"/>
      <w:bookmarkStart w:id="2158" w:name="Tc_8d3KMlNv4kGdaM9VSJ6qjg_20_0"/>
      <w:bookmarkStart w:id="2159" w:name="Tc_Ex_Iivxuz02P__OlNs2YiA_19_24"/>
      <w:bookmarkStart w:id="2160" w:name="Tc_F6bX8iYOqUqHbQCGXnnSZg_19_18"/>
      <w:bookmarkStart w:id="2161" w:name="Tc_qzN6zNZfYEC6efywKmvq-w_19_15"/>
      <w:bookmarkStart w:id="2162" w:name="Tc_2QlHNr4xqUu6HyD98JXUww_19_9"/>
      <w:bookmarkStart w:id="2163" w:name="Tc_xVSJF36hfUuZr4GkT5CA1w_19_6"/>
      <w:bookmarkStart w:id="2164" w:name="Tc_rqj3Q7SKA0WwAAUyeBBg1w_19_3"/>
      <w:bookmarkStart w:id="2165" w:name="Tc_yJN2dRLgtk-PZ7X50nhe1g_19_0"/>
      <w:bookmarkStart w:id="2166" w:name="Tc_j6eeDlOGmkG2XyhWF__frg_18_24"/>
      <w:bookmarkStart w:id="2167" w:name="Tc_P8WeTIkf1EWr17cXfJ87lw_18_15"/>
      <w:bookmarkStart w:id="2168" w:name="Tc_pvB2iXHkGUGzIZO51vP3kQ_18_12"/>
      <w:bookmarkStart w:id="2169" w:name="Tc_Roj7KX-DM0e9nNV9CNKfhw_18_0"/>
      <w:bookmarkStart w:id="2170" w:name="Tc_rcga45052EynD9f_FhhgyA_17_26"/>
      <w:bookmarkStart w:id="2171" w:name="Tc_cBFNeoEcxUap_0qa2I4qbw_17_23"/>
      <w:bookmarkStart w:id="2172" w:name="Tc_X-YAvMKVokOAcJ-Cu0oxqg_17_20"/>
      <w:bookmarkStart w:id="2173" w:name="Tc_354L10ro7UiUEssNlieubw_17_17"/>
      <w:bookmarkStart w:id="2174" w:name="Tc_P1FjcgmgdEK8aY4UaWbrMg_17_14"/>
      <w:bookmarkStart w:id="2175" w:name="Tc_Uq1msMjp_k-sqCf-pplp5w_17_11"/>
      <w:bookmarkStart w:id="2176" w:name="Tc_4A5Q1cgyXk2WC78ph90opA_17_8"/>
      <w:bookmarkStart w:id="2177" w:name="Tc_YPhS0JENfUq1K7k3e9TvDQ_17_5"/>
      <w:bookmarkStart w:id="2178" w:name="Tc_1yzqsdJzCUuOS2RTxFzV6Q_17_2"/>
      <w:bookmarkStart w:id="2179" w:name="Tc_1FTfVqJkSEGLrL2LFgymTA_17_0"/>
      <w:bookmarkStart w:id="2180" w:name="Tc_N7PJfUECDUyyM5bBgHhd_A_16_0"/>
      <w:bookmarkStart w:id="2181" w:name="Tc_2B_b2woXSkaJ3LzCLtiiuw_14_26"/>
      <w:bookmarkStart w:id="2182" w:name="Tc_mijUL6gLy0OjbGs0bKMWWQ_14_23"/>
      <w:bookmarkStart w:id="2183" w:name="Tc_X3tPonI6hkW7Xq-r1PgPeA_14_20"/>
      <w:bookmarkStart w:id="2184" w:name="Tc_5Fs3yqHi-0SmmGHmuIsziQ_14_17"/>
      <w:bookmarkStart w:id="2185" w:name="Tc_hFN_f3wfPk2UYmH378qb7g_14_14"/>
      <w:bookmarkStart w:id="2186" w:name="Tc_KNqvQHr-E02CpAdY7oqpoA_14_11"/>
      <w:bookmarkStart w:id="2187" w:name="Tc_CtblNC0UoESSKbT29w7d9Q_14_8"/>
      <w:bookmarkStart w:id="2188" w:name="Tc_g5lav4mdhU-B8D1TOLI6hA_14_5"/>
      <w:bookmarkStart w:id="2189" w:name="Tc_cSb-Gj9LDkWNO2hEnbN4xg_14_2"/>
      <w:bookmarkStart w:id="2190" w:name="Tc_sSn4qXNbJUuk-XEsyXNsrA_14_0"/>
      <w:bookmarkStart w:id="2191" w:name="Tc_fp5oSeEIEUalRF0Ac-t6JA_13_24"/>
      <w:bookmarkStart w:id="2192" w:name="Tc_YqOUSZU0RUexfdUKPu6U7Q_13_18"/>
      <w:bookmarkStart w:id="2193" w:name="Tc_LQmpGZwWi0W1n2RY0pDAuQ_13_15"/>
      <w:bookmarkStart w:id="2194" w:name="Tc_iZB6mHSWz0yp1TJXa-VPnQ_13_12"/>
      <w:bookmarkStart w:id="2195" w:name="Tc_-giQMYcIz0CFla19T8Creg_13_9"/>
      <w:bookmarkStart w:id="2196" w:name="Tc_BKXbCWF8aESNxE3vGP9D0w_13_6"/>
      <w:bookmarkStart w:id="2197" w:name="Tc_f5JI-e3w0EGzq4CZGPkDyA_13_3"/>
      <w:bookmarkStart w:id="2198" w:name="Tc_-U9xHxPP4E-it5X2h-q0cg_13_0"/>
      <w:bookmarkStart w:id="2199" w:name="Tc_bOleJtrgPkyiQL4kXqenyw_12_24"/>
      <w:bookmarkStart w:id="2200" w:name="Tc_8tw0PeV9HEW29yJrM6DYyQ_12_18"/>
      <w:bookmarkStart w:id="2201" w:name="Tc_4E5tD14Tl0yH_qWgwAmUxg_12_15"/>
      <w:bookmarkStart w:id="2202" w:name="Tc_aSNoTQI7fkWSFrbAygJ2aA_12_12"/>
      <w:bookmarkStart w:id="2203" w:name="Tc_dy1OXj-auUi6ctFSYrwQ7g_12_9"/>
      <w:bookmarkStart w:id="2204" w:name="Tc_SuDtxeaRG0q3NzxckUdPHA_12_6"/>
      <w:bookmarkStart w:id="2205" w:name="Tc_EFf4MG1My0S0niIC_2rcfA_12_3"/>
      <w:bookmarkStart w:id="2206" w:name="Tc_Ytc8N-ZNk0q9fzZW-viQtw_12_0"/>
      <w:bookmarkStart w:id="2207" w:name="Tc_BYwnvTgkOE-PvKVx1DFIzw_11_24"/>
      <w:bookmarkStart w:id="2208" w:name="Tc_Nn-LtaoaRU-b-D58w8KL7A_11_18"/>
      <w:bookmarkStart w:id="2209" w:name="Tc__9aK4lEeJ0Wm4uPtydw1kg_11_15"/>
      <w:bookmarkStart w:id="2210" w:name="Tc_8B6JyesGx0qdY5uqzdTATA_11_12"/>
      <w:bookmarkStart w:id="2211" w:name="Tc_AYKdsAe9qEy1zRToETt9DA_11_9"/>
      <w:bookmarkStart w:id="2212" w:name="Tc_v573NIWGiU6l0WNgxgxLIQ_11_6"/>
      <w:bookmarkStart w:id="2213" w:name="Tc_Lsqux2zkD0uDqcZ1i7NPEg_11_3"/>
      <w:bookmarkStart w:id="2214" w:name="Tc_2Hsxqxaaxk6LTspUvzjHtA_11_0"/>
      <w:bookmarkStart w:id="2215" w:name="Tc_3_He1Lv-60Kb4g4hAqyWzw_10_0"/>
      <w:bookmarkStart w:id="2216" w:name="Tc_jMF46TVSN06HYNb_yini5Q_9_0"/>
      <w:bookmarkStart w:id="2217" w:name="Tc_PzPPmHlcFECJzmyNBJyYDQ_8_3"/>
      <w:bookmarkStart w:id="2218" w:name="Tc_kFW6I6RsLEe26ywkBYneMw_8_0"/>
      <w:bookmarkStart w:id="2219" w:name="Tc_ZBShW0W-8k2jYqJpJo2H6w_7_24"/>
      <w:bookmarkStart w:id="2220" w:name="Tc_bmi_2hasA0CumRnTx94Buw_7_18"/>
      <w:bookmarkStart w:id="2221" w:name="Tc_5YOJJH5AHUGxMLyxy9v27A_7_15"/>
      <w:bookmarkStart w:id="2222" w:name="Tc_ECe3lwPlFkObn4E_nlW4pg_7_9"/>
      <w:bookmarkStart w:id="2223" w:name="Tc__mwrAHtcH0WFyYDrgEHceQ_7_6"/>
      <w:bookmarkStart w:id="2224" w:name="Tc_lDacI7385EOfe9kA4dh1lg_7_3"/>
      <w:bookmarkStart w:id="2225" w:name="Tc_D8zY9l7xwUCaTZs0Aut1ww_7_0"/>
      <w:bookmarkStart w:id="2226" w:name="Tc_GgjmQYYXvEyEfCmH0K2PRw_6_24"/>
      <w:bookmarkStart w:id="2227" w:name="Tc_A-qyjf_pvkqManAqIh5K0A_6_15"/>
      <w:bookmarkStart w:id="2228" w:name="Tc_xynt4PZYE0emg_GdsK9Z_Q_6_12"/>
      <w:bookmarkStart w:id="2229" w:name="Tc_T2x9KGk1v0GeyGabe4HmsA_6_3"/>
      <w:bookmarkStart w:id="2230" w:name="Tc__Xzr4p_arkWAoGboa7bYpg_6_0"/>
      <w:bookmarkStart w:id="2231" w:name="Tc_Md42WoHTmU6-VUTElg0kjg_5_26"/>
      <w:bookmarkStart w:id="2232" w:name="Tc_YmCsD9usakC0VRXh7dnl0g_5_24"/>
      <w:bookmarkStart w:id="2233" w:name="Tc_41TqjlAVeEuMXIg4UYMnEQ_5_23"/>
      <w:bookmarkStart w:id="2234" w:name="Tc_9Ag4W0Gla0uzFN2_m_SL5Q_5_20"/>
      <w:bookmarkStart w:id="2235" w:name="Tc_O7-rttjgNkmV58-j5bopFw_5_17"/>
      <w:bookmarkStart w:id="2236" w:name="Tc_FtSjNqwIb0O60npFaYxScg_5_14"/>
      <w:bookmarkStart w:id="2237" w:name="Tc_BURWs4Aapk6Dj04V15M04w_5_11"/>
      <w:bookmarkStart w:id="2238" w:name="Tc_90mHTBUKxk6sQsFIXuVwBw_5_8"/>
      <w:bookmarkStart w:id="2239" w:name="Tc_j-gYcKlin0mMrPAoi1lVCw_5_5"/>
      <w:bookmarkStart w:id="2240" w:name="Tc_tpe7g5JKgk2TomWEnGfhTw_5_2"/>
      <w:bookmarkStart w:id="2241" w:name="Tc_uOY5FmCdr0KfpN6Kreh8cw_5_0"/>
      <w:bookmarkStart w:id="2242" w:name="Tc_DTxwCPbmrEO7GVIi_ZEYZQ_4_26"/>
      <w:bookmarkStart w:id="2243" w:name="Tc_e8huBQC_WUGsamXQtc-tVg_4_23"/>
      <w:bookmarkStart w:id="2244" w:name="Tc_TZ74PSUM4k2dhOqkHyTHdg_4_20"/>
      <w:bookmarkStart w:id="2245" w:name="Tc_Kg12EXS8u0CPGS8vSvwn5w_4_17"/>
      <w:bookmarkStart w:id="2246" w:name="Tc_GRMjmlLTcUqlvmON57i76g_4_14"/>
      <w:bookmarkStart w:id="2247" w:name="Tc_OZckFuDLZkeGGb-YRyGn1w_4_11"/>
      <w:bookmarkStart w:id="2248" w:name="Tc_i3TlGtnqwUC1P0zpddnWPw_4_8"/>
      <w:bookmarkStart w:id="2249" w:name="Tc_LqQCKlOspkC_ePzVV03EMw_4_5"/>
      <w:bookmarkStart w:id="2250" w:name="Tc_u1gyMGe7EkONOP63ps9w9w_4_2"/>
      <w:bookmarkStart w:id="2251" w:name="Tc_hOeSK7ry6EW6xxOcLOatgA_4_0"/>
      <w:bookmarkStart w:id="2252" w:name="Tc_e-_USIxvXEqHOxT-ygGXfg_3_23"/>
      <w:bookmarkStart w:id="2253" w:name="Tc_PrYti09TXUG3U_v1-X6xMg_3_2"/>
      <w:bookmarkStart w:id="2254" w:name="Tc_M9PEU4sN30WcGu5voQiDWA_3_0"/>
      <w:bookmarkStart w:id="2255" w:name="Tc_LUmE1GZkMUabi8txfm07SQ_2_23"/>
      <w:bookmarkStart w:id="2256" w:name="Tc_wrk9Kj_EG0CxMAokilDskg_2_0"/>
      <w:bookmarkStart w:id="2257" w:name="Tc_MpPjguKqn0euvkz4blI5bA_1_2"/>
      <w:bookmarkStart w:id="2258" w:name="_f13cc04c_1dd9_4b62_8faa_370006a845d5"/>
      <w:bookmarkStart w:id="2259" w:name="Tc_-qtrrNu-_0K64BqfOdAy7Q_16_26"/>
      <w:bookmarkStart w:id="2260" w:name="Tc_XhAQO8wc0kKUzIQe7vH39w_16_24"/>
      <w:bookmarkStart w:id="2261" w:name="Tc_N6gDsgY040Cf4mR4tpI3sQ_16_23"/>
      <w:bookmarkStart w:id="2262" w:name="Tc_xdm2AljVL0291OtLdv5hzw_16_20"/>
      <w:bookmarkStart w:id="2263" w:name="Tc_m-pKZ1ysok6AtnmfrRBJFg_16_17"/>
      <w:bookmarkStart w:id="2264" w:name="Tc_5R7OifEgaUqiWHb7Z1a6qQ_16_14"/>
      <w:bookmarkStart w:id="2265" w:name="Tc_ePknmXTiYEWT8c01H_EoXQ_16_11"/>
      <w:bookmarkStart w:id="2266" w:name="Tc_7NKfCypMlEy_Urxx_r8iQw_16_8"/>
      <w:bookmarkStart w:id="2267" w:name="Tc_2UoHnAS5D0GSzl-GZOb__Q_16_5"/>
      <w:bookmarkStart w:id="2268" w:name="Tc_bqOPcPhkBEmlfSDwb4a93w_16_2"/>
      <w:bookmarkStart w:id="2269" w:name="Tc__t3zQ5CUv02wLrTR8eEdtA_16_0"/>
      <w:bookmarkStart w:id="2270" w:name="Tc_QN7sGefNtEiAbLPViCSGeA_15_24"/>
      <w:bookmarkStart w:id="2271" w:name="Tc_PQ2BW8aAzEOhao83Zq2Jsg_15_0"/>
      <w:bookmarkStart w:id="2272" w:name="Tc_DA1LVcdm2kOxBfR_xg_N7A_14_24"/>
      <w:bookmarkStart w:id="2273" w:name="Tc_hl3QMVhTJkyP7yVOv3EbhQ_14_18"/>
      <w:bookmarkStart w:id="2274" w:name="Tc_asrHW3m92UWQDlAFHYPU4w_14_15"/>
      <w:bookmarkStart w:id="2275" w:name="Tc_JPvPKJw4PUCiHTQJKq4Jfw_14_12"/>
      <w:bookmarkStart w:id="2276" w:name="Tc_KeanIGoFE0W_0Sw_WzQIQg_14_9"/>
      <w:bookmarkStart w:id="2277" w:name="Tc_XglJdYRzAky2ZDLMY7pyrg_14_0"/>
      <w:bookmarkStart w:id="2278" w:name="Tc_u3N7tz7kxUi9UlifvHeizA_13_24"/>
      <w:bookmarkStart w:id="2279" w:name="Tc_GHUqPvZ9mU6a51MYnbl9Ew_13_0"/>
      <w:bookmarkStart w:id="2280" w:name="Tc_9aWbheQEa0K0Sy-ur2pWJg_12_0"/>
      <w:bookmarkStart w:id="2281" w:name="Tc_TAroXzhmGkypnjGbzBUhMQ_11_24"/>
      <w:bookmarkStart w:id="2282" w:name="Tc_M9OVMG0vZkK_PGD6-aZM-A_11_21"/>
      <w:bookmarkStart w:id="2283" w:name="Tc_lsBlkoczHUCZSTcMdQ77Hw_11_0"/>
      <w:bookmarkStart w:id="2284" w:name="Tc_ZRobMr0_aEuXJQ-Rf8LAqg_10_24"/>
      <w:bookmarkStart w:id="2285" w:name="Tc_HYFNreZ4pUOQs0UNIRy9hQ_10_21"/>
      <w:bookmarkStart w:id="2286" w:name="Tc_ivcpyScqBkS7E6hCqO6FZQ_10_9"/>
      <w:bookmarkStart w:id="2287" w:name="Tc_dV323J7KH0qOB63DQ8M3Kw_10_6"/>
      <w:bookmarkStart w:id="2288" w:name="Tc_r5UCv4oicUS1BnivPlefCA_10_3"/>
      <w:bookmarkStart w:id="2289" w:name="Tc_1g-hXSU9V068Hr3-Ws5-cg_10_0"/>
      <w:bookmarkStart w:id="2290" w:name="Tc_lTVh7yK84EiCiWFp9uJ80Q_9_24"/>
      <w:bookmarkStart w:id="2291" w:name="Tc_qCwl_O69dUOFoFeu0fqtaQ_9_21"/>
      <w:bookmarkStart w:id="2292" w:name="Tc_8Dnra3Hib0yIseZ6XezjyQ_9_0"/>
      <w:bookmarkStart w:id="2293" w:name="Tc_ysdngYLHi0OolJV5tMvcow_8_0"/>
      <w:bookmarkStart w:id="2294" w:name="Tc_Ho7MvLsNyEOh0Vr87B_ddw_7_24"/>
      <w:bookmarkStart w:id="2295" w:name="Tc_KKRuxH5-nEmrhOhJAA5-Dg_7_0"/>
      <w:bookmarkStart w:id="2296" w:name="Tc_doDm4qo4p0aBIvu2zECflw_6_24"/>
      <w:bookmarkStart w:id="2297" w:name="Tc_dCAXVcfhh0CFXe8tF-Ju9Q_6_21"/>
      <w:bookmarkStart w:id="2298" w:name="Tc_c6UD6bWQhkuinWOhU_449g_6_0"/>
      <w:bookmarkStart w:id="2299" w:name="Tc_gWeRF2O9mEG37VEyvC5cPQ_5_26"/>
      <w:bookmarkStart w:id="2300" w:name="Tc_TPAeWh65T0msb_tsJAx12g_5_24"/>
      <w:bookmarkStart w:id="2301" w:name="Tc_BU5-Wld4k0e7tCwgLQPUHQ_5_23"/>
      <w:bookmarkStart w:id="2302" w:name="Tc_bvW26oIUAE2nQQ1OgBOtPw_5_20"/>
      <w:bookmarkStart w:id="2303" w:name="Tc_9gX3UXJ56EWlHQq1hU77xg_5_17"/>
      <w:bookmarkStart w:id="2304" w:name="Tc_-l6_qs-FrEawmcS-Wx9pew_5_14"/>
      <w:bookmarkStart w:id="2305" w:name="Tc_mcO0ECc5DUmr6ycVOyKHAg_5_11"/>
      <w:bookmarkStart w:id="2306" w:name="Tc_ShzN4s0bJE-JRFENXNHMJA_5_8"/>
      <w:bookmarkStart w:id="2307" w:name="Tc_9f3deqQ9hU-hHv_ClnWaLg_5_5"/>
      <w:bookmarkStart w:id="2308" w:name="Tc_Bc6VWFRTwkKGBAYCsMMPsQ_5_2"/>
      <w:bookmarkStart w:id="2309" w:name="Tc_NgSzWFaYHkqyi82fTVoyqg_5_0"/>
      <w:bookmarkStart w:id="2310" w:name="Tc_Y5UBnb5n6keh2ldKutTVEg_4_26"/>
      <w:bookmarkStart w:id="2311" w:name="Tc_VL7aFeA8EUCvnBruLBHeZw_4_23"/>
      <w:bookmarkStart w:id="2312" w:name="Tc_J6GDdDue8UyukYR45G_WRA_4_20"/>
      <w:bookmarkStart w:id="2313" w:name="Tc_CdFfKpzeWk2AWpQ9KdAMpQ_4_17"/>
      <w:bookmarkStart w:id="2314" w:name="Tc_I4gAQdJuM0aqw4d18BnJaA_4_14"/>
      <w:bookmarkStart w:id="2315" w:name="Tc_2dEAG7o0e0qFwEH20gavOg_4_11"/>
      <w:bookmarkStart w:id="2316" w:name="Tc_rf6XBzUn6kCKb4iWUNY_aw_4_8"/>
      <w:bookmarkStart w:id="2317" w:name="Tc_tJkDL30-z0amKElz8fPuTg_4_5"/>
      <w:bookmarkStart w:id="2318" w:name="Tc_MwsJGHfXuEOht5IJprqkwQ_4_2"/>
      <w:bookmarkStart w:id="2319" w:name="Tc_ftl-UL60lUW02EyTt8uXdA_4_0"/>
      <w:bookmarkStart w:id="2320" w:name="Tc_CguS_aJ990idgQoiFpDaag_3_23"/>
      <w:bookmarkStart w:id="2321" w:name="Tc_8IDV5mP8kkufBeZ-QhJLGA_3_2"/>
      <w:bookmarkStart w:id="2322" w:name="Tc_yOvs8pJCJkmRCJieTTpzvg_3_0"/>
      <w:bookmarkStart w:id="2323" w:name="Tc_PELenk_CYUSCFE2qobs1ZQ_2_23"/>
      <w:bookmarkStart w:id="2324" w:name="Tc_NbzezApgsU6Dlhv5UFkvpA_1_2"/>
      <w:bookmarkStart w:id="2325" w:name="_51b87f5e_d5a6_4f84_a5b7_a4df21f40775"/>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p>
    <w:tbl>
      <w:tblPr>
        <w:tblW w:w="10205" w:type="dxa"/>
        <w:jc w:val="left"/>
        <w:tblInd w:w="0" w:type="dxa"/>
        <w:tblCellMar>
          <w:top w:w="0" w:type="dxa"/>
          <w:left w:w="0" w:type="dxa"/>
          <w:bottom w:w="0" w:type="dxa"/>
          <w:right w:w="0" w:type="dxa"/>
        </w:tblCellMar>
      </w:tblPr>
      <w:tblGrid>
        <w:gridCol w:w="1225"/>
        <w:gridCol w:w="146"/>
        <w:gridCol w:w="196"/>
        <w:gridCol w:w="691"/>
        <w:gridCol w:w="146"/>
        <w:gridCol w:w="196"/>
        <w:gridCol w:w="691"/>
        <w:gridCol w:w="146"/>
        <w:gridCol w:w="196"/>
        <w:gridCol w:w="601"/>
        <w:gridCol w:w="146"/>
        <w:gridCol w:w="196"/>
        <w:gridCol w:w="601"/>
        <w:gridCol w:w="146"/>
        <w:gridCol w:w="196"/>
        <w:gridCol w:w="601"/>
        <w:gridCol w:w="146"/>
        <w:gridCol w:w="196"/>
        <w:gridCol w:w="601"/>
        <w:gridCol w:w="146"/>
        <w:gridCol w:w="241"/>
        <w:gridCol w:w="633"/>
        <w:gridCol w:w="109"/>
        <w:gridCol w:w="315"/>
        <w:gridCol w:w="559"/>
        <w:gridCol w:w="146"/>
        <w:gridCol w:w="196"/>
        <w:gridCol w:w="797"/>
      </w:tblGrid>
      <w:tr>
        <w:trPr/>
        <w:tc>
          <w:tcPr>
            <w:tcW w:w="1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777875" cy="175260"/>
                      <wp:effectExtent l="0" t="0" r="0" b="0"/>
                      <wp:wrapNone/>
                      <wp:docPr id="388" name="Frame388"/>
                      <a:graphic xmlns:a="http://schemas.openxmlformats.org/drawingml/2006/main">
                        <a:graphicData uri="http://schemas.microsoft.com/office/word/2010/wordprocessingShape">
                          <wps:wsp>
                            <wps:cNvSpPr txBox="1"/>
                            <wps:spPr>
                              <a:xfrm>
                                <a:off x="0" y="0"/>
                                <a:ext cx="777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92710" cy="175260"/>
                      <wp:effectExtent l="0" t="0" r="0" b="0"/>
                      <wp:wrapNone/>
                      <wp:docPr id="389" name="Frame38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24460" cy="175260"/>
                      <wp:effectExtent l="0" t="0" r="0" b="0"/>
                      <wp:wrapNone/>
                      <wp:docPr id="390" name="Frame39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38785" cy="175260"/>
                      <wp:effectExtent l="0" t="0" r="0" b="0"/>
                      <wp:wrapNone/>
                      <wp:docPr id="391" name="Frame39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92710" cy="175260"/>
                      <wp:effectExtent l="0" t="0" r="0" b="0"/>
                      <wp:wrapNone/>
                      <wp:docPr id="392" name="Frame39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24460" cy="175260"/>
                      <wp:effectExtent l="0" t="0" r="0" b="0"/>
                      <wp:wrapNone/>
                      <wp:docPr id="393" name="Frame39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38785" cy="175260"/>
                      <wp:effectExtent l="0" t="0" r="0" b="0"/>
                      <wp:wrapNone/>
                      <wp:docPr id="394" name="Frame39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92710" cy="175260"/>
                      <wp:effectExtent l="0" t="0" r="0" b="0"/>
                      <wp:wrapNone/>
                      <wp:docPr id="395" name="Frame39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4460" cy="175260"/>
                      <wp:effectExtent l="0" t="0" r="0" b="0"/>
                      <wp:wrapNone/>
                      <wp:docPr id="396" name="Frame39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81635" cy="175260"/>
                      <wp:effectExtent l="0" t="0" r="0" b="0"/>
                      <wp:wrapNone/>
                      <wp:docPr id="397" name="Frame397"/>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92710" cy="175260"/>
                      <wp:effectExtent l="0" t="0" r="0" b="0"/>
                      <wp:wrapNone/>
                      <wp:docPr id="398" name="Frame39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24460" cy="175260"/>
                      <wp:effectExtent l="0" t="0" r="0" b="0"/>
                      <wp:wrapNone/>
                      <wp:docPr id="399" name="Frame39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81635" cy="175260"/>
                      <wp:effectExtent l="0" t="0" r="0" b="0"/>
                      <wp:wrapNone/>
                      <wp:docPr id="400" name="Frame400"/>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92710" cy="175260"/>
                      <wp:effectExtent l="0" t="0" r="0" b="0"/>
                      <wp:wrapNone/>
                      <wp:docPr id="401" name="Frame40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24460" cy="175260"/>
                      <wp:effectExtent l="0" t="0" r="0" b="0"/>
                      <wp:wrapNone/>
                      <wp:docPr id="402" name="Frame40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81635" cy="175260"/>
                      <wp:effectExtent l="0" t="0" r="0" b="0"/>
                      <wp:wrapNone/>
                      <wp:docPr id="403" name="Frame403"/>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92710" cy="175260"/>
                      <wp:effectExtent l="0" t="0" r="0" b="0"/>
                      <wp:wrapNone/>
                      <wp:docPr id="404" name="Frame40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24460" cy="175260"/>
                      <wp:effectExtent l="0" t="0" r="0" b="0"/>
                      <wp:wrapNone/>
                      <wp:docPr id="405" name="Frame40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81635" cy="175260"/>
                      <wp:effectExtent l="0" t="0" r="0" b="0"/>
                      <wp:wrapNone/>
                      <wp:docPr id="406" name="Frame406"/>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92710" cy="175260"/>
                      <wp:effectExtent l="0" t="0" r="0" b="0"/>
                      <wp:wrapNone/>
                      <wp:docPr id="407" name="Frame40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53035" cy="175260"/>
                      <wp:effectExtent l="0" t="0" r="0" b="0"/>
                      <wp:wrapNone/>
                      <wp:docPr id="408" name="Frame408"/>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01955" cy="175260"/>
                      <wp:effectExtent l="0" t="0" r="0" b="0"/>
                      <wp:wrapNone/>
                      <wp:docPr id="409" name="Frame409"/>
                      <a:graphic xmlns:a="http://schemas.openxmlformats.org/drawingml/2006/main">
                        <a:graphicData uri="http://schemas.microsoft.com/office/word/2010/wordprocessingShape">
                          <wps:wsp>
                            <wps:cNvSpPr txBox="1"/>
                            <wps:spPr>
                              <a:xfrm>
                                <a:off x="0" y="0"/>
                                <a:ext cx="401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4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0025" cy="175260"/>
                      <wp:effectExtent l="0" t="0" r="0" b="0"/>
                      <wp:wrapNone/>
                      <wp:docPr id="411" name="Frame411"/>
                      <a:graphic xmlns:a="http://schemas.openxmlformats.org/drawingml/2006/main">
                        <a:graphicData uri="http://schemas.microsoft.com/office/word/2010/wordprocessingShape">
                          <wps:wsp>
                            <wps:cNvSpPr txBox="1"/>
                            <wps:spPr>
                              <a:xfrm>
                                <a:off x="0" y="0"/>
                                <a:ext cx="2000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54965" cy="175260"/>
                      <wp:effectExtent l="0" t="0" r="0" b="0"/>
                      <wp:wrapNone/>
                      <wp:docPr id="412" name="Frame412"/>
                      <a:graphic xmlns:a="http://schemas.openxmlformats.org/drawingml/2006/main">
                        <a:graphicData uri="http://schemas.microsoft.com/office/word/2010/wordprocessingShape">
                          <wps:wsp>
                            <wps:cNvSpPr txBox="1"/>
                            <wps:spPr>
                              <a:xfrm>
                                <a:off x="0" y="0"/>
                                <a:ext cx="3549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92710" cy="175260"/>
                      <wp:effectExtent l="0" t="0" r="0" b="0"/>
                      <wp:wrapNone/>
                      <wp:docPr id="413" name="Frame41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24460" cy="175260"/>
                      <wp:effectExtent l="0" t="0" r="0" b="0"/>
                      <wp:wrapNone/>
                      <wp:docPr id="414" name="Frame41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06095" cy="175260"/>
                      <wp:effectExtent l="0" t="0" r="0" b="0"/>
                      <wp:wrapNone/>
                      <wp:docPr id="415" name="Frame415"/>
                      <a:graphic xmlns:a="http://schemas.openxmlformats.org/drawingml/2006/main">
                        <a:graphicData uri="http://schemas.microsoft.com/office/word/2010/wordprocessingShape">
                          <wps:wsp>
                            <wps:cNvSpPr txBox="1"/>
                            <wps:spPr>
                              <a:xfrm>
                                <a:off x="0" y="0"/>
                                <a:ext cx="506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25"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8834"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r>
      <w:tr>
        <w:trPr/>
        <w:tc>
          <w:tcPr>
            <w:tcW w:w="1225"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241" w:type="dxa"/>
            <w:tcBorders/>
            <w:shd w:fill="auto" w:val="clear"/>
            <w:vAlign w:val="center"/>
          </w:tcPr>
          <w:p>
            <w:pPr>
              <w:pStyle w:val="TableContents"/>
              <w:spacing w:before="0" w:after="0"/>
              <w:ind w:left="0" w:right="0" w:hanging="0"/>
              <w:jc w:val="center"/>
              <w:rPr/>
            </w:pPr>
            <w:r>
              <w:rPr/>
              <w:t>​</w:t>
            </w:r>
          </w:p>
        </w:tc>
        <w:tc>
          <w:tcPr>
            <w:tcW w:w="63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74"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97" w:type="dxa"/>
            <w:tcBorders/>
            <w:shd w:fill="auto" w:val="clear"/>
            <w:vAlign w:val="center"/>
          </w:tcPr>
          <w:p>
            <w:pPr>
              <w:pStyle w:val="TableContents"/>
              <w:spacing w:before="0" w:after="0"/>
              <w:ind w:left="0" w:right="0" w:hanging="0"/>
              <w:jc w:val="center"/>
              <w:rPr/>
            </w:pPr>
            <w:r>
              <w:rPr/>
              <w:t>​</w:t>
            </w:r>
          </w:p>
        </w:tc>
      </w:tr>
      <w:tr>
        <w:trPr/>
        <w:tc>
          <w:tcPr>
            <w:tcW w:w="122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CONSUMER LOANS</w:t>
            </w:r>
          </w:p>
        </w:tc>
        <w:tc>
          <w:tcPr>
            <w:tcW w:w="146" w:type="dxa"/>
            <w:tcBorders/>
            <w:shd w:fill="auto" w:val="clear"/>
            <w:vAlign w:val="center"/>
          </w:tcPr>
          <w:p>
            <w:pPr>
              <w:pStyle w:val="TableContents"/>
              <w:spacing w:before="0" w:after="0"/>
              <w:ind w:left="0" w:right="0" w:hanging="0"/>
              <w:rPr/>
            </w:pPr>
            <w:r>
              <w:rPr/>
              <w:t> </w:t>
            </w:r>
          </w:p>
        </w:tc>
        <w:tc>
          <w:tcPr>
            <w:tcW w:w="5692" w:type="dxa"/>
            <w:gridSpan w:val="1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74"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7" w:type="dxa"/>
            <w:tcBorders/>
            <w:shd w:fill="auto" w:val="clear"/>
            <w:vAlign w:val="center"/>
          </w:tcPr>
          <w:p>
            <w:pPr>
              <w:pStyle w:val="TableContents"/>
              <w:spacing w:before="0" w:after="0"/>
              <w:ind w:left="0" w:right="0" w:hanging="0"/>
              <w:rPr/>
            </w:pPr>
            <w:r>
              <w:rPr/>
              <w:t>​</w:t>
            </w:r>
          </w:p>
        </w:tc>
      </w:tr>
      <w:tr>
        <w:trPr/>
        <w:tc>
          <w:tcPr>
            <w:tcW w:w="122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Indirect home improvement</w:t>
            </w:r>
          </w:p>
        </w:tc>
        <w:tc>
          <w:tcPr>
            <w:tcW w:w="14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2018</w:t>
            </w:r>
          </w:p>
        </w:tc>
        <w:tc>
          <w:tcPr>
            <w:tcW w:w="1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shd w:fill="auto" w:val="clear"/>
            <w:vAlign w:val="center"/>
          </w:tcPr>
          <w:p>
            <w:pPr>
              <w:pStyle w:val="TableContents"/>
              <w:spacing w:before="0" w:after="0"/>
              <w:ind w:left="0" w:right="0" w:hanging="0"/>
              <w:rPr/>
            </w:pPr>
            <w:r>
              <w:rPr/>
              <w:t> </w:t>
            </w:r>
          </w:p>
        </w:tc>
        <w:tc>
          <w:tcPr>
            <w:tcW w:w="8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2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253,495</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123,264</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46,476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31,251</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18,165</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22,205</w:t>
            </w:r>
          </w:p>
        </w:tc>
        <w:tc>
          <w:tcPr>
            <w:tcW w:w="14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3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shd w:fill="CCEEFF" w:val="clear"/>
            <w:vAlign w:val="center"/>
          </w:tcPr>
          <w:p>
            <w:pPr>
              <w:pStyle w:val="TableContents"/>
              <w:spacing w:before="0" w:after="0"/>
              <w:ind w:left="0" w:right="0" w:hanging="0"/>
              <w:rPr/>
            </w:pPr>
            <w:r>
              <w:rPr/>
              <w:t>​</w:t>
            </w:r>
          </w:p>
        </w:tc>
        <w:tc>
          <w:tcPr>
            <w:tcW w:w="31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59"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494,865</w:t>
            </w:r>
          </w:p>
        </w:tc>
      </w:tr>
      <w:tr>
        <w:trPr/>
        <w:tc>
          <w:tcPr>
            <w:tcW w:w="122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347</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14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3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w:t>
            </w:r>
          </w:p>
        </w:tc>
      </w:tr>
      <w:tr>
        <w:trPr/>
        <w:tc>
          <w:tcPr>
            <w:tcW w:w="12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indirect home improvement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253,842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123,477</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46,613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31,313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18,334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22,353</w:t>
            </w:r>
          </w:p>
        </w:tc>
        <w:tc>
          <w:tcPr>
            <w:tcW w:w="146"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shd w:fill="CCEEFF" w:val="clear"/>
            <w:vAlign w:val="center"/>
          </w:tcPr>
          <w:p>
            <w:pPr>
              <w:pStyle w:val="TableContents"/>
              <w:spacing w:before="0" w:after="0"/>
              <w:ind w:left="0" w:right="0" w:hanging="0"/>
              <w:rPr/>
            </w:pPr>
            <w:r>
              <w:rPr/>
              <w:t>​</w:t>
            </w:r>
          </w:p>
        </w:tc>
        <w:tc>
          <w:tcPr>
            <w:tcW w:w="31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5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495,941</w:t>
            </w:r>
          </w:p>
        </w:tc>
      </w:tr>
      <w:tr>
        <w:trPr/>
        <w:tc>
          <w:tcPr>
            <w:tcW w:w="122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Marine</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5" w:type="dxa"/>
            <w:tcBorders/>
            <w:shd w:fill="auto" w:val="clear"/>
            <w:vAlign w:val="center"/>
          </w:tcPr>
          <w:p>
            <w:pPr>
              <w:pStyle w:val="TableContents"/>
              <w:spacing w:before="0" w:after="0"/>
              <w:ind w:left="0" w:right="0" w:hanging="0"/>
              <w:rPr/>
            </w:pPr>
            <w:r>
              <w:rPr/>
              <w:t>​</w:t>
            </w:r>
          </w:p>
        </w:tc>
        <w:tc>
          <w:tcPr>
            <w:tcW w:w="55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7" w:type="dxa"/>
            <w:tcBorders/>
            <w:shd w:fill="auto" w:val="clear"/>
            <w:vAlign w:val="center"/>
          </w:tcPr>
          <w:p>
            <w:pPr>
              <w:pStyle w:val="TableContents"/>
              <w:spacing w:before="0" w:after="0"/>
              <w:ind w:left="0" w:right="0" w:hanging="0"/>
              <w:rPr/>
            </w:pPr>
            <w:r>
              <w:rPr/>
              <w:t>​</w:t>
            </w:r>
          </w:p>
        </w:tc>
      </w:tr>
      <w:tr>
        <w:trPr/>
        <w:tc>
          <w:tcPr>
            <w:tcW w:w="12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27,904</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11,762</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15,139</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6,224</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5,415</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3,856</w:t>
            </w:r>
          </w:p>
        </w:tc>
        <w:tc>
          <w:tcPr>
            <w:tcW w:w="14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63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5" w:type="dxa"/>
            <w:tcBorders/>
            <w:shd w:fill="CCEEFF" w:val="clear"/>
            <w:vAlign w:val="center"/>
          </w:tcPr>
          <w:p>
            <w:pPr>
              <w:pStyle w:val="TableContents"/>
              <w:spacing w:before="0" w:after="0"/>
              <w:ind w:left="0" w:right="0" w:hanging="0"/>
              <w:rPr/>
            </w:pPr>
            <w:r>
              <w:rPr/>
              <w:t>​</w:t>
            </w:r>
          </w:p>
        </w:tc>
        <w:tc>
          <w:tcPr>
            <w:tcW w:w="559"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9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70,300</w:t>
            </w:r>
          </w:p>
        </w:tc>
      </w:tr>
      <w:tr>
        <w:trPr/>
        <w:tc>
          <w:tcPr>
            <w:tcW w:w="122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14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3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r>
      <w:tr>
        <w:trPr/>
        <w:tc>
          <w:tcPr>
            <w:tcW w:w="12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marine</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27,904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11,762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15,139</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6,375</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5,476</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3,911</w:t>
            </w:r>
          </w:p>
        </w:tc>
        <w:tc>
          <w:tcPr>
            <w:tcW w:w="146"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3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5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70,567</w:t>
            </w:r>
          </w:p>
        </w:tc>
      </w:tr>
      <w:tr>
        <w:trPr/>
        <w:tc>
          <w:tcPr>
            <w:tcW w:w="122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consumer</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63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5" w:type="dxa"/>
            <w:tcBorders/>
            <w:shd w:fill="auto" w:val="clear"/>
            <w:vAlign w:val="center"/>
          </w:tcPr>
          <w:p>
            <w:pPr>
              <w:pStyle w:val="TableContents"/>
              <w:spacing w:before="0" w:after="0"/>
              <w:ind w:left="0" w:right="0" w:hanging="0"/>
              <w:rPr/>
            </w:pPr>
            <w:r>
              <w:rPr/>
              <w:t>​</w:t>
            </w:r>
          </w:p>
        </w:tc>
        <w:tc>
          <w:tcPr>
            <w:tcW w:w="55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7" w:type="dxa"/>
            <w:tcBorders/>
            <w:shd w:fill="auto" w:val="clear"/>
            <w:vAlign w:val="center"/>
          </w:tcPr>
          <w:p>
            <w:pPr>
              <w:pStyle w:val="TableContents"/>
              <w:spacing w:before="0" w:after="0"/>
              <w:ind w:left="0" w:right="0" w:hanging="0"/>
              <w:rPr/>
            </w:pPr>
            <w:r>
              <w:rPr/>
              <w:t>​</w:t>
            </w:r>
          </w:p>
        </w:tc>
      </w:tr>
      <w:tr>
        <w:trPr/>
        <w:tc>
          <w:tcPr>
            <w:tcW w:w="12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792</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754</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14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63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1,251</w:t>
            </w:r>
          </w:p>
        </w:tc>
        <w:tc>
          <w:tcPr>
            <w:tcW w:w="109" w:type="dxa"/>
            <w:tcBorders/>
            <w:shd w:fill="CCEEFF" w:val="clear"/>
            <w:vAlign w:val="center"/>
          </w:tcPr>
          <w:p>
            <w:pPr>
              <w:pStyle w:val="TableContents"/>
              <w:spacing w:before="0" w:after="0"/>
              <w:ind w:left="0" w:right="0" w:hanging="0"/>
              <w:rPr/>
            </w:pPr>
            <w:r>
              <w:rPr/>
              <w:t>​</w:t>
            </w:r>
          </w:p>
        </w:tc>
        <w:tc>
          <w:tcPr>
            <w:tcW w:w="315" w:type="dxa"/>
            <w:tcBorders/>
            <w:shd w:fill="CCEEFF" w:val="clear"/>
            <w:vAlign w:val="center"/>
          </w:tcPr>
          <w:p>
            <w:pPr>
              <w:pStyle w:val="TableContents"/>
              <w:spacing w:before="0" w:after="0"/>
              <w:ind w:left="0" w:right="0" w:hanging="0"/>
              <w:rPr/>
            </w:pPr>
            <w:r>
              <w:rPr/>
              <w:t>​</w:t>
            </w:r>
          </w:p>
        </w:tc>
        <w:tc>
          <w:tcPr>
            <w:tcW w:w="559"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9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3,055</w:t>
            </w:r>
          </w:p>
        </w:tc>
      </w:tr>
      <w:tr>
        <w:trPr/>
        <w:tc>
          <w:tcPr>
            <w:tcW w:w="122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3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auto" w:val="clear"/>
            <w:vAlign w:val="center"/>
          </w:tcPr>
          <w:p>
            <w:pPr>
              <w:pStyle w:val="TableContents"/>
              <w:spacing w:before="0" w:after="0"/>
              <w:ind w:left="0" w:right="0" w:hanging="0"/>
              <w:rPr/>
            </w:pPr>
            <w:r>
              <w:rPr/>
              <w:t>​</w:t>
            </w:r>
          </w:p>
        </w:tc>
        <w:tc>
          <w:tcPr>
            <w:tcW w:w="31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2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other consumer</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793</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146"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1,254</w:t>
            </w:r>
          </w:p>
        </w:tc>
        <w:tc>
          <w:tcPr>
            <w:tcW w:w="109" w:type="dxa"/>
            <w:tcBorders/>
            <w:shd w:fill="CCEEFF" w:val="clear"/>
            <w:vAlign w:val="center"/>
          </w:tcPr>
          <w:p>
            <w:pPr>
              <w:pStyle w:val="TableContents"/>
              <w:spacing w:before="0" w:after="0"/>
              <w:ind w:left="0" w:right="0" w:hanging="0"/>
              <w:rPr/>
            </w:pPr>
            <w:r>
              <w:rPr/>
              <w:t>​</w:t>
            </w:r>
          </w:p>
        </w:tc>
        <w:tc>
          <w:tcPr>
            <w:tcW w:w="31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5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3,064</w:t>
            </w:r>
          </w:p>
        </w:tc>
      </w:tr>
      <w:tr>
        <w:trPr/>
        <w:tc>
          <w:tcPr>
            <w:tcW w:w="122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consumer loans</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282,539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135,998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61,868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37,736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23,824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26,344</w:t>
            </w:r>
          </w:p>
        </w:tc>
        <w:tc>
          <w:tcPr>
            <w:tcW w:w="14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3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1,263</w:t>
            </w:r>
          </w:p>
        </w:tc>
        <w:tc>
          <w:tcPr>
            <w:tcW w:w="109" w:type="dxa"/>
            <w:tcBorders/>
            <w:shd w:fill="auto" w:val="clear"/>
            <w:vAlign w:val="center"/>
          </w:tcPr>
          <w:p>
            <w:pPr>
              <w:pStyle w:val="TableContents"/>
              <w:spacing w:before="0" w:after="0"/>
              <w:ind w:left="0" w:right="0" w:hanging="0"/>
              <w:rPr/>
            </w:pPr>
            <w:r>
              <w:rPr/>
              <w:t>​</w:t>
            </w:r>
          </w:p>
        </w:tc>
        <w:tc>
          <w:tcPr>
            <w:tcW w:w="31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5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7" w:type="dxa"/>
            <w:tcBorders>
              <w:bottom w:val="single" w:sz="2"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569,572</w:t>
            </w:r>
          </w:p>
        </w:tc>
      </w:tr>
    </w:tbl>
    <w:p>
      <w:pPr>
        <w:pStyle w:val="TextBody"/>
        <w:spacing w:before="0" w:after="0"/>
        <w:ind w:left="0" w:right="0" w:hanging="0"/>
        <w:rPr/>
      </w:pPr>
      <w:r>
        <w:rPr/>
        <w:t>​</w:t>
      </w:r>
    </w:p>
    <w:tbl>
      <w:tblPr>
        <w:tblW w:w="10655" w:type="dxa"/>
        <w:jc w:val="left"/>
        <w:tblInd w:w="0" w:type="dxa"/>
        <w:tblCellMar>
          <w:top w:w="0" w:type="dxa"/>
          <w:left w:w="0" w:type="dxa"/>
          <w:bottom w:w="0" w:type="dxa"/>
          <w:right w:w="0" w:type="dxa"/>
        </w:tblCellMar>
      </w:tblPr>
      <w:tblGrid>
        <w:gridCol w:w="1306"/>
        <w:gridCol w:w="146"/>
        <w:gridCol w:w="196"/>
        <w:gridCol w:w="691"/>
        <w:gridCol w:w="146"/>
        <w:gridCol w:w="196"/>
        <w:gridCol w:w="691"/>
        <w:gridCol w:w="146"/>
        <w:gridCol w:w="196"/>
        <w:gridCol w:w="691"/>
        <w:gridCol w:w="146"/>
        <w:gridCol w:w="196"/>
        <w:gridCol w:w="691"/>
        <w:gridCol w:w="146"/>
        <w:gridCol w:w="196"/>
        <w:gridCol w:w="601"/>
        <w:gridCol w:w="146"/>
        <w:gridCol w:w="196"/>
        <w:gridCol w:w="691"/>
        <w:gridCol w:w="146"/>
        <w:gridCol w:w="196"/>
        <w:gridCol w:w="691"/>
        <w:gridCol w:w="109"/>
        <w:gridCol w:w="283"/>
        <w:gridCol w:w="543"/>
        <w:gridCol w:w="146"/>
        <w:gridCol w:w="196"/>
        <w:gridCol w:w="931"/>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829310" cy="175260"/>
                      <wp:effectExtent l="0" t="0" r="0" b="0"/>
                      <wp:wrapNone/>
                      <wp:docPr id="416" name="Frame416"/>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92710" cy="175260"/>
                      <wp:effectExtent l="0" t="0" r="0" b="0"/>
                      <wp:wrapNone/>
                      <wp:docPr id="417" name="Frame41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24460" cy="175260"/>
                      <wp:effectExtent l="0" t="0" r="0" b="0"/>
                      <wp:wrapNone/>
                      <wp:docPr id="418" name="Frame41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38785" cy="175260"/>
                      <wp:effectExtent l="0" t="0" r="0" b="0"/>
                      <wp:wrapNone/>
                      <wp:docPr id="419" name="Frame41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92710" cy="175260"/>
                      <wp:effectExtent l="0" t="0" r="0" b="0"/>
                      <wp:wrapNone/>
                      <wp:docPr id="420" name="Frame42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24460" cy="175260"/>
                      <wp:effectExtent l="0" t="0" r="0" b="0"/>
                      <wp:wrapNone/>
                      <wp:docPr id="421" name="Frame42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38785" cy="175260"/>
                      <wp:effectExtent l="0" t="0" r="0" b="0"/>
                      <wp:wrapNone/>
                      <wp:docPr id="422" name="Frame42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92710" cy="175260"/>
                      <wp:effectExtent l="0" t="0" r="0" b="0"/>
                      <wp:wrapNone/>
                      <wp:docPr id="423" name="Frame42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24460" cy="175260"/>
                      <wp:effectExtent l="0" t="0" r="0" b="0"/>
                      <wp:wrapNone/>
                      <wp:docPr id="424" name="Frame42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38785" cy="175260"/>
                      <wp:effectExtent l="0" t="0" r="0" b="0"/>
                      <wp:wrapNone/>
                      <wp:docPr id="425" name="Frame42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92710" cy="175260"/>
                      <wp:effectExtent l="0" t="0" r="0" b="0"/>
                      <wp:wrapNone/>
                      <wp:docPr id="426" name="Frame42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24460" cy="175260"/>
                      <wp:effectExtent l="0" t="0" r="0" b="0"/>
                      <wp:wrapNone/>
                      <wp:docPr id="427" name="Frame42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38785" cy="175260"/>
                      <wp:effectExtent l="0" t="0" r="0" b="0"/>
                      <wp:wrapNone/>
                      <wp:docPr id="428" name="Frame42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92710" cy="175260"/>
                      <wp:effectExtent l="0" t="0" r="0" b="0"/>
                      <wp:wrapNone/>
                      <wp:docPr id="429" name="Frame42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24460" cy="175260"/>
                      <wp:effectExtent l="0" t="0" r="0" b="0"/>
                      <wp:wrapNone/>
                      <wp:docPr id="430" name="Frame43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81635" cy="175260"/>
                      <wp:effectExtent l="0" t="0" r="0" b="0"/>
                      <wp:wrapNone/>
                      <wp:docPr id="431" name="Frame431"/>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92710" cy="175260"/>
                      <wp:effectExtent l="0" t="0" r="0" b="0"/>
                      <wp:wrapNone/>
                      <wp:docPr id="432" name="Frame43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24460" cy="175260"/>
                      <wp:effectExtent l="0" t="0" r="0" b="0"/>
                      <wp:wrapNone/>
                      <wp:docPr id="433" name="Frame43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38785" cy="175260"/>
                      <wp:effectExtent l="0" t="0" r="0" b="0"/>
                      <wp:wrapNone/>
                      <wp:docPr id="434" name="Frame43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92710" cy="175260"/>
                      <wp:effectExtent l="0" t="0" r="0" b="0"/>
                      <wp:wrapNone/>
                      <wp:docPr id="435" name="Frame43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24460" cy="175260"/>
                      <wp:effectExtent l="0" t="0" r="0" b="0"/>
                      <wp:wrapNone/>
                      <wp:docPr id="436" name="Frame43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38785" cy="175260"/>
                      <wp:effectExtent l="0" t="0" r="0" b="0"/>
                      <wp:wrapNone/>
                      <wp:docPr id="437" name="Frame43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8" name="Frame4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79705" cy="175260"/>
                      <wp:effectExtent l="0" t="0" r="0" b="0"/>
                      <wp:wrapNone/>
                      <wp:docPr id="439" name="Frame439"/>
                      <a:graphic xmlns:a="http://schemas.openxmlformats.org/drawingml/2006/main">
                        <a:graphicData uri="http://schemas.microsoft.com/office/word/2010/wordprocessingShape">
                          <wps:wsp>
                            <wps:cNvSpPr txBox="1"/>
                            <wps:spPr>
                              <a:xfrm>
                                <a:off x="0" y="0"/>
                                <a:ext cx="179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344805" cy="175260"/>
                      <wp:effectExtent l="0" t="0" r="0" b="0"/>
                      <wp:wrapNone/>
                      <wp:docPr id="440" name="Frame440"/>
                      <a:graphic xmlns:a="http://schemas.openxmlformats.org/drawingml/2006/main">
                        <a:graphicData uri="http://schemas.microsoft.com/office/word/2010/wordprocessingShape">
                          <wps:wsp>
                            <wps:cNvSpPr txBox="1"/>
                            <wps:spPr>
                              <a:xfrm>
                                <a:off x="0" y="0"/>
                                <a:ext cx="344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92710" cy="175260"/>
                      <wp:effectExtent l="0" t="0" r="0" b="0"/>
                      <wp:wrapNone/>
                      <wp:docPr id="441" name="Frame44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24460" cy="175260"/>
                      <wp:effectExtent l="0" t="0" r="0" b="0"/>
                      <wp:wrapNone/>
                      <wp:docPr id="442" name="Frame44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91185" cy="175260"/>
                      <wp:effectExtent l="0" t="0" r="0" b="0"/>
                      <wp:wrapNone/>
                      <wp:docPr id="443" name="Frame44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203" w:type="dxa"/>
            <w:gridSpan w:val="2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COMMERCIAL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BUSINESS LOANS</w:t>
            </w:r>
          </w:p>
        </w:tc>
        <w:tc>
          <w:tcPr>
            <w:tcW w:w="146" w:type="dxa"/>
            <w:tcBorders/>
            <w:shd w:fill="auto" w:val="clear"/>
            <w:vAlign w:val="center"/>
          </w:tcPr>
          <w:p>
            <w:pPr>
              <w:pStyle w:val="TableContents"/>
              <w:spacing w:before="0" w:after="0"/>
              <w:ind w:left="0" w:right="0" w:hanging="0"/>
              <w:rPr/>
            </w:pPr>
            <w:r>
              <w:rPr/>
              <w:t>​</w:t>
            </w:r>
          </w:p>
        </w:tc>
        <w:tc>
          <w:tcPr>
            <w:tcW w:w="5962" w:type="dxa"/>
            <w:gridSpan w:val="1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Commercial and industrial</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2018</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24,337</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22,561</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12,461</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3,940</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3,074</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7,701</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104,524</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178,598</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Watch</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1,127</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2,932</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746</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1,327</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6,132</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634</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963</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1,597</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1,265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2,291</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190</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3,739</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1,093</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10,464</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commercial and industrial</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24,337</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25,274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16,658</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6,865</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3,264</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12,186</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107,907</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196,791</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Warehouse lending</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31,227</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31,227</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Watch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warehouse lending</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31,229</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31,229</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commercial business loans</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24,337</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25,274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16,658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6,865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3,264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12,186</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139,136</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228,020</w:t>
            </w:r>
          </w:p>
        </w:tc>
      </w:tr>
      <w:tr>
        <w:trPr/>
        <w:tc>
          <w:tcPr>
            <w:tcW w:w="130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LOANS RECEIVABLE, GROSS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 </w:t>
            </w:r>
          </w:p>
        </w:tc>
        <w:tc>
          <w:tcPr>
            <w:tcW w:w="543"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rPr/>
            </w:pPr>
            <w:r>
              <w:rPr/>
              <w:t>​</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798,208</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547,426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279,938</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159,466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61,985</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155,636</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176,074</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2,178,932</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Watch</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9,504</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1,127</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3,305</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746</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1,329</w:t>
            </w:r>
          </w:p>
        </w:tc>
        <w:tc>
          <w:tcPr>
            <w:tcW w:w="109"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16,011</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2,747</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963</w:t>
            </w:r>
          </w:p>
        </w:tc>
        <w:tc>
          <w:tcPr>
            <w:tcW w:w="109"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43"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3,710</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348</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1,402</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2,504</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2,955</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9,790</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1,096</w:t>
            </w:r>
          </w:p>
        </w:tc>
        <w:tc>
          <w:tcPr>
            <w:tcW w:w="109" w:type="dxa"/>
            <w:tcBorders/>
            <w:shd w:fill="auto" w:val="clear"/>
            <w:vAlign w:val="center"/>
          </w:tcPr>
          <w:p>
            <w:pPr>
              <w:pStyle w:val="TableContents"/>
              <w:spacing w:before="0" w:after="0"/>
              <w:ind w:left="0" w:right="0" w:hanging="0"/>
              <w:rPr/>
            </w:pPr>
            <w:r>
              <w:rPr/>
              <w:t>​</w:t>
            </w:r>
          </w:p>
        </w:tc>
        <w:tc>
          <w:tcPr>
            <w:tcW w:w="28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20,199</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loans receivable, gross</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808,060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550,357</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284,645</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164,717</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64,940</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166,172</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179,462</w:t>
            </w:r>
          </w:p>
        </w:tc>
        <w:tc>
          <w:tcPr>
            <w:tcW w:w="109" w:type="dxa"/>
            <w:tcBorders/>
            <w:shd w:fill="CCEEFF" w:val="clear"/>
            <w:vAlign w:val="center"/>
          </w:tcPr>
          <w:p>
            <w:pPr>
              <w:pStyle w:val="TableContents"/>
              <w:spacing w:before="0" w:after="0"/>
              <w:ind w:left="0" w:right="0" w:hanging="0"/>
              <w:rPr/>
            </w:pPr>
            <w:r>
              <w:rPr/>
              <w:t>​</w:t>
            </w:r>
          </w:p>
        </w:tc>
        <w:tc>
          <w:tcPr>
            <w:tcW w:w="28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2,218,852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both"/>
        <w:rPr>
          <w:rFonts w:ascii="Times New Roman;Times;serif" w:hAnsi="Times New Roman;Times;serif"/>
          <w:sz w:val="20"/>
        </w:rPr>
      </w:pPr>
      <w:bookmarkStart w:id="2326" w:name="Tc_4fpnwddcW0evaM08LNXSzQ_13_17"/>
      <w:bookmarkStart w:id="2327" w:name="Tc_VZzxRgqxdE2QZqyMUJMgcQ_13_14"/>
      <w:bookmarkStart w:id="2328" w:name="Tc_ot6lo62tj0a4urUestdWhg_13_11"/>
      <w:bookmarkStart w:id="2329" w:name="Tc_qVaH2vAghUGydojq8CbPWg_13_8"/>
      <w:bookmarkStart w:id="2330" w:name="Tc_ctxULjDvl02k_OaNKQo1cQ_13_5"/>
      <w:bookmarkStart w:id="2331" w:name="Tc_fr7YrpMkf0OU_Xh-DRPinA_13_2"/>
      <w:bookmarkStart w:id="2332" w:name="Tc_1PzCeY84JU6PFBFaVXx5GA_13_0"/>
      <w:bookmarkStart w:id="2333" w:name="Tc_U0flfuuWVkyBYRltWpSj6Q_12_12"/>
      <w:bookmarkStart w:id="2334" w:name="Tc_2RAGvumf-k6GyLurNha3CA_12_3"/>
      <w:bookmarkStart w:id="2335" w:name="Tc_a_K-C6matEC0dAtuOhyR3A_12_0"/>
      <w:bookmarkStart w:id="2336" w:name="Tc_4kHotc8TSk2PVIDhsFVlXw_11_0"/>
      <w:bookmarkStart w:id="2337" w:name="Tc_QdYMrAqSNkCPkX3fHxP4Hw_10_12"/>
      <w:bookmarkStart w:id="2338" w:name="Tc_dqKwAfCwX0aKlUjL6uS7cA_10_3"/>
      <w:bookmarkStart w:id="2339" w:name="Tc_LsEJ4U6UC0W4y3w81gMQQw_9_12"/>
      <w:bookmarkStart w:id="2340" w:name="Tc_G_3ytLkQq0eI80DG12H0Xg_9_3"/>
      <w:bookmarkStart w:id="2341" w:name="Tc_qUt9E-aq8UKDp3YLZTUHhQ_9_0"/>
      <w:bookmarkStart w:id="2342" w:name="Tc_hnNkisaAKEmBEFwZZEtRYQ_8_12"/>
      <w:bookmarkStart w:id="2343" w:name="Tc_9BVKc-UxQESyt_7hI1QTTA_8_3"/>
      <w:bookmarkStart w:id="2344" w:name="Tc_92wFkNEnfECs_ow59oUXSA_8_0"/>
      <w:bookmarkStart w:id="2345" w:name="Tc_FVp5aBnMLEKoN2PTTX9axQ_7_0"/>
      <w:bookmarkStart w:id="2346" w:name="Tc_zl4QYWkbOk-jL49oE0CkBQ_6_15"/>
      <w:bookmarkStart w:id="2347" w:name="Tc_sPI5SBSjPk-glVKa1TWTmQ_6_6"/>
      <w:bookmarkStart w:id="2348" w:name="Tc_3j8CuNgWV0SOUUdXJUFhkw_5_15"/>
      <w:bookmarkStart w:id="2349" w:name="Tc_x6PMIaFXg0yLDJ-6yH92Iw_5_6"/>
      <w:bookmarkStart w:id="2350" w:name="Tc_gdV56JBsnEylKmTD8Fd5rQ_5_0"/>
      <w:bookmarkStart w:id="2351" w:name="Tc_sIUZrK9u6EieAeYTLddxUQ_4_17"/>
      <w:bookmarkStart w:id="2352" w:name="Tc_U3XWeonVBkGYbfzJrseeAQ_4_15"/>
      <w:bookmarkStart w:id="2353" w:name="Tc_ru_wkoyUqk2F7akP7kx1lQ_4_14"/>
      <w:bookmarkStart w:id="2354" w:name="Tc_wdP8fFu6sESh7QTBbstApQ_4_11"/>
      <w:bookmarkStart w:id="2355" w:name="Tc_YZQ-vsA6pU2bT06x5TwWEg_4_8"/>
      <w:bookmarkStart w:id="2356" w:name="Tc_AI0Dha-Ki0mxaUwP86z_mw_4_6"/>
      <w:bookmarkStart w:id="2357" w:name="Tc_8HTP_uA3oUuu-FKQcXqHbQ_4_5"/>
      <w:bookmarkStart w:id="2358" w:name="Tc_hxWJGrE7i0mizmMlCwFupQ_4_2"/>
      <w:bookmarkStart w:id="2359" w:name="Tc_Lw451cELCU-uHSXPO6PhYw_4_0"/>
      <w:bookmarkStart w:id="2360" w:name="Tc_oMZLXOgbVkau2ZYhnEN0lg_3_17"/>
      <w:bookmarkStart w:id="2361" w:name="Tc_nB7YojKgjE2KanDpop_fsg_3_14"/>
      <w:bookmarkStart w:id="2362" w:name="Tc_dZ0PWA_YOUmTfP4Uvfcpcw_3_11"/>
      <w:bookmarkStart w:id="2363" w:name="Tc_HDGVY7K3NE66OBIdIU2hZA_3_8"/>
      <w:bookmarkStart w:id="2364" w:name="Tc_yVyDRvMqGkW7fCf9kX_J0A_3_5"/>
      <w:bookmarkStart w:id="2365" w:name="Tc__vqikZapB0WeB314Up73zg_3_2"/>
      <w:bookmarkStart w:id="2366" w:name="Tc_DnB0fq1MzEedUDgCH5i6Fg_3_0"/>
      <w:bookmarkStart w:id="2367" w:name="Tc_1f0e04Wm2UW-eSYMJCphww_2_14"/>
      <w:bookmarkStart w:id="2368" w:name="Tc_NbpfCEYbtUeZtkXWyLcOtg_2_11"/>
      <w:bookmarkStart w:id="2369" w:name="Tc_yYVg4_HeCEa8mCBmAUHCUg_2_5"/>
      <w:bookmarkStart w:id="2370" w:name="Tc_aED7zoFd-EGCi0a6IEW6Dg_2_2"/>
      <w:bookmarkStart w:id="2371" w:name="Tc_usy0raSPy02c3lObuQ_u5g_1_11"/>
      <w:bookmarkStart w:id="2372" w:name="Tc_qYRSiFqkbU-pPrVfKOezFA_1_2"/>
      <w:bookmarkStart w:id="2373" w:name="Tc_iaP3sPUP_0iN-yK7RQf4qg_14_17"/>
      <w:bookmarkStart w:id="2374" w:name="Tc_z9r4QpJYC0qTAf_bjHTnKg_14_14"/>
      <w:bookmarkStart w:id="2375" w:name="Tc_GVRa-7K5okiPPIEIEmDckQ_14_11"/>
      <w:bookmarkStart w:id="2376" w:name="Tc_FbVKfhgRCkOv_Uxf4KiFgQ_14_8"/>
      <w:bookmarkStart w:id="2377" w:name="Tc_PRDs1jbgSkGspkPTD1D-sQ_14_5"/>
      <w:bookmarkStart w:id="2378" w:name="Tc_Gg8OWt6j_kW5U1gjchweSg_14_2"/>
      <w:bookmarkStart w:id="2379" w:name="Tc_CvPq0kIpmkKNn8YR6iNtIg_14_0"/>
      <w:bookmarkStart w:id="2380" w:name="Tc_2MMsCtbYDU6FwfAVi_yKsA_13_12"/>
      <w:bookmarkStart w:id="2381" w:name="Tc_XFoDn4ONAEe6wJMh5ssU0w_13_3"/>
      <w:bookmarkStart w:id="2382" w:name="Tc_QMaFGxU0bUmvW6uweKglBg_13_0"/>
      <w:bookmarkStart w:id="2383" w:name="Tc_8InKQoVPgkq3iYOPTOp-3A_12_0"/>
      <w:bookmarkStart w:id="2384" w:name="Tc_Rx3guATx6kmGVKoe8y9nCA_11_12"/>
      <w:bookmarkStart w:id="2385" w:name="Tc_t4efM4BKLEuN3EOiuyAl8w_11_3"/>
      <w:bookmarkStart w:id="2386" w:name="Tc_P9NYlVze9EKn3caoRHVCjg_10_12"/>
      <w:bookmarkStart w:id="2387" w:name="Tc_22hY_TCtnEC0Suvj_AVdzQ_10_3"/>
      <w:bookmarkStart w:id="2388" w:name="Tc_KoY4mBREwUOC9FFxk1Gaaw_10_0"/>
      <w:bookmarkStart w:id="2389" w:name="Tc_YXAzz1FLqE635joXFf35aA_9_12"/>
      <w:bookmarkStart w:id="2390" w:name="Tc_j9OADhE7WkyDTQQ7djYIWQ_9_3"/>
      <w:bookmarkStart w:id="2391" w:name="Tc_PFgJkNdO5UK1vNOsnjJyFw_9_0"/>
      <w:bookmarkStart w:id="2392" w:name="Tc_cqD_w0w3QkKuuF_bp2gKQw_8_12"/>
      <w:bookmarkStart w:id="2393" w:name="Tc_pQXjnPJcQUai6z1HqcHXWw_8_3"/>
      <w:bookmarkStart w:id="2394" w:name="Tc_BcQtO9rkukuS5G5n1rU7Hg_8_0"/>
      <w:bookmarkStart w:id="2395" w:name="Tc_f-J7l75ER0iuKECXJoLKNQ_7_0"/>
      <w:bookmarkStart w:id="2396" w:name="Tc_v5rbXawZokG9A5GTXiXQXw_6_15"/>
      <w:bookmarkStart w:id="2397" w:name="Tc_GEDLDLorbEycJRStfKgTOw_6_6"/>
      <w:bookmarkStart w:id="2398" w:name="Tc_mnigPAIwDk2kf745M65LGw_5_15"/>
      <w:bookmarkStart w:id="2399" w:name="Tc_Sjc3t_TXBkGm5Gj8cNEvjw_5_6"/>
      <w:bookmarkStart w:id="2400" w:name="Tc_9klsG0LTykS9X9HwlrvyWQ_5_0"/>
      <w:bookmarkStart w:id="2401" w:name="Tc_66Cyhj8wLkWczh5djQwckg_4_17"/>
      <w:bookmarkStart w:id="2402" w:name="Tc_l1ExaLJXs0GTWETeKDdovQ_4_15"/>
      <w:bookmarkStart w:id="2403" w:name="Tc_IMTm-hcjIEybMr4vwkeBsQ_4_14"/>
      <w:bookmarkStart w:id="2404" w:name="Tc_cUOMmyG0O0GRtXnbOFxIcQ_4_11"/>
      <w:bookmarkStart w:id="2405" w:name="Tc_ywMQ7OTBGkes8awkflze3g_4_8"/>
      <w:bookmarkStart w:id="2406" w:name="Tc_f--_ylcGOEeEkbsS8fBmNA_4_6"/>
      <w:bookmarkStart w:id="2407" w:name="Tc_opH3yAJHHkSNIe_J_9vXew_4_5"/>
      <w:bookmarkStart w:id="2408" w:name="Tc_5Xkz8T4efk6tGDEIA8Pq_A_4_2"/>
      <w:bookmarkStart w:id="2409" w:name="Tc_OIJmGYWkeE2W0cQowR4EpQ_4_0"/>
      <w:bookmarkStart w:id="2410" w:name="Tc_HhXVi6dwFkurEGKIsXZXzw_3_17"/>
      <w:bookmarkStart w:id="2411" w:name="Tc_KGJWbZKWPUC7eGiNkZ9_0g_3_14"/>
      <w:bookmarkStart w:id="2412" w:name="Tc_EqNLJWKs7k60XyU6HT8UwQ_3_11"/>
      <w:bookmarkStart w:id="2413" w:name="Tc_BP8ClJr-OU2BKw3L_zglcQ_3_8"/>
      <w:bookmarkStart w:id="2414" w:name="Tc_tRllrdyzNUmuF4y6zzl_Og_3_5"/>
      <w:bookmarkStart w:id="2415" w:name="Tc_XWqgyLUjF0-u2sF9SgxQ8g_3_2"/>
      <w:bookmarkStart w:id="2416" w:name="Tc_hMX4e65LKkW6QWg6-apNdA_3_0"/>
      <w:bookmarkStart w:id="2417" w:name="Tc_ZDAUEeRDqki56Zmod1Gt7A_2_17"/>
      <w:bookmarkStart w:id="2418" w:name="Tc_ouEqLVYVAkGokHJTO1QJBQ_2_14"/>
      <w:bookmarkStart w:id="2419" w:name="Tc_oAUFLmNP4EKtOvNtqTQNpg_2_11"/>
      <w:bookmarkStart w:id="2420" w:name="Tc_-eIPSIQR9E6NLeCHOj-GLw_2_8"/>
      <w:bookmarkStart w:id="2421" w:name="Tc_K_vjqiO420-Z2ocgDQ80KA_2_5"/>
      <w:bookmarkStart w:id="2422" w:name="Tc_mhIJjxi6QESiiq1GMVc9yQ_2_2"/>
      <w:bookmarkStart w:id="2423" w:name="Tc_jEgOMqBBa0eJriIpduOegw_1_11"/>
      <w:bookmarkStart w:id="2424" w:name="Tc_S4BipVC30kKx6juLXny8nQ_1_2"/>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r>
        <w:rPr>
          <w:rFonts w:ascii="Times New Roman;Times;serif" w:hAnsi="Times New Roman;Times;serif"/>
          <w:sz w:val="20"/>
        </w:rPr>
        <w:t>The following table presents the amortized cost basis of loans on nonaccrual status and loans 90 days or more past due and still accruing interest as of the dates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271"/>
        <w:gridCol w:w="109"/>
        <w:gridCol w:w="381"/>
        <w:gridCol w:w="735"/>
        <w:gridCol w:w="326"/>
        <w:gridCol w:w="308"/>
        <w:gridCol w:w="808"/>
        <w:gridCol w:w="326"/>
        <w:gridCol w:w="249"/>
        <w:gridCol w:w="652"/>
        <w:gridCol w:w="206"/>
        <w:gridCol w:w="381"/>
        <w:gridCol w:w="735"/>
        <w:gridCol w:w="326"/>
        <w:gridCol w:w="308"/>
        <w:gridCol w:w="808"/>
        <w:gridCol w:w="326"/>
        <w:gridCol w:w="228"/>
        <w:gridCol w:w="722"/>
      </w:tblGrid>
      <w:tr>
        <w:trPr/>
        <w:tc>
          <w:tcPr>
            <w:tcW w:w="2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442085" cy="175260"/>
                      <wp:effectExtent l="0" t="0" r="0" b="0"/>
                      <wp:wrapNone/>
                      <wp:docPr id="444" name="Frame444"/>
                      <a:graphic xmlns:a="http://schemas.openxmlformats.org/drawingml/2006/main">
                        <a:graphicData uri="http://schemas.microsoft.com/office/word/2010/wordprocessingShape">
                          <wps:wsp>
                            <wps:cNvSpPr txBox="1"/>
                            <wps:spPr>
                              <a:xfrm>
                                <a:off x="0" y="0"/>
                                <a:ext cx="144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9215" cy="175260"/>
                      <wp:effectExtent l="0" t="0" r="0" b="0"/>
                      <wp:wrapNone/>
                      <wp:docPr id="445" name="Frame4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41935" cy="175260"/>
                      <wp:effectExtent l="0" t="0" r="0" b="0"/>
                      <wp:wrapNone/>
                      <wp:docPr id="446" name="Frame446"/>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66725" cy="175260"/>
                      <wp:effectExtent l="0" t="0" r="0" b="0"/>
                      <wp:wrapNone/>
                      <wp:docPr id="447" name="Frame447"/>
                      <a:graphic xmlns:a="http://schemas.openxmlformats.org/drawingml/2006/main">
                        <a:graphicData uri="http://schemas.microsoft.com/office/word/2010/wordprocessingShape">
                          <wps:wsp>
                            <wps:cNvSpPr txBox="1"/>
                            <wps:spPr>
                              <a:xfrm>
                                <a:off x="0" y="0"/>
                                <a:ext cx="466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95580" cy="175260"/>
                      <wp:effectExtent l="0" t="0" r="0" b="0"/>
                      <wp:wrapNone/>
                      <wp:docPr id="449" name="Frame449"/>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13080" cy="175260"/>
                      <wp:effectExtent l="0" t="0" r="0" b="0"/>
                      <wp:wrapNone/>
                      <wp:docPr id="450" name="Frame450"/>
                      <a:graphic xmlns:a="http://schemas.openxmlformats.org/drawingml/2006/main">
                        <a:graphicData uri="http://schemas.microsoft.com/office/word/2010/wordprocessingShape">
                          <wps:wsp>
                            <wps:cNvSpPr txBox="1"/>
                            <wps:spPr>
                              <a:xfrm>
                                <a:off x="0" y="0"/>
                                <a:ext cx="513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58115" cy="175260"/>
                      <wp:effectExtent l="0" t="0" r="0" b="0"/>
                      <wp:wrapNone/>
                      <wp:docPr id="452" name="Frame452"/>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14020" cy="175260"/>
                      <wp:effectExtent l="0" t="0" r="0" b="0"/>
                      <wp:wrapNone/>
                      <wp:docPr id="453" name="Frame453"/>
                      <a:graphic xmlns:a="http://schemas.openxmlformats.org/drawingml/2006/main">
                        <a:graphicData uri="http://schemas.microsoft.com/office/word/2010/wordprocessingShape">
                          <wps:wsp>
                            <wps:cNvSpPr txBox="1"/>
                            <wps:spPr>
                              <a:xfrm>
                                <a:off x="0" y="0"/>
                                <a:ext cx="414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0810" cy="175260"/>
                      <wp:effectExtent l="0" t="0" r="0" b="0"/>
                      <wp:wrapNone/>
                      <wp:docPr id="454" name="Frame45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41935" cy="175260"/>
                      <wp:effectExtent l="0" t="0" r="0" b="0"/>
                      <wp:wrapNone/>
                      <wp:docPr id="455" name="Frame455"/>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66725" cy="175260"/>
                      <wp:effectExtent l="0" t="0" r="0" b="0"/>
                      <wp:wrapNone/>
                      <wp:docPr id="456" name="Frame456"/>
                      <a:graphic xmlns:a="http://schemas.openxmlformats.org/drawingml/2006/main">
                        <a:graphicData uri="http://schemas.microsoft.com/office/word/2010/wordprocessingShape">
                          <wps:wsp>
                            <wps:cNvSpPr txBox="1"/>
                            <wps:spPr>
                              <a:xfrm>
                                <a:off x="0" y="0"/>
                                <a:ext cx="466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95580" cy="175260"/>
                      <wp:effectExtent l="0" t="0" r="0" b="0"/>
                      <wp:wrapNone/>
                      <wp:docPr id="458" name="Frame458"/>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13080" cy="175260"/>
                      <wp:effectExtent l="0" t="0" r="0" b="0"/>
                      <wp:wrapNone/>
                      <wp:docPr id="459" name="Frame459"/>
                      <a:graphic xmlns:a="http://schemas.openxmlformats.org/drawingml/2006/main">
                        <a:graphicData uri="http://schemas.microsoft.com/office/word/2010/wordprocessingShape">
                          <wps:wsp>
                            <wps:cNvSpPr txBox="1"/>
                            <wps:spPr>
                              <a:xfrm>
                                <a:off x="0" y="0"/>
                                <a:ext cx="513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44780" cy="175260"/>
                      <wp:effectExtent l="0" t="0" r="0" b="0"/>
                      <wp:wrapNone/>
                      <wp:docPr id="461" name="Frame461"/>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58470" cy="175260"/>
                      <wp:effectExtent l="0" t="0" r="0" b="0"/>
                      <wp:wrapNone/>
                      <wp:docPr id="462" name="Frame462"/>
                      <a:graphic xmlns:a="http://schemas.openxmlformats.org/drawingml/2006/main">
                        <a:graphicData uri="http://schemas.microsoft.com/office/word/2010/wordprocessingShape">
                          <wps:wsp>
                            <wps:cNvSpPr txBox="1"/>
                            <wps:spPr>
                              <a:xfrm>
                                <a:off x="0" y="0"/>
                                <a:ext cx="4584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85"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March 31, 2023</w:t>
            </w:r>
          </w:p>
        </w:tc>
        <w:tc>
          <w:tcPr>
            <w:tcW w:w="20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834"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r>
      <w:tr>
        <w:trPr/>
        <w:tc>
          <w:tcPr>
            <w:tcW w:w="2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1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Nonaccrual with</w:t>
            </w:r>
          </w:p>
        </w:tc>
        <w:tc>
          <w:tcPr>
            <w:tcW w:w="326" w:type="dxa"/>
            <w:tcBorders/>
            <w:shd w:fill="auto" w:val="clear"/>
            <w:vAlign w:val="center"/>
          </w:tcPr>
          <w:p>
            <w:pPr>
              <w:pStyle w:val="TableContents"/>
              <w:spacing w:before="0" w:after="0"/>
              <w:ind w:left="0" w:right="0" w:hanging="0"/>
              <w:jc w:val="center"/>
              <w:rPr/>
            </w:pPr>
            <w:r>
              <w:rPr/>
              <w:t>   </w:t>
            </w:r>
          </w:p>
        </w:tc>
        <w:tc>
          <w:tcPr>
            <w:tcW w:w="111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Nonaccrual with</w:t>
            </w:r>
          </w:p>
        </w:tc>
        <w:tc>
          <w:tcPr>
            <w:tcW w:w="326" w:type="dxa"/>
            <w:tcBorders/>
            <w:shd w:fill="auto" w:val="clear"/>
            <w:vAlign w:val="center"/>
          </w:tcPr>
          <w:p>
            <w:pPr>
              <w:pStyle w:val="TableContents"/>
              <w:spacing w:before="0" w:after="0"/>
              <w:ind w:left="0" w:right="0" w:hanging="0"/>
              <w:jc w:val="center"/>
              <w:rPr/>
            </w:pPr>
            <w:r>
              <w:rPr/>
              <w:t>  </w:t>
            </w:r>
          </w:p>
        </w:tc>
        <w:tc>
          <w:tcPr>
            <w:tcW w:w="901"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206" w:type="dxa"/>
            <w:tcBorders/>
            <w:shd w:fill="auto" w:val="clear"/>
            <w:vAlign w:val="center"/>
          </w:tcPr>
          <w:p>
            <w:pPr>
              <w:pStyle w:val="TableContents"/>
              <w:spacing w:before="0" w:after="0"/>
              <w:ind w:left="0" w:right="0" w:hanging="0"/>
              <w:rPr/>
            </w:pPr>
            <w:r>
              <w:rPr/>
              <w:t>  </w:t>
            </w:r>
          </w:p>
        </w:tc>
        <w:tc>
          <w:tcPr>
            <w:tcW w:w="111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Nonaccrual with</w:t>
            </w:r>
          </w:p>
        </w:tc>
        <w:tc>
          <w:tcPr>
            <w:tcW w:w="326" w:type="dxa"/>
            <w:tcBorders/>
            <w:shd w:fill="auto" w:val="clear"/>
            <w:vAlign w:val="center"/>
          </w:tcPr>
          <w:p>
            <w:pPr>
              <w:pStyle w:val="TableContents"/>
              <w:spacing w:before="0" w:after="0"/>
              <w:ind w:left="0" w:right="0" w:hanging="0"/>
              <w:jc w:val="center"/>
              <w:rPr/>
            </w:pPr>
            <w:r>
              <w:rPr/>
              <w:t>  </w:t>
            </w:r>
          </w:p>
        </w:tc>
        <w:tc>
          <w:tcPr>
            <w:tcW w:w="111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Nonaccrual with</w:t>
            </w:r>
          </w:p>
        </w:tc>
        <w:tc>
          <w:tcPr>
            <w:tcW w:w="326" w:type="dxa"/>
            <w:tcBorders/>
            <w:shd w:fill="auto" w:val="clear"/>
            <w:vAlign w:val="center"/>
          </w:tcPr>
          <w:p>
            <w:pPr>
              <w:pStyle w:val="TableContents"/>
              <w:spacing w:before="0" w:after="0"/>
              <w:ind w:left="0" w:right="0" w:hanging="0"/>
              <w:jc w:val="center"/>
              <w:rPr/>
            </w:pPr>
            <w:r>
              <w:rPr/>
              <w:t>  </w:t>
            </w:r>
          </w:p>
        </w:tc>
        <w:tc>
          <w:tcPr>
            <w:tcW w:w="950"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227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REAL ESTATE LOANS</w:t>
            </w:r>
          </w:p>
        </w:tc>
        <w:tc>
          <w:tcPr>
            <w:tcW w:w="109" w:type="dxa"/>
            <w:tcBorders/>
            <w:shd w:fill="auto" w:val="clear"/>
            <w:vAlign w:val="center"/>
          </w:tcPr>
          <w:p>
            <w:pPr>
              <w:pStyle w:val="TableContents"/>
              <w:spacing w:before="0" w:after="0"/>
              <w:ind w:left="0" w:right="0" w:hanging="0"/>
              <w:rPr/>
            </w:pPr>
            <w:r>
              <w:rPr/>
              <w:t>​</w:t>
            </w:r>
          </w:p>
        </w:tc>
        <w:tc>
          <w:tcPr>
            <w:tcW w:w="11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 ACL</w:t>
            </w:r>
          </w:p>
        </w:tc>
        <w:tc>
          <w:tcPr>
            <w:tcW w:w="326" w:type="dxa"/>
            <w:tcBorders/>
            <w:shd w:fill="auto" w:val="clear"/>
            <w:vAlign w:val="center"/>
          </w:tcPr>
          <w:p>
            <w:pPr>
              <w:pStyle w:val="TableContents"/>
              <w:spacing w:before="0" w:after="0"/>
              <w:ind w:left="0" w:right="0" w:hanging="0"/>
              <w:rPr/>
            </w:pPr>
            <w:r>
              <w:rPr/>
              <w:t>    </w:t>
            </w:r>
          </w:p>
        </w:tc>
        <w:tc>
          <w:tcPr>
            <w:tcW w:w="11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ACL</w:t>
            </w:r>
          </w:p>
        </w:tc>
        <w:tc>
          <w:tcPr>
            <w:tcW w:w="326" w:type="dxa"/>
            <w:tcBorders/>
            <w:shd w:fill="auto" w:val="clear"/>
            <w:vAlign w:val="center"/>
          </w:tcPr>
          <w:p>
            <w:pPr>
              <w:pStyle w:val="TableContents"/>
              <w:spacing w:before="0" w:after="0"/>
              <w:ind w:left="0" w:right="0" w:hanging="0"/>
              <w:rPr/>
            </w:pPr>
            <w:r>
              <w:rPr/>
              <w:t>    </w:t>
            </w:r>
          </w:p>
        </w:tc>
        <w:tc>
          <w:tcPr>
            <w:tcW w:w="9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Nonaccrual</w:t>
            </w:r>
          </w:p>
        </w:tc>
        <w:tc>
          <w:tcPr>
            <w:tcW w:w="206" w:type="dxa"/>
            <w:tcBorders/>
            <w:shd w:fill="auto" w:val="clear"/>
            <w:vAlign w:val="center"/>
          </w:tcPr>
          <w:p>
            <w:pPr>
              <w:pStyle w:val="TableContents"/>
              <w:spacing w:before="0" w:after="0"/>
              <w:ind w:left="0" w:right="0" w:hanging="0"/>
              <w:rPr/>
            </w:pPr>
            <w:r>
              <w:rPr/>
              <w:t>​</w:t>
            </w:r>
          </w:p>
        </w:tc>
        <w:tc>
          <w:tcPr>
            <w:tcW w:w="11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 ACL</w:t>
            </w:r>
          </w:p>
        </w:tc>
        <w:tc>
          <w:tcPr>
            <w:tcW w:w="326" w:type="dxa"/>
            <w:tcBorders/>
            <w:shd w:fill="auto" w:val="clear"/>
            <w:vAlign w:val="center"/>
          </w:tcPr>
          <w:p>
            <w:pPr>
              <w:pStyle w:val="TableContents"/>
              <w:spacing w:before="0" w:after="0"/>
              <w:ind w:left="0" w:right="0" w:hanging="0"/>
              <w:rPr/>
            </w:pPr>
            <w:r>
              <w:rPr/>
              <w:t>    </w:t>
            </w:r>
          </w:p>
        </w:tc>
        <w:tc>
          <w:tcPr>
            <w:tcW w:w="11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ACL</w:t>
            </w:r>
          </w:p>
        </w:tc>
        <w:tc>
          <w:tcPr>
            <w:tcW w:w="326" w:type="dxa"/>
            <w:tcBorders/>
            <w:shd w:fill="auto" w:val="clear"/>
            <w:vAlign w:val="center"/>
          </w:tcPr>
          <w:p>
            <w:pPr>
              <w:pStyle w:val="TableContents"/>
              <w:spacing w:before="0" w:after="0"/>
              <w:ind w:left="0" w:right="0" w:hanging="0"/>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Nonaccrual</w:t>
            </w:r>
          </w:p>
        </w:tc>
      </w:tr>
      <w:tr>
        <w:trPr/>
        <w:tc>
          <w:tcPr>
            <w:tcW w:w="22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Home equity</w:t>
            </w:r>
          </w:p>
        </w:tc>
        <w:tc>
          <w:tcPr>
            <w:tcW w:w="109"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3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0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206"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3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0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22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One-to-four-family</w:t>
            </w:r>
          </w:p>
        </w:tc>
        <w:tc>
          <w:tcPr>
            <w:tcW w:w="109" w:type="dxa"/>
            <w:tcBorders/>
            <w:shd w:fill="auto" w:val="cle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c>
          <w:tcPr>
            <w:tcW w:w="32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0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c>
          <w:tcPr>
            <w:tcW w:w="206" w:type="dxa"/>
            <w:tcBorders/>
            <w:shd w:fill="auto" w:val="cle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920</w:t>
            </w:r>
          </w:p>
        </w:tc>
        <w:tc>
          <w:tcPr>
            <w:tcW w:w="32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0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920</w:t>
            </w:r>
          </w:p>
        </w:tc>
      </w:tr>
      <w:tr>
        <w:trPr/>
        <w:tc>
          <w:tcPr>
            <w:tcW w:w="2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692</w:t>
            </w:r>
          </w:p>
        </w:tc>
        <w:tc>
          <w:tcPr>
            <w:tcW w:w="326" w:type="dxa"/>
            <w:tcBorders/>
            <w:shd w:fill="CCEEFF" w:val="clear"/>
            <w:vAlign w:val="center"/>
          </w:tcPr>
          <w:p>
            <w:pPr>
              <w:pStyle w:val="TableContents"/>
              <w:spacing w:before="0" w:after="0"/>
              <w:ind w:left="0" w:right="0" w:hanging="0"/>
              <w:rPr/>
            </w:pPr>
            <w:r>
              <w:rPr/>
              <w:t>​</w:t>
            </w:r>
          </w:p>
        </w:tc>
        <w:tc>
          <w:tcPr>
            <w:tcW w:w="30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692</w:t>
            </w:r>
          </w:p>
        </w:tc>
        <w:tc>
          <w:tcPr>
            <w:tcW w:w="206" w:type="dxa"/>
            <w:tcBorders/>
            <w:shd w:fill="CCEEFF" w:val="clear"/>
            <w:vAlign w:val="center"/>
          </w:tcPr>
          <w:p>
            <w:pPr>
              <w:pStyle w:val="TableContents"/>
              <w:spacing w:before="0" w:after="0"/>
              <w:ind w:left="0" w:right="0" w:hanging="0"/>
              <w:rPr/>
            </w:pPr>
            <w:r>
              <w:rPr/>
              <w:t>​</w:t>
            </w:r>
          </w:p>
        </w:tc>
        <w:tc>
          <w:tcPr>
            <w:tcW w:w="3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c>
          <w:tcPr>
            <w:tcW w:w="326" w:type="dxa"/>
            <w:tcBorders/>
            <w:shd w:fill="CCEEFF" w:val="clear"/>
            <w:vAlign w:val="center"/>
          </w:tcPr>
          <w:p>
            <w:pPr>
              <w:pStyle w:val="TableContents"/>
              <w:spacing w:before="0" w:after="0"/>
              <w:ind w:left="0" w:right="0" w:hanging="0"/>
              <w:rPr/>
            </w:pPr>
            <w:r>
              <w:rPr/>
              <w:t>​</w:t>
            </w:r>
          </w:p>
        </w:tc>
        <w:tc>
          <w:tcPr>
            <w:tcW w:w="30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r>
      <w:tr>
        <w:trPr/>
        <w:tc>
          <w:tcPr>
            <w:tcW w:w="227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CONSUMER LOANS</w:t>
            </w:r>
          </w:p>
        </w:tc>
        <w:tc>
          <w:tcPr>
            <w:tcW w:w="109" w:type="dxa"/>
            <w:tcBorders/>
            <w:shd w:fill="auto" w:val="clear"/>
            <w:vAlign w:val="center"/>
          </w:tcPr>
          <w:p>
            <w:pPr>
              <w:pStyle w:val="TableContents"/>
              <w:spacing w:before="0" w:after="0"/>
              <w:ind w:left="0" w:right="0" w:hanging="0"/>
              <w:rPr/>
            </w:pPr>
            <w:r>
              <w:rPr/>
              <w:t>​</w:t>
            </w:r>
          </w:p>
        </w:tc>
        <w:tc>
          <w:tcPr>
            <w:tcW w:w="381" w:type="dxa"/>
            <w:tcBorders/>
            <w:shd w:fill="auto" w:val="clear"/>
            <w:vAlign w:val="center"/>
          </w:tcPr>
          <w:p>
            <w:pPr>
              <w:pStyle w:val="TableContents"/>
              <w:spacing w:before="0" w:after="0"/>
              <w:ind w:left="0" w:right="0" w:hanging="0"/>
              <w:rPr/>
            </w:pPr>
            <w:r>
              <w:rPr/>
              <w:t>​</w:t>
            </w:r>
          </w:p>
        </w:tc>
        <w:tc>
          <w:tcPr>
            <w:tcW w:w="7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w:t>
            </w:r>
          </w:p>
        </w:tc>
        <w:tc>
          <w:tcPr>
            <w:tcW w:w="8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652"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381" w:type="dxa"/>
            <w:tcBorders/>
            <w:shd w:fill="auto" w:val="clear"/>
            <w:vAlign w:val="center"/>
          </w:tcPr>
          <w:p>
            <w:pPr>
              <w:pStyle w:val="TableContents"/>
              <w:spacing w:before="0" w:after="0"/>
              <w:ind w:left="0" w:right="0" w:hanging="0"/>
              <w:rPr/>
            </w:pPr>
            <w:r>
              <w:rPr/>
              <w:t>​</w:t>
            </w:r>
          </w:p>
        </w:tc>
        <w:tc>
          <w:tcPr>
            <w:tcW w:w="7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w:t>
            </w:r>
          </w:p>
        </w:tc>
        <w:tc>
          <w:tcPr>
            <w:tcW w:w="8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722" w:type="dxa"/>
            <w:tcBorders/>
            <w:shd w:fill="auto" w:val="clear"/>
            <w:vAlign w:val="center"/>
          </w:tcPr>
          <w:p>
            <w:pPr>
              <w:pStyle w:val="TableContents"/>
              <w:spacing w:before="0" w:after="0"/>
              <w:ind w:left="0" w:right="0" w:hanging="0"/>
              <w:rPr/>
            </w:pPr>
            <w:r>
              <w:rPr/>
              <w:t>​</w:t>
            </w:r>
          </w:p>
        </w:tc>
      </w:tr>
      <w:tr>
        <w:trPr/>
        <w:tc>
          <w:tcPr>
            <w:tcW w:w="22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Indirect home improvement</w:t>
            </w:r>
          </w:p>
        </w:tc>
        <w:tc>
          <w:tcPr>
            <w:tcW w:w="109"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rPr/>
            </w:pPr>
            <w:r>
              <w:rPr/>
              <w:t>​</w:t>
            </w:r>
          </w:p>
        </w:tc>
        <w:tc>
          <w:tcPr>
            <w:tcW w:w="7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w:t>
            </w:r>
          </w:p>
        </w:tc>
        <w:tc>
          <w:tcPr>
            <w:tcW w:w="80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65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c>
          <w:tcPr>
            <w:tcW w:w="206"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rPr/>
            </w:pPr>
            <w:r>
              <w:rPr/>
              <w:t>​</w:t>
            </w:r>
          </w:p>
        </w:tc>
        <w:tc>
          <w:tcPr>
            <w:tcW w:w="73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w:t>
            </w:r>
          </w:p>
        </w:tc>
        <w:tc>
          <w:tcPr>
            <w:tcW w:w="80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72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w:t>
            </w:r>
          </w:p>
        </w:tc>
      </w:tr>
      <w:tr>
        <w:trPr/>
        <w:tc>
          <w:tcPr>
            <w:tcW w:w="22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Marine</w:t>
            </w:r>
          </w:p>
        </w:tc>
        <w:tc>
          <w:tcPr>
            <w:tcW w:w="109" w:type="dxa"/>
            <w:tcBorders/>
            <w:shd w:fill="auto" w:val="clear"/>
            <w:vAlign w:val="center"/>
          </w:tcPr>
          <w:p>
            <w:pPr>
              <w:pStyle w:val="TableContents"/>
              <w:spacing w:before="0" w:after="0"/>
              <w:ind w:left="0" w:right="0" w:hanging="0"/>
              <w:rPr/>
            </w:pPr>
            <w:r>
              <w:rPr/>
              <w:t>​</w:t>
            </w:r>
          </w:p>
        </w:tc>
        <w:tc>
          <w:tcPr>
            <w:tcW w:w="381" w:type="dxa"/>
            <w:tcBorders/>
            <w:shd w:fill="auto" w:val="clear"/>
            <w:vAlign w:val="center"/>
          </w:tcPr>
          <w:p>
            <w:pPr>
              <w:pStyle w:val="TableContents"/>
              <w:spacing w:before="0" w:after="0"/>
              <w:ind w:left="0" w:right="0" w:hanging="0"/>
              <w:rPr/>
            </w:pPr>
            <w:r>
              <w:rPr/>
              <w:t>​</w:t>
            </w:r>
          </w:p>
        </w:tc>
        <w:tc>
          <w:tcPr>
            <w:tcW w:w="7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w:t>
            </w:r>
          </w:p>
        </w:tc>
        <w:tc>
          <w:tcPr>
            <w:tcW w:w="80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409</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65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409</w:t>
            </w:r>
          </w:p>
        </w:tc>
        <w:tc>
          <w:tcPr>
            <w:tcW w:w="206" w:type="dxa"/>
            <w:tcBorders/>
            <w:shd w:fill="auto" w:val="clear"/>
            <w:vAlign w:val="center"/>
          </w:tcPr>
          <w:p>
            <w:pPr>
              <w:pStyle w:val="TableContents"/>
              <w:spacing w:before="0" w:after="0"/>
              <w:ind w:left="0" w:right="0" w:hanging="0"/>
              <w:rPr/>
            </w:pPr>
            <w:r>
              <w:rPr/>
              <w:t>​</w:t>
            </w:r>
          </w:p>
        </w:tc>
        <w:tc>
          <w:tcPr>
            <w:tcW w:w="381" w:type="dxa"/>
            <w:tcBorders/>
            <w:shd w:fill="auto" w:val="clear"/>
            <w:vAlign w:val="center"/>
          </w:tcPr>
          <w:p>
            <w:pPr>
              <w:pStyle w:val="TableContents"/>
              <w:spacing w:before="0" w:after="0"/>
              <w:ind w:left="0" w:right="0" w:hanging="0"/>
              <w:rPr/>
            </w:pPr>
            <w:r>
              <w:rPr/>
              <w:t>​</w:t>
            </w:r>
          </w:p>
        </w:tc>
        <w:tc>
          <w:tcPr>
            <w:tcW w:w="7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w:t>
            </w:r>
          </w:p>
        </w:tc>
        <w:tc>
          <w:tcPr>
            <w:tcW w:w="80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72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r>
      <w:tr>
        <w:trPr/>
        <w:tc>
          <w:tcPr>
            <w:tcW w:w="22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consumer</w:t>
            </w:r>
          </w:p>
        </w:tc>
        <w:tc>
          <w:tcPr>
            <w:tcW w:w="109" w:type="dxa"/>
            <w:tcBorders/>
            <w:shd w:fill="CCEEFF" w:val="clear"/>
            <w:vAlign w:val="center"/>
          </w:tcPr>
          <w:p>
            <w:pPr>
              <w:pStyle w:val="TableContents"/>
              <w:spacing w:before="0" w:after="0"/>
              <w:ind w:left="0" w:right="0" w:hanging="0"/>
              <w:rPr/>
            </w:pPr>
            <w:r>
              <w:rPr/>
              <w:t>​</w:t>
            </w:r>
          </w:p>
        </w:tc>
        <w:tc>
          <w:tcPr>
            <w:tcW w:w="3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206" w:type="dxa"/>
            <w:tcBorders/>
            <w:shd w:fill="CCEEFF" w:val="clear"/>
            <w:vAlign w:val="center"/>
          </w:tcPr>
          <w:p>
            <w:pPr>
              <w:pStyle w:val="TableContents"/>
              <w:spacing w:before="0" w:after="0"/>
              <w:ind w:left="0" w:right="0" w:hanging="0"/>
              <w:rPr/>
            </w:pPr>
            <w:r>
              <w:rPr/>
              <w:t>​</w:t>
            </w:r>
          </w:p>
        </w:tc>
        <w:tc>
          <w:tcPr>
            <w:tcW w:w="3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0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2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1,689</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1,689</w:t>
            </w:r>
          </w:p>
        </w:tc>
        <w:tc>
          <w:tcPr>
            <w:tcW w:w="206" w:type="dxa"/>
            <w:tcBorders/>
            <w:shd w:fill="auto" w:val="cle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1,352</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1,352</w:t>
            </w:r>
          </w:p>
        </w:tc>
      </w:tr>
      <w:tr>
        <w:trPr/>
        <w:tc>
          <w:tcPr>
            <w:tcW w:w="227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COMMERCIAL BUSINESS LOANS</w:t>
            </w:r>
          </w:p>
        </w:tc>
        <w:tc>
          <w:tcPr>
            <w:tcW w:w="109"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rPr/>
            </w:pPr>
            <w:r>
              <w:rPr/>
              <w:t> </w:t>
            </w:r>
          </w:p>
        </w:tc>
        <w:tc>
          <w:tcPr>
            <w:tcW w:w="73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80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 </w:t>
            </w:r>
          </w:p>
        </w:tc>
        <w:tc>
          <w:tcPr>
            <w:tcW w:w="652"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381" w:type="dxa"/>
            <w:tcBorders/>
            <w:shd w:fill="CCEEFF" w:val="clear"/>
            <w:vAlign w:val="center"/>
          </w:tcPr>
          <w:p>
            <w:pPr>
              <w:pStyle w:val="TableContents"/>
              <w:spacing w:before="0" w:after="0"/>
              <w:ind w:left="0" w:right="0" w:hanging="0"/>
              <w:rPr/>
            </w:pPr>
            <w:r>
              <w:rPr/>
              <w:t> </w:t>
            </w:r>
          </w:p>
        </w:tc>
        <w:tc>
          <w:tcPr>
            <w:tcW w:w="73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80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722" w:type="dxa"/>
            <w:tcBorders/>
            <w:shd w:fill="CCEEFF" w:val="clear"/>
            <w:vAlign w:val="center"/>
          </w:tcPr>
          <w:p>
            <w:pPr>
              <w:pStyle w:val="TableContents"/>
              <w:spacing w:before="0" w:after="0"/>
              <w:ind w:left="0" w:right="0" w:hanging="0"/>
              <w:rPr/>
            </w:pPr>
            <w:r>
              <w:rPr/>
              <w:t>​</w:t>
            </w:r>
          </w:p>
        </w:tc>
      </w:tr>
      <w:tr>
        <w:trPr/>
        <w:tc>
          <w:tcPr>
            <w:tcW w:w="22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auto" w:val="cle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6,325</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6,325</w:t>
            </w:r>
          </w:p>
        </w:tc>
        <w:tc>
          <w:tcPr>
            <w:tcW w:w="206" w:type="dxa"/>
            <w:tcBorders/>
            <w:shd w:fill="auto" w:val="clear"/>
            <w:vAlign w:val="center"/>
          </w:tcPr>
          <w:p>
            <w:pPr>
              <w:pStyle w:val="TableContents"/>
              <w:spacing w:before="0" w:after="0"/>
              <w:ind w:left="0" w:right="0" w:hanging="0"/>
              <w:rPr/>
            </w:pPr>
            <w:r>
              <w:rPr/>
              <w:t>​</w:t>
            </w:r>
          </w:p>
        </w:tc>
        <w:tc>
          <w:tcPr>
            <w:tcW w:w="3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6,334</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6,334</w:t>
            </w:r>
          </w:p>
        </w:tc>
      </w:tr>
      <w:tr>
        <w:trPr/>
        <w:tc>
          <w:tcPr>
            <w:tcW w:w="22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Total </w:t>
            </w:r>
          </w:p>
        </w:tc>
        <w:tc>
          <w:tcPr>
            <w:tcW w:w="109" w:type="dxa"/>
            <w:tcBorders/>
            <w:shd w:fill="CCEEFF" w:val="clear"/>
            <w:vAlign w:val="center"/>
          </w:tcPr>
          <w:p>
            <w:pPr>
              <w:pStyle w:val="TableContents"/>
              <w:spacing w:before="0" w:after="0"/>
              <w:ind w:left="0" w:right="0" w:hanging="0"/>
              <w:rPr/>
            </w:pPr>
            <w:r>
              <w:rPr/>
              <w:t>​</w:t>
            </w:r>
          </w:p>
        </w:tc>
        <w:tc>
          <w:tcPr>
            <w:tcW w:w="3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3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692</w:t>
            </w:r>
          </w:p>
        </w:tc>
        <w:tc>
          <w:tcPr>
            <w:tcW w:w="326" w:type="dxa"/>
            <w:tcBorders/>
            <w:shd w:fill="CCEEFF" w:val="clear"/>
            <w:vAlign w:val="center"/>
          </w:tcPr>
          <w:p>
            <w:pPr>
              <w:pStyle w:val="TableContents"/>
              <w:spacing w:before="0" w:after="0"/>
              <w:ind w:left="0" w:right="0" w:hanging="0"/>
              <w:rPr/>
            </w:pPr>
            <w:r>
              <w:rPr/>
              <w:t>​</w:t>
            </w:r>
          </w:p>
        </w:tc>
        <w:tc>
          <w:tcPr>
            <w:tcW w:w="30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0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8,014</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8,706</w:t>
            </w:r>
          </w:p>
        </w:tc>
        <w:tc>
          <w:tcPr>
            <w:tcW w:w="206" w:type="dxa"/>
            <w:tcBorders/>
            <w:shd w:fill="CCEEFF" w:val="clear"/>
            <w:vAlign w:val="center"/>
          </w:tcPr>
          <w:p>
            <w:pPr>
              <w:pStyle w:val="TableContents"/>
              <w:spacing w:before="0" w:after="0"/>
              <w:ind w:left="0" w:right="0" w:hanging="0"/>
              <w:rPr/>
            </w:pPr>
            <w:r>
              <w:rPr/>
              <w:t>​</w:t>
            </w:r>
          </w:p>
        </w:tc>
        <w:tc>
          <w:tcPr>
            <w:tcW w:w="3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3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c>
          <w:tcPr>
            <w:tcW w:w="326" w:type="dxa"/>
            <w:tcBorders/>
            <w:shd w:fill="CCEEFF" w:val="clear"/>
            <w:vAlign w:val="center"/>
          </w:tcPr>
          <w:p>
            <w:pPr>
              <w:pStyle w:val="TableContents"/>
              <w:spacing w:before="0" w:after="0"/>
              <w:ind w:left="0" w:right="0" w:hanging="0"/>
              <w:rPr/>
            </w:pPr>
            <w:r>
              <w:rPr/>
              <w:t>​</w:t>
            </w:r>
          </w:p>
        </w:tc>
        <w:tc>
          <w:tcPr>
            <w:tcW w:w="30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0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7,686</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8,652</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recognized interest income on a cash basis for nonaccrual loans of $62,000 and $98,000 during the three months ended March 31, 2023 and 2022, respectively.</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amortized cost basis of collateral dependent loans by class of loans as of the dates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700"/>
        <w:gridCol w:w="109"/>
        <w:gridCol w:w="285"/>
        <w:gridCol w:w="571"/>
        <w:gridCol w:w="266"/>
        <w:gridCol w:w="337"/>
        <w:gridCol w:w="914"/>
        <w:gridCol w:w="326"/>
        <w:gridCol w:w="211"/>
        <w:gridCol w:w="571"/>
        <w:gridCol w:w="326"/>
        <w:gridCol w:w="285"/>
        <w:gridCol w:w="571"/>
        <w:gridCol w:w="326"/>
        <w:gridCol w:w="337"/>
        <w:gridCol w:w="914"/>
        <w:gridCol w:w="266"/>
        <w:gridCol w:w="211"/>
        <w:gridCol w:w="679"/>
      </w:tblGrid>
      <w:tr>
        <w:trPr/>
        <w:tc>
          <w:tcPr>
            <w:tcW w:w="27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714500" cy="175260"/>
                      <wp:effectExtent l="0" t="0" r="0" b="0"/>
                      <wp:wrapNone/>
                      <wp:docPr id="463" name="Frame463"/>
                      <a:graphic xmlns:a="http://schemas.openxmlformats.org/drawingml/2006/main">
                        <a:graphicData uri="http://schemas.microsoft.com/office/word/2010/wordprocessingShape">
                          <wps:wsp>
                            <wps:cNvSpPr txBox="1"/>
                            <wps:spPr>
                              <a:xfrm>
                                <a:off x="0" y="0"/>
                                <a:ext cx="1714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9215" cy="175260"/>
                      <wp:effectExtent l="0" t="0" r="0" b="0"/>
                      <wp:wrapNone/>
                      <wp:docPr id="464" name="Frame4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80975" cy="175260"/>
                      <wp:effectExtent l="0" t="0" r="0" b="0"/>
                      <wp:wrapNone/>
                      <wp:docPr id="465" name="Frame465"/>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362585" cy="175260"/>
                      <wp:effectExtent l="0" t="0" r="0" b="0"/>
                      <wp:wrapNone/>
                      <wp:docPr id="466" name="Frame46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68910" cy="175260"/>
                      <wp:effectExtent l="0" t="0" r="0" b="0"/>
                      <wp:wrapNone/>
                      <wp:docPr id="467" name="Frame46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3995" cy="175260"/>
                      <wp:effectExtent l="0" t="0" r="0" b="0"/>
                      <wp:wrapNone/>
                      <wp:docPr id="468" name="Frame468"/>
                      <a:graphic xmlns:a="http://schemas.openxmlformats.org/drawingml/2006/main">
                        <a:graphicData uri="http://schemas.microsoft.com/office/word/2010/wordprocessingShape">
                          <wps:wsp>
                            <wps:cNvSpPr txBox="1"/>
                            <wps:spPr>
                              <a:xfrm>
                                <a:off x="0" y="0"/>
                                <a:ext cx="213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80390" cy="175260"/>
                      <wp:effectExtent l="0" t="0" r="0" b="0"/>
                      <wp:wrapNone/>
                      <wp:docPr id="469" name="Frame469"/>
                      <a:graphic xmlns:a="http://schemas.openxmlformats.org/drawingml/2006/main">
                        <a:graphicData uri="http://schemas.microsoft.com/office/word/2010/wordprocessingShape">
                          <wps:wsp>
                            <wps:cNvSpPr txBox="1"/>
                            <wps:spPr>
                              <a:xfrm>
                                <a:off x="0" y="0"/>
                                <a:ext cx="580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1" name="Frame4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362585" cy="175260"/>
                      <wp:effectExtent l="0" t="0" r="0" b="0"/>
                      <wp:wrapNone/>
                      <wp:docPr id="472" name="Frame47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80975" cy="175260"/>
                      <wp:effectExtent l="0" t="0" r="0" b="0"/>
                      <wp:wrapNone/>
                      <wp:docPr id="474" name="Frame474"/>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62585" cy="175260"/>
                      <wp:effectExtent l="0" t="0" r="0" b="0"/>
                      <wp:wrapNone/>
                      <wp:docPr id="475" name="Frame47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3995" cy="175260"/>
                      <wp:effectExtent l="0" t="0" r="0" b="0"/>
                      <wp:wrapNone/>
                      <wp:docPr id="477" name="Frame477"/>
                      <a:graphic xmlns:a="http://schemas.openxmlformats.org/drawingml/2006/main">
                        <a:graphicData uri="http://schemas.microsoft.com/office/word/2010/wordprocessingShape">
                          <wps:wsp>
                            <wps:cNvSpPr txBox="1"/>
                            <wps:spPr>
                              <a:xfrm>
                                <a:off x="0" y="0"/>
                                <a:ext cx="213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80390" cy="175260"/>
                      <wp:effectExtent l="0" t="0" r="0" b="0"/>
                      <wp:wrapNone/>
                      <wp:docPr id="478" name="Frame478"/>
                      <a:graphic xmlns:a="http://schemas.openxmlformats.org/drawingml/2006/main">
                        <a:graphicData uri="http://schemas.microsoft.com/office/word/2010/wordprocessingShape">
                          <wps:wsp>
                            <wps:cNvSpPr txBox="1"/>
                            <wps:spPr>
                              <a:xfrm>
                                <a:off x="0" y="0"/>
                                <a:ext cx="580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68910" cy="175260"/>
                      <wp:effectExtent l="0" t="0" r="0" b="0"/>
                      <wp:wrapNone/>
                      <wp:docPr id="479" name="Frame479"/>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31165" cy="175260"/>
                      <wp:effectExtent l="0" t="0" r="0" b="0"/>
                      <wp:wrapNone/>
                      <wp:docPr id="481" name="Frame481"/>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0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48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c>
          <w:tcPr>
            <w:tcW w:w="326" w:type="dxa"/>
            <w:tcBorders/>
            <w:shd w:fill="auto" w:val="clear"/>
            <w:vAlign w:val="center"/>
          </w:tcPr>
          <w:p>
            <w:pPr>
              <w:pStyle w:val="TableContents"/>
              <w:spacing w:before="0" w:after="0"/>
              <w:ind w:left="0" w:right="0" w:hanging="0"/>
              <w:rPr/>
            </w:pPr>
            <w:r>
              <w:rPr/>
              <w:t>​</w:t>
            </w:r>
          </w:p>
        </w:tc>
        <w:tc>
          <w:tcPr>
            <w:tcW w:w="3589"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270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56" w:type="dxa"/>
            <w:gridSpan w:val="2"/>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Residential</w:t>
            </w:r>
          </w:p>
        </w:tc>
        <w:tc>
          <w:tcPr>
            <w:tcW w:w="266" w:type="dxa"/>
            <w:tcBorders/>
            <w:shd w:fill="auto" w:val="clear"/>
            <w:vAlign w:val="center"/>
          </w:tcPr>
          <w:p>
            <w:pPr>
              <w:pStyle w:val="TableContents"/>
              <w:spacing w:before="0" w:after="0"/>
              <w:ind w:left="0" w:right="0" w:hanging="0"/>
              <w:rPr/>
            </w:pPr>
            <w:r>
              <w:rPr/>
              <w:t>​</w:t>
            </w:r>
          </w:p>
        </w:tc>
        <w:tc>
          <w:tcPr>
            <w:tcW w:w="1251" w:type="dxa"/>
            <w:gridSpan w:val="2"/>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gridSpan w:val="2"/>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Residential</w:t>
            </w:r>
          </w:p>
        </w:tc>
        <w:tc>
          <w:tcPr>
            <w:tcW w:w="326" w:type="dxa"/>
            <w:tcBorders/>
            <w:shd w:fill="auto" w:val="clear"/>
            <w:vAlign w:val="center"/>
          </w:tcPr>
          <w:p>
            <w:pPr>
              <w:pStyle w:val="TableContents"/>
              <w:spacing w:before="0" w:after="0"/>
              <w:ind w:left="0" w:right="0" w:hanging="0"/>
              <w:rPr/>
            </w:pPr>
            <w:r>
              <w:rPr/>
              <w:t>​</w:t>
            </w:r>
          </w:p>
        </w:tc>
        <w:tc>
          <w:tcPr>
            <w:tcW w:w="1251" w:type="dxa"/>
            <w:gridSpan w:val="2"/>
            <w:tcBorders/>
            <w:shd w:fill="auto" w:val="cle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Other</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0"/>
              <w:ind w:left="0" w:right="0" w:hanging="0"/>
              <w:rPr/>
            </w:pPr>
            <w:r>
              <w:rPr/>
              <w:t>​</w:t>
            </w:r>
          </w:p>
        </w:tc>
      </w:tr>
      <w:tr>
        <w:trPr/>
        <w:tc>
          <w:tcPr>
            <w:tcW w:w="2700"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REAL ESTATE LOANS</w:t>
            </w:r>
          </w:p>
        </w:tc>
        <w:tc>
          <w:tcPr>
            <w:tcW w:w="109" w:type="dxa"/>
            <w:tcBorders/>
            <w:shd w:fill="auto" w:val="clear"/>
            <w:vAlign w:val="center"/>
          </w:tcPr>
          <w:p>
            <w:pPr>
              <w:pStyle w:val="TableContents"/>
              <w:spacing w:before="0" w:after="0"/>
              <w:ind w:left="0" w:right="0" w:hanging="0"/>
              <w:rPr/>
            </w:pPr>
            <w:r>
              <w:rPr/>
              <w:t>​</w:t>
            </w:r>
          </w:p>
        </w:tc>
        <w:tc>
          <w:tcPr>
            <w:tcW w:w="8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Real Estate</w:t>
            </w:r>
          </w:p>
        </w:tc>
        <w:tc>
          <w:tcPr>
            <w:tcW w:w="266" w:type="dxa"/>
            <w:tcBorders/>
            <w:shd w:fill="auto" w:val="clear"/>
            <w:vAlign w:val="center"/>
          </w:tcPr>
          <w:p>
            <w:pPr>
              <w:pStyle w:val="TableContents"/>
              <w:spacing w:before="0" w:after="0"/>
              <w:ind w:left="0" w:right="0" w:hanging="0"/>
              <w:rPr/>
            </w:pPr>
            <w:r>
              <w:rPr/>
              <w:t>   </w:t>
            </w:r>
          </w:p>
        </w:tc>
        <w:tc>
          <w:tcPr>
            <w:tcW w:w="12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7"/>
              </w:rPr>
              <w:t>Non-Real Estate</w:t>
            </w:r>
            <w:r>
              <w:rPr>
                <w:rFonts w:ascii="Times New Roman;Times;serif" w:hAnsi="Times New Roman;Times;serif"/>
                <w:sz w:val="16"/>
              </w:rPr>
              <w:t>  </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Total</w:t>
            </w:r>
          </w:p>
        </w:tc>
        <w:tc>
          <w:tcPr>
            <w:tcW w:w="326" w:type="dxa"/>
            <w:tcBorders/>
            <w:shd w:fill="auto" w:val="clear"/>
            <w:vAlign w:val="center"/>
          </w:tcPr>
          <w:p>
            <w:pPr>
              <w:pStyle w:val="TableContents"/>
              <w:spacing w:before="0" w:after="0"/>
              <w:ind w:left="0" w:right="0" w:hanging="0"/>
              <w:rPr/>
            </w:pPr>
            <w:r>
              <w:rPr/>
              <w:t>    </w:t>
            </w:r>
          </w:p>
        </w:tc>
        <w:tc>
          <w:tcPr>
            <w:tcW w:w="8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Real Estate</w:t>
            </w:r>
          </w:p>
        </w:tc>
        <w:tc>
          <w:tcPr>
            <w:tcW w:w="326" w:type="dxa"/>
            <w:tcBorders/>
            <w:shd w:fill="auto" w:val="clear"/>
            <w:vAlign w:val="center"/>
          </w:tcPr>
          <w:p>
            <w:pPr>
              <w:pStyle w:val="TableContents"/>
              <w:spacing w:before="0" w:after="0"/>
              <w:ind w:left="0" w:right="0" w:hanging="0"/>
              <w:rPr/>
            </w:pPr>
            <w:r>
              <w:rPr/>
              <w:t>    </w:t>
            </w:r>
          </w:p>
        </w:tc>
        <w:tc>
          <w:tcPr>
            <w:tcW w:w="12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7"/>
              </w:rPr>
              <w:t>Non-Real Estate</w:t>
            </w:r>
            <w:r>
              <w:rPr>
                <w:rFonts w:ascii="Times New Roman;Times;serif" w:hAnsi="Times New Roman;Times;serif"/>
                <w:sz w:val="16"/>
              </w:rPr>
              <w:t>  </w:t>
            </w:r>
          </w:p>
        </w:tc>
        <w:tc>
          <w:tcPr>
            <w:tcW w:w="266" w:type="dxa"/>
            <w:tcBorders/>
            <w:shd w:fill="auto" w:val="clear"/>
            <w:vAlign w:val="center"/>
          </w:tcPr>
          <w:p>
            <w:pPr>
              <w:pStyle w:val="TableContents"/>
              <w:spacing w:before="0" w:after="0"/>
              <w:ind w:left="0" w:right="0" w:hanging="0"/>
              <w:rPr/>
            </w:pPr>
            <w:r>
              <w:rPr/>
              <w:t>   </w:t>
            </w:r>
          </w:p>
        </w:tc>
        <w:tc>
          <w:tcPr>
            <w:tcW w:w="8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7"/>
              </w:rPr>
            </w:pPr>
            <w:r>
              <w:rPr>
                <w:rFonts w:ascii="Times New Roman;Times;serif" w:hAnsi="Times New Roman;Times;serif"/>
                <w:sz w:val="17"/>
              </w:rPr>
              <w:t>Total</w:t>
            </w:r>
          </w:p>
        </w:tc>
      </w:tr>
      <w:tr>
        <w:trPr/>
        <w:tc>
          <w:tcPr>
            <w:tcW w:w="27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Home equity</w:t>
            </w:r>
          </w:p>
        </w:tc>
        <w:tc>
          <w:tcPr>
            <w:tcW w:w="109"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266" w:type="dxa"/>
            <w:tcBorders/>
            <w:shd w:fill="CCEEFF" w:val="clear"/>
            <w:vAlign w:val="center"/>
          </w:tcPr>
          <w:p>
            <w:pPr>
              <w:pStyle w:val="TableContents"/>
              <w:spacing w:before="0" w:after="0"/>
              <w:ind w:left="0" w:right="0" w:hanging="0"/>
              <w:rPr/>
            </w:pPr>
            <w:r>
              <w:rPr/>
              <w:t>​</w:t>
            </w:r>
          </w:p>
        </w:tc>
        <w:tc>
          <w:tcPr>
            <w:tcW w:w="3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spacing w:before="0" w:after="0"/>
              <w:ind w:left="0" w:right="0" w:hanging="0"/>
              <w:rPr/>
            </w:pPr>
            <w:r>
              <w:rPr/>
              <w:t>​</w:t>
            </w:r>
          </w:p>
        </w:tc>
        <w:tc>
          <w:tcPr>
            <w:tcW w:w="3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70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One-to-four-family</w:t>
            </w:r>
          </w:p>
        </w:tc>
        <w:tc>
          <w:tcPr>
            <w:tcW w:w="109" w:type="dxa"/>
            <w:tcBorders/>
            <w:shd w:fill="auto" w:val="clear"/>
            <w:vAlign w:val="center"/>
          </w:tcPr>
          <w:p>
            <w:pPr>
              <w:pStyle w:val="TableContents"/>
              <w:spacing w:before="0" w:after="0"/>
              <w:ind w:left="0" w:right="0" w:hanging="0"/>
              <w:rPr/>
            </w:pPr>
            <w:r>
              <w:rPr/>
              <w:t>​</w:t>
            </w:r>
          </w:p>
        </w:tc>
        <w:tc>
          <w:tcPr>
            <w:tcW w:w="28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266" w:type="dxa"/>
            <w:tcBorders/>
            <w:shd w:fill="auto" w:val="clear"/>
            <w:vAlign w:val="center"/>
          </w:tcPr>
          <w:p>
            <w:pPr>
              <w:pStyle w:val="TableContents"/>
              <w:spacing w:before="0" w:after="0"/>
              <w:ind w:left="0" w:right="0" w:hanging="0"/>
              <w:rPr/>
            </w:pPr>
            <w:r>
              <w:rPr/>
              <w:t>​</w:t>
            </w:r>
          </w:p>
        </w:tc>
        <w:tc>
          <w:tcPr>
            <w:tcW w:w="3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shd w:fill="auto" w:val="clear"/>
            <w:vAlign w:val="center"/>
          </w:tcPr>
          <w:p>
            <w:pPr>
              <w:pStyle w:val="TableContents"/>
              <w:spacing w:before="0" w:after="0"/>
              <w:ind w:left="0" w:right="0" w:hanging="0"/>
              <w:rPr/>
            </w:pPr>
            <w:r>
              <w:rPr/>
              <w:t>​</w:t>
            </w:r>
          </w:p>
        </w:tc>
        <w:tc>
          <w:tcPr>
            <w:tcW w:w="28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26" w:type="dxa"/>
            <w:tcBorders/>
            <w:shd w:fill="auto" w:val="clear"/>
            <w:vAlign w:val="center"/>
          </w:tcPr>
          <w:p>
            <w:pPr>
              <w:pStyle w:val="TableContents"/>
              <w:spacing w:before="0" w:after="0"/>
              <w:ind w:left="0" w:right="0" w:hanging="0"/>
              <w:rPr/>
            </w:pPr>
            <w:r>
              <w:rPr/>
              <w:t>​</w:t>
            </w:r>
          </w:p>
        </w:tc>
        <w:tc>
          <w:tcPr>
            <w:tcW w:w="3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r>
      <w:tr>
        <w:trPr/>
        <w:tc>
          <w:tcPr>
            <w:tcW w:w="270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266" w:type="dxa"/>
            <w:tcBorders/>
            <w:shd w:fill="CCEEFF" w:val="clear"/>
            <w:vAlign w:val="center"/>
          </w:tcPr>
          <w:p>
            <w:pPr>
              <w:pStyle w:val="TableContents"/>
              <w:spacing w:before="0" w:after="0"/>
              <w:ind w:left="0" w:right="0" w:hanging="0"/>
              <w:rPr/>
            </w:pPr>
            <w:r>
              <w:rPr/>
              <w:t>​</w:t>
            </w:r>
          </w:p>
        </w:tc>
        <w:tc>
          <w:tcPr>
            <w:tcW w:w="33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26" w:type="dxa"/>
            <w:tcBorders/>
            <w:shd w:fill="CCEEFF" w:val="clear"/>
            <w:vAlign w:val="center"/>
          </w:tcPr>
          <w:p>
            <w:pPr>
              <w:pStyle w:val="TableContents"/>
              <w:spacing w:before="0" w:after="0"/>
              <w:ind w:left="0" w:right="0" w:hanging="0"/>
              <w:rPr/>
            </w:pPr>
            <w:r>
              <w:rPr/>
              <w:t>​</w:t>
            </w:r>
          </w:p>
        </w:tc>
        <w:tc>
          <w:tcPr>
            <w:tcW w:w="28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26" w:type="dxa"/>
            <w:tcBorders/>
            <w:shd w:fill="CCEEFF" w:val="clear"/>
            <w:vAlign w:val="center"/>
          </w:tcPr>
          <w:p>
            <w:pPr>
              <w:pStyle w:val="TableContents"/>
              <w:spacing w:before="0" w:after="0"/>
              <w:ind w:left="0" w:right="0" w:hanging="0"/>
              <w:rPr/>
            </w:pPr>
            <w:r>
              <w:rPr/>
              <w:t>​</w:t>
            </w:r>
          </w:p>
        </w:tc>
        <w:tc>
          <w:tcPr>
            <w:tcW w:w="33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2700"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CONSUMER LOANS</w:t>
            </w:r>
          </w:p>
        </w:tc>
        <w:tc>
          <w:tcPr>
            <w:tcW w:w="109"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337" w:type="dxa"/>
            <w:tcBorders/>
            <w:shd w:fill="auto" w:val="clear"/>
            <w:vAlign w:val="center"/>
          </w:tcPr>
          <w:p>
            <w:pPr>
              <w:pStyle w:val="TableContents"/>
              <w:spacing w:before="0" w:after="0"/>
              <w:ind w:left="0" w:right="0" w:hanging="0"/>
              <w:rPr/>
            </w:pPr>
            <w:r>
              <w:rPr/>
              <w:t>​</w:t>
            </w:r>
          </w:p>
        </w:tc>
        <w:tc>
          <w:tcPr>
            <w:tcW w:w="9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7" w:type="dxa"/>
            <w:tcBorders/>
            <w:shd w:fill="auto" w:val="clear"/>
            <w:vAlign w:val="center"/>
          </w:tcPr>
          <w:p>
            <w:pPr>
              <w:pStyle w:val="TableContents"/>
              <w:spacing w:before="0" w:after="0"/>
              <w:ind w:left="0" w:right="0" w:hanging="0"/>
              <w:rPr/>
            </w:pPr>
            <w:r>
              <w:rPr/>
              <w:t>​</w:t>
            </w:r>
          </w:p>
        </w:tc>
        <w:tc>
          <w:tcPr>
            <w:tcW w:w="914"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0"/>
              <w:ind w:left="0" w:right="0" w:hanging="0"/>
              <w:rPr/>
            </w:pPr>
            <w:r>
              <w:rPr/>
              <w:t>​</w:t>
            </w:r>
          </w:p>
        </w:tc>
      </w:tr>
      <w:tr>
        <w:trPr/>
        <w:tc>
          <w:tcPr>
            <w:tcW w:w="27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Indirect home improvement</w:t>
            </w:r>
          </w:p>
        </w:tc>
        <w:tc>
          <w:tcPr>
            <w:tcW w:w="109"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337" w:type="dxa"/>
            <w:tcBorders/>
            <w:shd w:fill="CCEEFF" w:val="clear"/>
            <w:vAlign w:val="center"/>
          </w:tcPr>
          <w:p>
            <w:pPr>
              <w:pStyle w:val="TableContents"/>
              <w:spacing w:before="0" w:after="0"/>
              <w:ind w:left="0" w:right="0" w:hanging="0"/>
              <w:rPr/>
            </w:pPr>
            <w:r>
              <w:rPr/>
              <w:t>​</w:t>
            </w:r>
          </w:p>
        </w:tc>
        <w:tc>
          <w:tcPr>
            <w:tcW w:w="91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326"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7" w:type="dxa"/>
            <w:tcBorders/>
            <w:shd w:fill="CCEEFF" w:val="clear"/>
            <w:vAlign w:val="center"/>
          </w:tcPr>
          <w:p>
            <w:pPr>
              <w:pStyle w:val="TableContents"/>
              <w:spacing w:before="0" w:after="0"/>
              <w:ind w:left="0" w:right="0" w:hanging="0"/>
              <w:rPr/>
            </w:pPr>
            <w:r>
              <w:rPr/>
              <w:t>​</w:t>
            </w:r>
          </w:p>
        </w:tc>
        <w:tc>
          <w:tcPr>
            <w:tcW w:w="91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r>
      <w:tr>
        <w:trPr/>
        <w:tc>
          <w:tcPr>
            <w:tcW w:w="270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Marine</w:t>
            </w:r>
          </w:p>
        </w:tc>
        <w:tc>
          <w:tcPr>
            <w:tcW w:w="109" w:type="dxa"/>
            <w:tcBorders/>
            <w:shd w:fill="auto" w:val="clear"/>
            <w:vAlign w:val="center"/>
          </w:tcPr>
          <w:p>
            <w:pPr>
              <w:pStyle w:val="TableContents"/>
              <w:spacing w:before="0" w:after="0"/>
              <w:ind w:left="0" w:right="0" w:hanging="0"/>
              <w:rPr/>
            </w:pPr>
            <w:r>
              <w:rPr/>
              <w:t>​</w:t>
            </w:r>
          </w:p>
        </w:tc>
        <w:tc>
          <w:tcPr>
            <w:tcW w:w="28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3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1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auto" w:val="clear"/>
            <w:vAlign w:val="center"/>
          </w:tcPr>
          <w:p>
            <w:pPr>
              <w:pStyle w:val="TableContents"/>
              <w:spacing w:before="0" w:after="0"/>
              <w:ind w:left="0" w:right="0" w:hanging="0"/>
              <w:rPr/>
            </w:pPr>
            <w:r>
              <w:rPr/>
              <w:t>​</w:t>
            </w:r>
          </w:p>
        </w:tc>
        <w:tc>
          <w:tcPr>
            <w:tcW w:w="28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1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270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8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33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c>
          <w:tcPr>
            <w:tcW w:w="326" w:type="dxa"/>
            <w:tcBorders/>
            <w:shd w:fill="CCEEFF" w:val="clear"/>
            <w:vAlign w:val="center"/>
          </w:tcPr>
          <w:p>
            <w:pPr>
              <w:pStyle w:val="TableContents"/>
              <w:spacing w:before="0" w:after="0"/>
              <w:ind w:left="0" w:right="0" w:hanging="0"/>
              <w:rPr/>
            </w:pPr>
            <w:r>
              <w:rPr/>
              <w:t>​</w:t>
            </w:r>
          </w:p>
        </w:tc>
        <w:tc>
          <w:tcPr>
            <w:tcW w:w="28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1,343</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1,343</w:t>
            </w:r>
          </w:p>
        </w:tc>
      </w:tr>
      <w:tr>
        <w:trPr/>
        <w:tc>
          <w:tcPr>
            <w:tcW w:w="2700"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COMMERCIAL BUSINESS LOANS</w:t>
            </w:r>
          </w:p>
        </w:tc>
        <w:tc>
          <w:tcPr>
            <w:tcW w:w="109"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337" w:type="dxa"/>
            <w:tcBorders/>
            <w:shd w:fill="auto" w:val="clear"/>
            <w:vAlign w:val="center"/>
          </w:tcPr>
          <w:p>
            <w:pPr>
              <w:pStyle w:val="TableContents"/>
              <w:spacing w:before="0" w:after="0"/>
              <w:ind w:left="0" w:right="0" w:hanging="0"/>
              <w:rPr/>
            </w:pPr>
            <w:r>
              <w:rPr/>
              <w:t> </w:t>
            </w:r>
          </w:p>
        </w:tc>
        <w:tc>
          <w:tcPr>
            <w:tcW w:w="9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7" w:type="dxa"/>
            <w:tcBorders/>
            <w:shd w:fill="auto" w:val="clear"/>
            <w:vAlign w:val="center"/>
          </w:tcPr>
          <w:p>
            <w:pPr>
              <w:pStyle w:val="TableContents"/>
              <w:spacing w:before="0" w:after="0"/>
              <w:ind w:left="0" w:right="0" w:hanging="0"/>
              <w:rPr/>
            </w:pPr>
            <w:r>
              <w:rPr/>
              <w:t> </w:t>
            </w:r>
          </w:p>
        </w:tc>
        <w:tc>
          <w:tcPr>
            <w:tcW w:w="914"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9" w:type="dxa"/>
            <w:tcBorders/>
            <w:shd w:fill="auto" w:val="clear"/>
            <w:vAlign w:val="center"/>
          </w:tcPr>
          <w:p>
            <w:pPr>
              <w:pStyle w:val="TableContents"/>
              <w:spacing w:before="0" w:after="0"/>
              <w:ind w:left="0" w:right="0" w:hanging="0"/>
              <w:rPr/>
            </w:pPr>
            <w:r>
              <w:rPr/>
              <w:t>​</w:t>
            </w:r>
          </w:p>
        </w:tc>
      </w:tr>
      <w:tr>
        <w:trPr/>
        <w:tc>
          <w:tcPr>
            <w:tcW w:w="270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and industrial</w:t>
            </w:r>
          </w:p>
        </w:tc>
        <w:tc>
          <w:tcPr>
            <w:tcW w:w="109" w:type="dxa"/>
            <w:tcBorders/>
            <w:shd w:fill="CCEEFF" w:val="clear"/>
            <w:vAlign w:val="center"/>
          </w:tcPr>
          <w:p>
            <w:pPr>
              <w:pStyle w:val="TableContents"/>
              <w:spacing w:before="0" w:after="0"/>
              <w:ind w:left="0" w:right="0" w:hanging="0"/>
              <w:rPr/>
            </w:pPr>
            <w:r>
              <w:rPr/>
              <w:t>​</w:t>
            </w:r>
          </w:p>
        </w:tc>
        <w:tc>
          <w:tcPr>
            <w:tcW w:w="28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3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6,325</w:t>
            </w:r>
          </w:p>
        </w:tc>
        <w:tc>
          <w:tcPr>
            <w:tcW w:w="326" w:type="dxa"/>
            <w:tcBorders/>
            <w:shd w:fill="CCEEFF" w:val="clear"/>
            <w:vAlign w:val="center"/>
          </w:tcPr>
          <w:p>
            <w:pPr>
              <w:pStyle w:val="TableContents"/>
              <w:spacing w:before="0" w:after="0"/>
              <w:ind w:left="0" w:right="0" w:hanging="0"/>
              <w:rPr/>
            </w:pPr>
            <w:r>
              <w:rPr/>
              <w:t>​</w:t>
            </w:r>
          </w:p>
        </w:tc>
        <w:tc>
          <w:tcPr>
            <w:tcW w:w="28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6,334</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6,334</w:t>
            </w:r>
          </w:p>
        </w:tc>
      </w:tr>
      <w:tr>
        <w:trPr/>
        <w:tc>
          <w:tcPr>
            <w:tcW w:w="270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auto" w:val="clear"/>
            <w:vAlign w:val="center"/>
          </w:tcPr>
          <w:p>
            <w:pPr>
              <w:pStyle w:val="TableContents"/>
              <w:spacing w:before="0" w:after="0"/>
              <w:ind w:left="0" w:right="0" w:hanging="0"/>
              <w:rPr/>
            </w:pPr>
            <w:r>
              <w:rPr/>
              <w:t>​</w:t>
            </w:r>
          </w:p>
        </w:tc>
        <w:tc>
          <w:tcPr>
            <w:tcW w:w="28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266" w:type="dxa"/>
            <w:tcBorders/>
            <w:shd w:fill="auto" w:val="clear"/>
            <w:vAlign w:val="center"/>
          </w:tcPr>
          <w:p>
            <w:pPr>
              <w:pStyle w:val="TableContents"/>
              <w:spacing w:before="0" w:after="0"/>
              <w:ind w:left="0" w:right="0" w:hanging="0"/>
              <w:rPr/>
            </w:pPr>
            <w:r>
              <w:rPr/>
              <w:t>​</w:t>
            </w:r>
          </w:p>
        </w:tc>
        <w:tc>
          <w:tcPr>
            <w:tcW w:w="33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8,008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8,700</w:t>
            </w:r>
          </w:p>
        </w:tc>
        <w:tc>
          <w:tcPr>
            <w:tcW w:w="326" w:type="dxa"/>
            <w:tcBorders/>
            <w:shd w:fill="auto" w:val="clear"/>
            <w:vAlign w:val="center"/>
          </w:tcPr>
          <w:p>
            <w:pPr>
              <w:pStyle w:val="TableContents"/>
              <w:spacing w:before="0" w:after="0"/>
              <w:ind w:left="0" w:right="0" w:hanging="0"/>
              <w:rPr/>
            </w:pPr>
            <w:r>
              <w:rPr/>
              <w:t>​</w:t>
            </w:r>
          </w:p>
        </w:tc>
        <w:tc>
          <w:tcPr>
            <w:tcW w:w="28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26" w:type="dxa"/>
            <w:tcBorders/>
            <w:shd w:fill="auto" w:val="clear"/>
            <w:vAlign w:val="center"/>
          </w:tcPr>
          <w:p>
            <w:pPr>
              <w:pStyle w:val="TableContents"/>
              <w:spacing w:before="0" w:after="0"/>
              <w:ind w:left="0" w:right="0" w:hanging="0"/>
              <w:rPr/>
            </w:pPr>
            <w:r>
              <w:rPr/>
              <w:t>​</w:t>
            </w:r>
          </w:p>
        </w:tc>
        <w:tc>
          <w:tcPr>
            <w:tcW w:w="33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7,677</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8,643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bookmarkStart w:id="2425" w:name="Tc_chHJBFFmike9LbQPdJR4nw_8_5"/>
      <w:bookmarkStart w:id="2426" w:name="Tc_X_Cy6y8tS0ytIIPFLpNipQ_8_2"/>
      <w:bookmarkStart w:id="2427" w:name="Tc_8G2le_TjlEuN932PwOUTRQ_8_0"/>
      <w:bookmarkStart w:id="2428" w:name="Tc_sOJhfneHuUW2RQhxUZGZHA_7_0"/>
      <w:bookmarkStart w:id="2429" w:name="Tc_ONGo05O0k0GufT1pTupH5w_6_0"/>
      <w:bookmarkStart w:id="2430" w:name="Tc_hd4o42DizUS14OCh7XQChw_5_0"/>
      <w:bookmarkStart w:id="2431" w:name="Tc_cU0s-9aZvkOs58nwdU5h3A_4_5"/>
      <w:bookmarkStart w:id="2432" w:name="Tc_0wZvnYChoESyM07hlKbCUQ_4_2"/>
      <w:bookmarkStart w:id="2433" w:name="Tc_xQ0DbrQQGESDPkeAu5CW2w_4_0"/>
      <w:bookmarkStart w:id="2434" w:name="Tc_Xhf7iav6PUW93ne2C2922w_3_5"/>
      <w:bookmarkStart w:id="2435" w:name="Tc_TYlsOQlXhkeYTcOBD1oqtQ_3_2"/>
      <w:bookmarkStart w:id="2436" w:name="Tc_hWdCuObs-kqA7_oUijc7Zw_2_2"/>
      <w:bookmarkStart w:id="2437" w:name="Tc_hQmnscRVokuN9Co7BeCC0w_1_2"/>
      <w:bookmarkStart w:id="2438" w:name="_a1536b28_b8c4_42b6_aca8_4d7cf8c8bcc3"/>
      <w:bookmarkStart w:id="2439" w:name="Narr_KqJT609jI025V7lRYWrudw"/>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r>
        <w:rPr>
          <w:rFonts w:ascii="Times New Roman;Times;serif" w:hAnsi="Times New Roman;Times;serif"/>
          <w:b/>
          <w:sz w:val="20"/>
        </w:rPr>
        <w:t>NOTE 5 – SERVICING RIGHTS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Loans serviced for others are not included on the Consolidated Balance Sheets. The unpaid principal balance of permanent loans serviced for others was $2.78 billion at both March 31, 2023 and December 31, 2022.</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summarizes mortgage servicing rights (“MSR”) activity at or for the dates indicated:</w:t>
      </w:r>
    </w:p>
    <w:p>
      <w:pPr>
        <w:pStyle w:val="TextBody"/>
        <w:spacing w:before="0" w:after="0"/>
        <w:ind w:left="0" w:right="0" w:hanging="0"/>
        <w:rPr/>
      </w:pPr>
      <w:r>
        <w:rPr/>
        <w:t>​</w:t>
      </w:r>
    </w:p>
    <w:tbl>
      <w:tblPr>
        <w:tblW w:w="7601" w:type="dxa"/>
        <w:jc w:val="left"/>
        <w:tblInd w:w="0" w:type="dxa"/>
        <w:tblCellMar>
          <w:top w:w="0" w:type="dxa"/>
          <w:left w:w="0" w:type="dxa"/>
          <w:bottom w:w="0" w:type="dxa"/>
          <w:right w:w="0" w:type="dxa"/>
        </w:tblCellMar>
      </w:tblPr>
      <w:tblGrid>
        <w:gridCol w:w="4306"/>
        <w:gridCol w:w="326"/>
        <w:gridCol w:w="315"/>
        <w:gridCol w:w="1010"/>
        <w:gridCol w:w="162"/>
        <w:gridCol w:w="315"/>
        <w:gridCol w:w="1167"/>
      </w:tblGrid>
      <w:tr>
        <w:trPr/>
        <w:tc>
          <w:tcPr>
            <w:tcW w:w="4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5" w:type="dxa"/>
            <w:tcBorders/>
            <w:shd w:fill="auto" w:val="clear"/>
            <w:vAlign w:val="center"/>
          </w:tcPr>
          <w:p>
            <w:pPr>
              <w:pStyle w:val="TableContents"/>
              <w:spacing w:before="0" w:after="0"/>
              <w:ind w:left="0" w:right="0" w:hanging="0"/>
              <w:rPr/>
            </w:pPr>
            <w:r>
              <w:rPr/>
              <w:t>​</w:t>
            </w:r>
          </w:p>
        </w:tc>
        <w:tc>
          <w:tcPr>
            <w:tcW w:w="1010" w:type="dxa"/>
            <w:tcBorders/>
            <w:shd w:fill="auto" w:val="clear"/>
            <w:vAlign w:val="center"/>
          </w:tcPr>
          <w:p>
            <w:pPr>
              <w:pStyle w:val="TableContents"/>
              <w:spacing w:before="0" w:after="0"/>
              <w:ind w:left="0" w:right="0" w:hanging="0"/>
              <w:rPr/>
            </w:pPr>
            <w:r>
              <w:rPr/>
              <w:t>​</w:t>
            </w:r>
          </w:p>
        </w:tc>
        <w:tc>
          <w:tcPr>
            <w:tcW w:w="162" w:type="dxa"/>
            <w:tcBorders/>
            <w:shd w:fill="auto" w:val="clear"/>
            <w:vAlign w:val="center"/>
          </w:tcPr>
          <w:p>
            <w:pPr>
              <w:pStyle w:val="TableContents"/>
              <w:spacing w:before="0" w:after="0"/>
              <w:ind w:left="0" w:right="0" w:hanging="0"/>
              <w:rPr/>
            </w:pPr>
            <w:r>
              <w:rPr/>
              <w:t>​</w:t>
            </w:r>
          </w:p>
        </w:tc>
        <w:tc>
          <w:tcPr>
            <w:tcW w:w="315" w:type="dxa"/>
            <w:tcBorders/>
            <w:shd w:fill="auto" w:val="clear"/>
            <w:vAlign w:val="center"/>
          </w:tcPr>
          <w:p>
            <w:pPr>
              <w:pStyle w:val="TableContents"/>
              <w:spacing w:before="0" w:after="0"/>
              <w:ind w:left="0" w:right="0" w:hanging="0"/>
              <w:rPr/>
            </w:pPr>
            <w:r>
              <w:rPr/>
              <w:t>​</w:t>
            </w:r>
          </w:p>
        </w:tc>
        <w:tc>
          <w:tcPr>
            <w:tcW w:w="1167" w:type="dxa"/>
            <w:tcBorders/>
            <w:shd w:fill="auto" w:val="clear"/>
            <w:vAlign w:val="center"/>
          </w:tcPr>
          <w:p>
            <w:pPr>
              <w:pStyle w:val="TableContents"/>
              <w:spacing w:before="0" w:after="0"/>
              <w:ind w:left="0" w:right="0" w:hanging="0"/>
              <w:rPr/>
            </w:pPr>
            <w:r>
              <w:rPr/>
              <w:t>​</w:t>
            </w:r>
          </w:p>
        </w:tc>
      </w:tr>
      <w:tr>
        <w:trPr/>
        <w:tc>
          <w:tcPr>
            <w:tcW w:w="4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69"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At or For the Three Months Ended </w:t>
            </w:r>
          </w:p>
        </w:tc>
      </w:tr>
      <w:tr>
        <w:trPr/>
        <w:tc>
          <w:tcPr>
            <w:tcW w:w="4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6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4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62" w:type="dxa"/>
            <w:tcBorders/>
            <w:shd w:fill="auto" w:val="clear"/>
            <w:vAlign w:val="center"/>
          </w:tcPr>
          <w:p>
            <w:pPr>
              <w:pStyle w:val="TableContents"/>
              <w:spacing w:before="0" w:after="0"/>
              <w:ind w:left="0" w:right="0" w:hanging="0"/>
              <w:jc w:val="center"/>
              <w:rPr/>
            </w:pPr>
            <w:r>
              <w:rPr/>
              <w:t>​</w:t>
            </w:r>
          </w:p>
        </w:tc>
        <w:tc>
          <w:tcPr>
            <w:tcW w:w="14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Beginning balance, at the lower of cost or fair value</w:t>
            </w:r>
          </w:p>
        </w:tc>
        <w:tc>
          <w:tcPr>
            <w:tcW w:w="326" w:type="dxa"/>
            <w:tcBorders/>
            <w:shd w:fill="CCEEFF" w:val="clear"/>
            <w:vAlign w:val="center"/>
          </w:tcPr>
          <w:p>
            <w:pPr>
              <w:pStyle w:val="TableContents"/>
              <w:spacing w:before="0" w:after="0"/>
              <w:ind w:left="0" w:right="0" w:hanging="0"/>
              <w:rPr/>
            </w:pPr>
            <w:r>
              <w:rPr/>
              <w:t>​</w:t>
            </w:r>
          </w:p>
        </w:tc>
        <w:tc>
          <w:tcPr>
            <w:tcW w:w="3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18,017</w:t>
            </w:r>
          </w:p>
        </w:tc>
        <w:tc>
          <w:tcPr>
            <w:tcW w:w="162" w:type="dxa"/>
            <w:tcBorders/>
            <w:shd w:fill="CCEEFF" w:val="clear"/>
            <w:vAlign w:val="center"/>
          </w:tcPr>
          <w:p>
            <w:pPr>
              <w:pStyle w:val="TableContents"/>
              <w:spacing w:before="0" w:after="0"/>
              <w:ind w:left="0" w:right="0" w:hanging="0"/>
              <w:jc w:val="right"/>
              <w:rPr/>
            </w:pPr>
            <w:r>
              <w:rPr/>
              <w:t>​</w:t>
            </w:r>
          </w:p>
        </w:tc>
        <w:tc>
          <w:tcPr>
            <w:tcW w:w="3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16,970</w:t>
            </w:r>
          </w:p>
        </w:tc>
      </w:tr>
      <w:tr>
        <w:trPr/>
        <w:tc>
          <w:tcPr>
            <w:tcW w:w="4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auto" w:val="clear"/>
            <w:vAlign w:val="center"/>
          </w:tcPr>
          <w:p>
            <w:pPr>
              <w:pStyle w:val="TableContents"/>
              <w:spacing w:before="0" w:after="0"/>
              <w:ind w:left="0" w:right="0" w:hanging="0"/>
              <w:rPr/>
            </w:pPr>
            <w:r>
              <w:rPr/>
              <w:t>​</w:t>
            </w:r>
          </w:p>
        </w:tc>
        <w:tc>
          <w:tcPr>
            <w:tcW w:w="315" w:type="dxa"/>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162" w:type="dxa"/>
            <w:tcBorders/>
            <w:shd w:fill="auto" w:val="clear"/>
            <w:vAlign w:val="center"/>
          </w:tcPr>
          <w:p>
            <w:pPr>
              <w:pStyle w:val="TableContents"/>
              <w:spacing w:before="0" w:after="0"/>
              <w:ind w:left="0" w:right="0" w:hanging="0"/>
              <w:jc w:val="right"/>
              <w:rPr/>
            </w:pPr>
            <w:r>
              <w:rPr/>
              <w:t>​</w:t>
            </w:r>
          </w:p>
        </w:tc>
        <w:tc>
          <w:tcPr>
            <w:tcW w:w="315" w:type="dxa"/>
            <w:tcBorders/>
            <w:shd w:fill="auto" w:val="clear"/>
            <w:vAlign w:val="center"/>
          </w:tcPr>
          <w:p>
            <w:pPr>
              <w:pStyle w:val="TableContents"/>
              <w:spacing w:before="0" w:after="0"/>
              <w:ind w:left="0" w:right="0" w:hanging="0"/>
              <w:rPr/>
            </w:pPr>
            <w:r>
              <w:rPr/>
              <w:t> </w:t>
            </w:r>
          </w:p>
        </w:tc>
        <w:tc>
          <w:tcPr>
            <w:tcW w:w="11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4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MSR amortized</w:t>
            </w:r>
          </w:p>
        </w:tc>
        <w:tc>
          <w:tcPr>
            <w:tcW w:w="326" w:type="dxa"/>
            <w:tcBorders/>
            <w:shd w:fill="CCEEFF" w:val="clear"/>
            <w:vAlign w:val="center"/>
          </w:tcPr>
          <w:p>
            <w:pPr>
              <w:pStyle w:val="TableContents"/>
              <w:spacing w:before="0" w:after="0"/>
              <w:ind w:left="0" w:right="0" w:hanging="0"/>
              <w:rPr/>
            </w:pPr>
            <w:r>
              <w:rPr/>
              <w:t>​</w:t>
            </w:r>
          </w:p>
        </w:tc>
        <w:tc>
          <w:tcPr>
            <w:tcW w:w="315"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162" w:type="dxa"/>
            <w:tcBorders/>
            <w:shd w:fill="CCEEFF" w:val="clear"/>
            <w:vAlign w:val="center"/>
          </w:tcPr>
          <w:p>
            <w:pPr>
              <w:pStyle w:val="TableContents"/>
              <w:spacing w:before="0" w:after="0"/>
              <w:ind w:left="0" w:right="0" w:hanging="0"/>
              <w:jc w:val="right"/>
              <w:rPr/>
            </w:pPr>
            <w:r>
              <w:rPr/>
              <w:t>​</w:t>
            </w:r>
          </w:p>
        </w:tc>
        <w:tc>
          <w:tcPr>
            <w:tcW w:w="315" w:type="dxa"/>
            <w:tcBorders/>
            <w:shd w:fill="CCEEFF" w:val="clear"/>
            <w:vAlign w:val="center"/>
          </w:tcPr>
          <w:p>
            <w:pPr>
              <w:pStyle w:val="TableContents"/>
              <w:spacing w:before="0" w:after="0"/>
              <w:ind w:left="0" w:right="0" w:hanging="0"/>
              <w:rPr/>
            </w:pPr>
            <w:r>
              <w:rPr/>
              <w:t> </w:t>
            </w:r>
          </w:p>
        </w:tc>
        <w:tc>
          <w:tcPr>
            <w:tcW w:w="11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r>
      <w:tr>
        <w:trPr/>
        <w:tc>
          <w:tcPr>
            <w:tcW w:w="4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recovery of servicing rights</w:t>
            </w:r>
          </w:p>
        </w:tc>
        <w:tc>
          <w:tcPr>
            <w:tcW w:w="326" w:type="dxa"/>
            <w:tcBorders/>
            <w:shd w:fill="auto" w:val="clear"/>
            <w:vAlign w:val="center"/>
          </w:tcPr>
          <w:p>
            <w:pPr>
              <w:pStyle w:val="TableContents"/>
              <w:spacing w:before="0" w:after="0"/>
              <w:ind w:left="0" w:right="0" w:hanging="0"/>
              <w:rPr/>
            </w:pPr>
            <w:r>
              <w:rPr/>
              <w:t>​</w:t>
            </w:r>
          </w:p>
        </w:tc>
        <w:tc>
          <w:tcPr>
            <w:tcW w:w="3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62" w:type="dxa"/>
            <w:tcBorders/>
            <w:shd w:fill="auto" w:val="clear"/>
            <w:vAlign w:val="center"/>
          </w:tcPr>
          <w:p>
            <w:pPr>
              <w:pStyle w:val="TableContents"/>
              <w:spacing w:before="0" w:after="0"/>
              <w:ind w:left="0" w:right="0" w:hanging="0"/>
              <w:jc w:val="right"/>
              <w:rPr/>
            </w:pPr>
            <w:r>
              <w:rPr/>
              <w:t>​</w:t>
            </w:r>
          </w:p>
        </w:tc>
        <w:tc>
          <w:tcPr>
            <w:tcW w:w="3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6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Ending balance, at the lower of cost or fair value</w:t>
            </w:r>
          </w:p>
        </w:tc>
        <w:tc>
          <w:tcPr>
            <w:tcW w:w="326" w:type="dxa"/>
            <w:tcBorders/>
            <w:shd w:fill="CCEEFF" w:val="clear"/>
            <w:vAlign w:val="center"/>
          </w:tcPr>
          <w:p>
            <w:pPr>
              <w:pStyle w:val="TableContents"/>
              <w:spacing w:before="0" w:after="0"/>
              <w:ind w:left="0" w:right="0" w:hanging="0"/>
              <w:rPr/>
            </w:pPr>
            <w:r>
              <w:rPr/>
              <w:t>​</w:t>
            </w:r>
          </w:p>
        </w:tc>
        <w:tc>
          <w:tcPr>
            <w:tcW w:w="3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17,599</w:t>
            </w:r>
          </w:p>
        </w:tc>
        <w:tc>
          <w:tcPr>
            <w:tcW w:w="162" w:type="dxa"/>
            <w:tcBorders/>
            <w:shd w:fill="CCEEFF" w:val="clear"/>
            <w:vAlign w:val="center"/>
          </w:tcPr>
          <w:p>
            <w:pPr>
              <w:pStyle w:val="TableContents"/>
              <w:spacing w:before="0" w:after="0"/>
              <w:ind w:left="0" w:right="0" w:hanging="0"/>
              <w:jc w:val="right"/>
              <w:rPr/>
            </w:pPr>
            <w:r>
              <w:rPr/>
              <w:t>​</w:t>
            </w:r>
          </w:p>
        </w:tc>
        <w:tc>
          <w:tcPr>
            <w:tcW w:w="3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18,041</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fair value of the servicing rights’ assets was $35.3 million and $35.5 million at March 31, 2023 and December 31, 2022, respectively. Fair value adjustments to servicing rights are mainly due to market-based assumptions associated with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2440" w:name="Tc_xfKGr3ftLkGZUwHLFr5wOQ_21_10"/>
      <w:bookmarkStart w:id="2441" w:name="Tc_uyR3I0cyDESyuojY7pT7tA_21_7"/>
      <w:bookmarkStart w:id="2442" w:name="Tc_6qhNWZbMVkmgzOYmL1n-lA_21_4"/>
      <w:bookmarkStart w:id="2443" w:name="Tc_rkDVJilBNESW3qYSBYu_VQ_21_0"/>
      <w:bookmarkStart w:id="2444" w:name="Tc_O7rORRoOS0m7QwEBsyn9aA_20_8"/>
      <w:bookmarkStart w:id="2445" w:name="Tc_9boO8vZPBkuB1tUrufQa2g_20_5"/>
      <w:bookmarkStart w:id="2446" w:name="Tc__k43qtRenk2sd4MZee2x1Q_20_2"/>
      <w:bookmarkStart w:id="2447" w:name="Tc_WVOESTQpu0WimY7orvyC-Q_20_0"/>
      <w:bookmarkStart w:id="2448" w:name="Tc_opIoMNoUekuB4ZZfjptF9w_19_10"/>
      <w:bookmarkStart w:id="2449" w:name="Tc_aOUlCqOj0keckCgvxVU6Wg_19_7"/>
      <w:bookmarkStart w:id="2450" w:name="Tc_8_T9k9TejE6dNLnM46jOjQ_19_4"/>
      <w:bookmarkStart w:id="2451" w:name="Tc_2uOCxueTGkKAS7tOhY5mWg_19_0"/>
      <w:bookmarkStart w:id="2452" w:name="Tc_DFKiEv3GzECxD1RhJjouJg_17_10"/>
      <w:bookmarkStart w:id="2453" w:name="Tc_NeBbbUpTWk2MKTnJFdDOxw_17_7"/>
      <w:bookmarkStart w:id="2454" w:name="Tc_qD0EBFYaaU6IdxGxNqQcgQ_17_4"/>
      <w:bookmarkStart w:id="2455" w:name="Tc_RFJh2GbKy0e_G-nVjB8s5A_17_0"/>
      <w:bookmarkStart w:id="2456" w:name="Tc_GNADvau1ykiRb8A4uRHNrg_16_8"/>
      <w:bookmarkStart w:id="2457" w:name="Tc_jUdfINkN-UyrzRdRAcKsLQ_16_5"/>
      <w:bookmarkStart w:id="2458" w:name="Tc_Pr7NU-6qw0KE-tXx8IpNBw_16_2"/>
      <w:bookmarkStart w:id="2459" w:name="Tc_cQHqTsol7k6N6qWLpJxy4g_16_0"/>
      <w:bookmarkStart w:id="2460" w:name="Tc_PJ66ExA970OytSb0-XouaA_15_10"/>
      <w:bookmarkStart w:id="2461" w:name="Tc_j6zUbxhQyUyo2SWUnizQAg_15_7"/>
      <w:bookmarkStart w:id="2462" w:name="Tc_zXErHneSNU-EkBzL-v-fbw_15_4"/>
      <w:bookmarkStart w:id="2463" w:name="Tc_1xD6b6U_2Uqy73vUX6NtWQ_15_0"/>
      <w:bookmarkStart w:id="2464" w:name="Tc_TcMvIRG2JEOHR0DEvK0HQg_14_8"/>
      <w:bookmarkStart w:id="2465" w:name="Tc_mvLMUFKoyUWDaYl_DpIv1Q_14_5"/>
      <w:bookmarkStart w:id="2466" w:name="Tc_71XzR1tDaUq0vVG-l4cR4Q_14_2"/>
      <w:bookmarkStart w:id="2467" w:name="Tc_ssz3mrOTY0m9n-XX1uqcaA_14_0"/>
      <w:bookmarkStart w:id="2468" w:name="Tc_pA_AZDiTvEqtljYTjkLtAQ_12_10"/>
      <w:bookmarkStart w:id="2469" w:name="Tc_vu_bxDWKzECbSnk8Q2gBng_12_7"/>
      <w:bookmarkStart w:id="2470" w:name="Tc_u-nVriWhrUeWB4NqGzmIKg_12_4"/>
      <w:bookmarkStart w:id="2471" w:name="Tc_KwoQW_h1ZEmW99U-5-b6pA_12_0"/>
      <w:bookmarkStart w:id="2472" w:name="Tc_XGD6TyUjUkuXyq7EKVq-KQ_11_8"/>
      <w:bookmarkStart w:id="2473" w:name="Tc_nPsTQa-ljUOiJbHXFDFgUg_11_5"/>
      <w:bookmarkStart w:id="2474" w:name="Tc_ojwwxRqf5EeYHq_hPXMfxw_11_2"/>
      <w:bookmarkStart w:id="2475" w:name="Tc_qoyV7FLzUkie3-kw4xYNnw_11_0"/>
      <w:bookmarkStart w:id="2476" w:name="Tc_FLMMtxsamU6Ow-B2JvA26A_10_10"/>
      <w:bookmarkStart w:id="2477" w:name="Tc_z9C63kvTlEaUCqZQpliYHg_10_7"/>
      <w:bookmarkStart w:id="2478" w:name="Tc_KXSi6HokcECF00cvj0ynvw_10_4"/>
      <w:bookmarkStart w:id="2479" w:name="Tc_3a16RLYhqUONFnBPcdCpMQ_10_0"/>
      <w:bookmarkStart w:id="2480" w:name="Tc_MlIRewHJOkmk-v4EmmlC3A_8_10"/>
      <w:bookmarkStart w:id="2481" w:name="Tc_EoNAzx0lVUC1jbt7vOQKDQ_8_7"/>
      <w:bookmarkStart w:id="2482" w:name="Tc_jjZe4czCC0Syyvoa5c3UBw_8_4"/>
      <w:bookmarkStart w:id="2483" w:name="Tc_C_RgKoFfvECIWuahVU1JlQ_8_0"/>
      <w:bookmarkStart w:id="2484" w:name="Tc_f6_cLxf6rEOWZRrj4o0FMQ_7_8"/>
      <w:bookmarkStart w:id="2485" w:name="Tc_IX5yZiLYa0WLXoYLUrzIQQ_7_5"/>
      <w:bookmarkStart w:id="2486" w:name="Tc_ffd-waH_kUebL8B1DcRLYQ_7_2"/>
      <w:bookmarkStart w:id="2487" w:name="Tc_EMeK7m5-w06wSCBzykvNMQ_7_0"/>
      <w:bookmarkStart w:id="2488" w:name="Tc_KJmdvNO_NUuFt55SojgN2w_6_10"/>
      <w:bookmarkStart w:id="2489" w:name="Tc_aNpqTJY8NkK9AZOWZKnbKg_6_7"/>
      <w:bookmarkStart w:id="2490" w:name="Tc__YY9AlGl8Uy0LaICAt09Mg_6_4"/>
      <w:bookmarkStart w:id="2491" w:name="Tc_N-DIq7D2OEuiXD-ilbavUA_6_0"/>
      <w:bookmarkStart w:id="2492" w:name="Tc_ko1Cvj5Wn0SiDUC1Fj5azA_5_8"/>
      <w:bookmarkStart w:id="2493" w:name="Tc_xPgb5Uw8F0CxaF0i1g9iZQ_5_5"/>
      <w:bookmarkStart w:id="2494" w:name="Tc_0v_L7gKKCkKY-bhNDL96HA_5_2"/>
      <w:bookmarkStart w:id="2495" w:name="Tc_SiRyJmQymUKsMQ1eoiMoRg_5_0"/>
      <w:bookmarkStart w:id="2496" w:name="Tc_3xhiaCxJZEmXyQx0O18ljw_3_10"/>
      <w:bookmarkStart w:id="2497" w:name="Tc_fzbonmJu7kicRWml8bcYOg_3_7"/>
      <w:bookmarkStart w:id="2498" w:name="Tc_rGl3KSWJOEiVwUZyR0H2hQ_3_0"/>
      <w:bookmarkStart w:id="2499" w:name="Tc_RYyvqRQ9pke1lo1-5vsOrw_2_8"/>
      <w:bookmarkStart w:id="2500" w:name="Tc_JCK6v2rcA0ukW0O5lCRG1w_2_5"/>
      <w:bookmarkStart w:id="2501" w:name="Tc_0AQernTsvEuBGVe_rU1cwg_2_0"/>
      <w:bookmarkStart w:id="2502" w:name="Tc_N2v0yiXG8E61jFfVkN22jg_1_8"/>
      <w:bookmarkStart w:id="2503" w:name="Tc_N_q0v1jaKUKqYwwt_mXesQ_1_5"/>
      <w:bookmarkStart w:id="2504" w:name="Tc_1gGDAZ0NnkWf5gwJURrhMg_5_0"/>
      <w:bookmarkStart w:id="2505" w:name="Tc_KkEcGSvxzUSzwOjbmd7jtg_4_5"/>
      <w:bookmarkStart w:id="2506" w:name="Tc_j1DJKzoajU-2ExR0_cfbKQ_4_3"/>
      <w:bookmarkStart w:id="2507" w:name="Tc_SiKprW3zfUqQaDm68c3gSA_4_0"/>
      <w:bookmarkStart w:id="2508" w:name="Tc_T24LvIEXl0WVLDPs4UetfA_3_5"/>
      <w:bookmarkStart w:id="2509" w:name="Tc_KWM6wukJLkel3GmfkoKAqQ_3_3"/>
      <w:bookmarkStart w:id="2510" w:name="Tc_v9vpbEm91EK3xohvmC61YA_3_0"/>
      <w:bookmarkStart w:id="2511" w:name="Tc_ilfDxcikSUGMsvX8Y_GPWA_2_4"/>
      <w:bookmarkStart w:id="2512" w:name="Tc_WCmVEAhrx0uddirALbio5w_2_2"/>
      <w:bookmarkStart w:id="2513" w:name="Tc_nDh_S3mVw0Svcbahalh2Lw_2_0"/>
      <w:bookmarkStart w:id="2514" w:name="Tc_Icb8jdeJh0u5PdWetvJ4KA_1_4"/>
      <w:bookmarkStart w:id="2515" w:name="Tc_qYFurV5pnkqHMvA-4TKz-g_1_2"/>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r>
        <w:rPr>
          <w:rFonts w:ascii="Times New Roman;Times;serif" w:hAnsi="Times New Roman;Times;serif"/>
          <w:sz w:val="20"/>
        </w:rPr>
        <w:t>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provides valuation assumptions used in determining the fair value of MSR at the dates indicated:</w:t>
      </w:r>
    </w:p>
    <w:p>
      <w:pPr>
        <w:pStyle w:val="TextBody"/>
        <w:spacing w:before="0" w:after="0"/>
        <w:ind w:left="0" w:right="0" w:hanging="0"/>
        <w:rPr/>
      </w:pPr>
      <w:r>
        <w:rPr/>
        <w:t>​</w:t>
      </w:r>
    </w:p>
    <w:tbl>
      <w:tblPr>
        <w:tblW w:w="6901" w:type="dxa"/>
        <w:jc w:val="left"/>
        <w:tblInd w:w="0" w:type="dxa"/>
        <w:tblCellMar>
          <w:top w:w="0" w:type="dxa"/>
          <w:left w:w="0" w:type="dxa"/>
          <w:bottom w:w="0" w:type="dxa"/>
          <w:right w:w="0" w:type="dxa"/>
        </w:tblCellMar>
      </w:tblPr>
      <w:tblGrid>
        <w:gridCol w:w="3181"/>
        <w:gridCol w:w="326"/>
        <w:gridCol w:w="1216"/>
        <w:gridCol w:w="361"/>
        <w:gridCol w:w="1501"/>
        <w:gridCol w:w="316"/>
      </w:tblGrid>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At March 31, </w:t>
            </w:r>
          </w:p>
        </w:tc>
        <w:tc>
          <w:tcPr>
            <w:tcW w:w="361" w:type="dxa"/>
            <w:tcBorders/>
            <w:shd w:fill="auto" w:val="clear"/>
            <w:vAlign w:val="center"/>
          </w:tcPr>
          <w:p>
            <w:pPr>
              <w:pStyle w:val="TableContents"/>
              <w:spacing w:before="0" w:after="0"/>
              <w:ind w:left="0" w:right="0" w:hanging="0"/>
              <w:rPr/>
            </w:pPr>
            <w:r>
              <w:rPr/>
              <w:t>​</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At December 31, </w:t>
            </w:r>
          </w:p>
        </w:tc>
        <w:tc>
          <w:tcPr>
            <w:tcW w:w="316" w:type="dxa"/>
            <w:tcBorders/>
            <w:shd w:fill="auto" w:val="clear"/>
            <w:vAlign w:val="center"/>
          </w:tcPr>
          <w:p>
            <w:pPr>
              <w:pStyle w:val="TableContents"/>
              <w:spacing w:before="0" w:after="0"/>
              <w:ind w:left="0" w:right="0" w:hanging="0"/>
              <w:rPr/>
            </w:pPr>
            <w:r>
              <w:rPr/>
              <w:t> </w:t>
            </w:r>
          </w:p>
        </w:tc>
      </w:tr>
      <w:tr>
        <w:trPr/>
        <w:tc>
          <w:tcPr>
            <w:tcW w:w="3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Key assumptions:</w:t>
            </w:r>
          </w:p>
        </w:tc>
        <w:tc>
          <w:tcPr>
            <w:tcW w:w="326" w:type="dxa"/>
            <w:tcBorders/>
            <w:shd w:fill="auto" w:val="clear"/>
            <w:vAlign w:val="center"/>
          </w:tcPr>
          <w:p>
            <w:pPr>
              <w:pStyle w:val="TableContents"/>
              <w:spacing w:before="0" w:after="0"/>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shd w:fill="auto" w:val="clear"/>
            <w:vAlign w:val="center"/>
          </w:tcPr>
          <w:p>
            <w:pPr>
              <w:pStyle w:val="TableContents"/>
              <w:spacing w:before="0" w:after="0"/>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16" w:type="dxa"/>
            <w:tcBorders/>
            <w:shd w:fill="auto" w:val="clear"/>
            <w:vAlign w:val="center"/>
          </w:tcPr>
          <w:p>
            <w:pPr>
              <w:pStyle w:val="TableContents"/>
              <w:spacing w:before="0" w:after="0"/>
              <w:ind w:left="0" w:right="0" w:hanging="0"/>
              <w:rPr/>
            </w:pPr>
            <w:r>
              <w:rPr/>
              <w:t>​</w:t>
            </w:r>
          </w:p>
        </w:tc>
      </w:tr>
      <w:tr>
        <w:trPr/>
        <w:tc>
          <w:tcPr>
            <w:tcW w:w="3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Conditional prepayment rate (“CPR”)</w:t>
            </w:r>
          </w:p>
        </w:tc>
        <w:tc>
          <w:tcPr>
            <w:tcW w:w="326"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life in years</w:t>
            </w:r>
          </w:p>
        </w:tc>
        <w:tc>
          <w:tcPr>
            <w:tcW w:w="326" w:type="dxa"/>
            <w:tcBorders/>
            <w:shd w:fill="CCEEFF" w:val="clear"/>
            <w:vAlign w:val="center"/>
          </w:tcPr>
          <w:p>
            <w:pPr>
              <w:pStyle w:val="TableContents"/>
              <w:spacing w:before="0" w:after="0"/>
              <w:ind w:left="0" w:right="0" w:hanging="0"/>
              <w:rPr/>
            </w:pPr>
            <w:r>
              <w:rPr/>
              <w:t> </w:t>
            </w:r>
          </w:p>
        </w:tc>
        <w:tc>
          <w:tcPr>
            <w:tcW w:w="12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61"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Key economic assumptions of the current fair value for single family MSR are presented in the table below.  Also presented is the sensitivity to market rate changes for the par rate coupon for a conventional one-to-four-family FNMA, FHLMC, GNMA, or FHLB serviced home loan.  The table below references a 50 basis point and 100 basis point adverse rate change and the impact on prepayment speeds and discount rates at the dates indicated:</w:t>
      </w:r>
    </w:p>
    <w:p>
      <w:pPr>
        <w:pStyle w:val="TextBody"/>
        <w:spacing w:before="0" w:after="0"/>
        <w:ind w:left="0" w:right="0" w:hanging="0"/>
        <w:rPr/>
      </w:pPr>
      <w:r>
        <w:rPr/>
        <w:t>​</w:t>
      </w:r>
    </w:p>
    <w:tbl>
      <w:tblPr>
        <w:tblW w:w="9947" w:type="dxa"/>
        <w:jc w:val="left"/>
        <w:tblInd w:w="0" w:type="dxa"/>
        <w:tblCellMar>
          <w:top w:w="0" w:type="dxa"/>
          <w:left w:w="0" w:type="dxa"/>
          <w:bottom w:w="0" w:type="dxa"/>
          <w:right w:w="0" w:type="dxa"/>
        </w:tblCellMar>
      </w:tblPr>
      <w:tblGrid>
        <w:gridCol w:w="3226"/>
        <w:gridCol w:w="146"/>
        <w:gridCol w:w="211"/>
        <w:gridCol w:w="676"/>
        <w:gridCol w:w="361"/>
        <w:gridCol w:w="428"/>
        <w:gridCol w:w="1897"/>
        <w:gridCol w:w="361"/>
        <w:gridCol w:w="429"/>
        <w:gridCol w:w="1896"/>
        <w:gridCol w:w="316"/>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48510" cy="175260"/>
                      <wp:effectExtent l="0" t="0" r="0" b="0"/>
                      <wp:wrapNone/>
                      <wp:docPr id="482" name="Frame482"/>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92710" cy="175260"/>
                      <wp:effectExtent l="0" t="0" r="0" b="0"/>
                      <wp:wrapNone/>
                      <wp:docPr id="483" name="Frame48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29260" cy="175260"/>
                      <wp:effectExtent l="0" t="0" r="0" b="0"/>
                      <wp:wrapNone/>
                      <wp:docPr id="485" name="Frame4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29235" cy="175260"/>
                      <wp:effectExtent l="0" t="0" r="0" b="0"/>
                      <wp:wrapNone/>
                      <wp:docPr id="486" name="Frame48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71780" cy="175260"/>
                      <wp:effectExtent l="0" t="0" r="0" b="0"/>
                      <wp:wrapNone/>
                      <wp:docPr id="487" name="Frame487"/>
                      <a:graphic xmlns:a="http://schemas.openxmlformats.org/drawingml/2006/main">
                        <a:graphicData uri="http://schemas.microsoft.com/office/word/2010/wordprocessingShape">
                          <wps:wsp>
                            <wps:cNvSpPr txBox="1"/>
                            <wps:spPr>
                              <a:xfrm>
                                <a:off x="0" y="0"/>
                                <a:ext cx="271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204595" cy="175260"/>
                      <wp:effectExtent l="0" t="0" r="0" b="0"/>
                      <wp:wrapNone/>
                      <wp:docPr id="488" name="Frame488"/>
                      <a:graphic xmlns:a="http://schemas.openxmlformats.org/drawingml/2006/main">
                        <a:graphicData uri="http://schemas.microsoft.com/office/word/2010/wordprocessingShape">
                          <wps:wsp>
                            <wps:cNvSpPr txBox="1"/>
                            <wps:spPr>
                              <a:xfrm>
                                <a:off x="0" y="0"/>
                                <a:ext cx="1204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29235" cy="175260"/>
                      <wp:effectExtent l="0" t="0" r="0" b="0"/>
                      <wp:wrapNone/>
                      <wp:docPr id="489" name="Frame48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72415" cy="175260"/>
                      <wp:effectExtent l="0" t="0" r="0" b="0"/>
                      <wp:wrapNone/>
                      <wp:docPr id="490" name="Frame490"/>
                      <a:graphic xmlns:a="http://schemas.openxmlformats.org/drawingml/2006/main">
                        <a:graphicData uri="http://schemas.microsoft.com/office/word/2010/wordprocessingShape">
                          <wps:wsp>
                            <wps:cNvSpPr txBox="1"/>
                            <wps:spPr>
                              <a:xfrm>
                                <a:off x="0" y="0"/>
                                <a:ext cx="272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203960" cy="175260"/>
                      <wp:effectExtent l="0" t="0" r="0" b="0"/>
                      <wp:wrapNone/>
                      <wp:docPr id="491" name="Frame491"/>
                      <a:graphic xmlns:a="http://schemas.openxmlformats.org/drawingml/2006/main">
                        <a:graphicData uri="http://schemas.microsoft.com/office/word/2010/wordprocessingShape">
                          <wps:wsp>
                            <wps:cNvSpPr txBox="1"/>
                            <wps:spPr>
                              <a:xfrm>
                                <a:off x="0" y="0"/>
                                <a:ext cx="1203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0660" cy="175260"/>
                      <wp:effectExtent l="0" t="0" r="0" b="0"/>
                      <wp:wrapNone/>
                      <wp:docPr id="492" name="Frame49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w:t>
            </w:r>
          </w:p>
        </w:tc>
        <w:tc>
          <w:tcPr>
            <w:tcW w:w="23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c>
          <w:tcPr>
            <w:tcW w:w="361" w:type="dxa"/>
            <w:tcBorders/>
            <w:shd w:fill="auto" w:val="clear"/>
            <w:vAlign w:val="center"/>
          </w:tcPr>
          <w:p>
            <w:pPr>
              <w:pStyle w:val="TableContents"/>
              <w:spacing w:before="0" w:after="0"/>
              <w:ind w:left="0" w:right="0" w:hanging="0"/>
              <w:rPr/>
            </w:pPr>
            <w:r>
              <w:rPr/>
              <w:t>​</w:t>
            </w:r>
          </w:p>
        </w:tc>
        <w:tc>
          <w:tcPr>
            <w:tcW w:w="23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Aggregate portfolio principal balance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4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2,780,262</w:t>
            </w:r>
          </w:p>
        </w:tc>
        <w:tc>
          <w:tcPr>
            <w:tcW w:w="361" w:type="dxa"/>
            <w:tcBorders/>
            <w:shd w:fill="CCEEFF" w:val="clear"/>
            <w:vAlign w:val="center"/>
          </w:tcPr>
          <w:p>
            <w:pPr>
              <w:pStyle w:val="TableContents"/>
              <w:spacing w:before="0" w:after="0"/>
              <w:ind w:left="0" w:right="0" w:hanging="0"/>
              <w:rPr/>
            </w:pPr>
            <w:r>
              <w:rPr/>
              <w:t> </w:t>
            </w:r>
          </w:p>
        </w:tc>
        <w:tc>
          <w:tcPr>
            <w:tcW w:w="42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2,783,458</w:t>
            </w:r>
          </w:p>
        </w:tc>
        <w:tc>
          <w:tcPr>
            <w:tcW w:w="316" w:type="dxa"/>
            <w:tcBorders/>
            <w:shd w:fill="CCEEFF" w:val="clear"/>
            <w:vAlign w:val="center"/>
          </w:tcPr>
          <w:p>
            <w:pPr>
              <w:pStyle w:val="TableContents"/>
              <w:spacing w:before="0" w:after="0"/>
              <w:ind w:left="0" w:right="0" w:hanging="0"/>
              <w:rPr/>
            </w:pPr>
            <w:r>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rate of note</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 </w:t>
            </w:r>
          </w:p>
        </w:tc>
        <w:tc>
          <w:tcPr>
            <w:tcW w:w="428" w:type="dxa"/>
            <w:tcBorders/>
            <w:shd w:fill="auto" w:val="clear"/>
            <w:vAlign w:val="center"/>
          </w:tcPr>
          <w:p>
            <w:pPr>
              <w:pStyle w:val="TableContents"/>
              <w:spacing w:before="0" w:after="0"/>
              <w:ind w:left="0" w:right="0" w:hanging="0"/>
              <w:rPr/>
            </w:pPr>
            <w:r>
              <w:rPr/>
              <w:t>​</w:t>
            </w:r>
          </w:p>
        </w:tc>
        <w:tc>
          <w:tcPr>
            <w:tcW w:w="18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9" w:type="dxa"/>
            <w:tcBorders/>
            <w:shd w:fill="auto" w:val="clear"/>
            <w:vAlign w:val="center"/>
          </w:tcPr>
          <w:p>
            <w:pPr>
              <w:pStyle w:val="TableContents"/>
              <w:spacing w:before="0" w:after="0"/>
              <w:ind w:left="0" w:right="0" w:hanging="0"/>
              <w:rPr/>
            </w:pPr>
            <w:r>
              <w:rPr/>
              <w:t>​</w:t>
            </w:r>
          </w:p>
        </w:tc>
        <w:tc>
          <w:tcPr>
            <w:tcW w:w="18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428" w:type="dxa"/>
            <w:tcBorders/>
            <w:shd w:fill="auto" w:val="clear"/>
            <w:vAlign w:val="center"/>
          </w:tcPr>
          <w:p>
            <w:pPr>
              <w:pStyle w:val="TableContents"/>
              <w:spacing w:before="0" w:after="0"/>
              <w:ind w:left="0" w:right="0" w:hanging="0"/>
              <w:rPr/>
            </w:pPr>
            <w:r>
              <w:rPr/>
              <w:t>​</w:t>
            </w:r>
          </w:p>
        </w:tc>
        <w:tc>
          <w:tcPr>
            <w:tcW w:w="1897"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pPr>
            <w:r>
              <w:rPr/>
              <w:t>​</w:t>
            </w:r>
          </w:p>
        </w:tc>
        <w:tc>
          <w:tcPr>
            <w:tcW w:w="189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At March 31, 2023</w:t>
            </w:r>
          </w:p>
        </w:tc>
        <w:tc>
          <w:tcPr>
            <w:tcW w:w="14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Base</w:t>
            </w:r>
          </w:p>
        </w:tc>
        <w:tc>
          <w:tcPr>
            <w:tcW w:w="361" w:type="dxa"/>
            <w:tcBorders/>
            <w:shd w:fill="auto" w:val="clear"/>
            <w:vAlign w:val="center"/>
          </w:tcPr>
          <w:p>
            <w:pPr>
              <w:pStyle w:val="TableContents"/>
              <w:spacing w:before="0" w:after="0"/>
              <w:ind w:left="0" w:right="0" w:hanging="0"/>
              <w:rPr/>
            </w:pPr>
            <w:r>
              <w:rPr/>
              <w:t> </w:t>
            </w:r>
          </w:p>
        </w:tc>
        <w:tc>
          <w:tcPr>
            <w:tcW w:w="23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0.5% Adverse Rate Change</w:t>
            </w:r>
          </w:p>
        </w:tc>
        <w:tc>
          <w:tcPr>
            <w:tcW w:w="361" w:type="dxa"/>
            <w:tcBorders/>
            <w:shd w:fill="auto" w:val="clear"/>
            <w:vAlign w:val="center"/>
          </w:tcPr>
          <w:p>
            <w:pPr>
              <w:pStyle w:val="TableContents"/>
              <w:spacing w:before="0" w:after="0"/>
              <w:ind w:left="0" w:right="0" w:hanging="0"/>
              <w:rPr/>
            </w:pPr>
            <w:r>
              <w:rPr/>
              <w:t> </w:t>
            </w:r>
          </w:p>
        </w:tc>
        <w:tc>
          <w:tcPr>
            <w:tcW w:w="23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 Adverse Rate Change</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Conditional prepayment rate</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8" w:type="dxa"/>
            <w:tcBorders/>
            <w:shd w:fill="CCEEFF" w:val="clear"/>
            <w:vAlign w:val="center"/>
          </w:tcPr>
          <w:p>
            <w:pPr>
              <w:pStyle w:val="TableContents"/>
              <w:spacing w:before="0" w:after="0"/>
              <w:ind w:left="0" w:right="0" w:hanging="0"/>
              <w:rPr/>
            </w:pPr>
            <w:r>
              <w:rPr/>
              <w:t>​</w:t>
            </w:r>
          </w:p>
        </w:tc>
        <w:tc>
          <w:tcPr>
            <w:tcW w:w="18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spacing w:before="0" w:after="0"/>
              <w:ind w:left="0" w:right="0" w:hanging="0"/>
              <w:rPr/>
            </w:pPr>
            <w:r>
              <w:rPr/>
              <w:t>​</w:t>
            </w:r>
          </w:p>
        </w:tc>
        <w:tc>
          <w:tcPr>
            <w:tcW w:w="1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MSR</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35,274</w:t>
            </w:r>
          </w:p>
        </w:tc>
        <w:tc>
          <w:tcPr>
            <w:tcW w:w="361" w:type="dxa"/>
            <w:tcBorders/>
            <w:shd w:fill="auto" w:val="clear"/>
            <w:vAlign w:val="center"/>
          </w:tcPr>
          <w:p>
            <w:pPr>
              <w:pStyle w:val="TableContents"/>
              <w:spacing w:before="0" w:after="0"/>
              <w:ind w:left="0" w:right="0" w:hanging="0"/>
              <w:rPr/>
            </w:pPr>
            <w:r>
              <w:rPr/>
              <w:t> </w:t>
            </w:r>
          </w:p>
        </w:tc>
        <w:tc>
          <w:tcPr>
            <w:tcW w:w="4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34,613</w:t>
            </w:r>
          </w:p>
        </w:tc>
        <w:tc>
          <w:tcPr>
            <w:tcW w:w="361" w:type="dxa"/>
            <w:tcBorders/>
            <w:shd w:fill="auto" w:val="clear"/>
            <w:vAlign w:val="center"/>
          </w:tcPr>
          <w:p>
            <w:pPr>
              <w:pStyle w:val="TableContents"/>
              <w:spacing w:before="0" w:after="0"/>
              <w:ind w:left="0" w:right="0" w:hanging="0"/>
              <w:rPr/>
            </w:pPr>
            <w:r>
              <w:rPr/>
              <w:t> </w:t>
            </w:r>
          </w:p>
        </w:tc>
        <w:tc>
          <w:tcPr>
            <w:tcW w:w="4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33,854</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Percentage of MSR</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8" w:type="dxa"/>
            <w:tcBorders/>
            <w:shd w:fill="CCEEFF" w:val="clear"/>
            <w:vAlign w:val="center"/>
          </w:tcPr>
          <w:p>
            <w:pPr>
              <w:pStyle w:val="TableContents"/>
              <w:spacing w:before="0" w:after="0"/>
              <w:ind w:left="0" w:right="0" w:hanging="0"/>
              <w:rPr/>
            </w:pPr>
            <w:r>
              <w:rPr/>
              <w:t> </w:t>
            </w:r>
          </w:p>
        </w:tc>
        <w:tc>
          <w:tcPr>
            <w:tcW w:w="18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spacing w:before="0" w:after="0"/>
              <w:ind w:left="0" w:right="0" w:hanging="0"/>
              <w:rPr/>
            </w:pPr>
            <w:r>
              <w:rPr/>
              <w:t> </w:t>
            </w:r>
          </w:p>
        </w:tc>
        <w:tc>
          <w:tcPr>
            <w:tcW w:w="1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428" w:type="dxa"/>
            <w:tcBorders/>
            <w:shd w:fill="auto" w:val="clear"/>
            <w:vAlign w:val="center"/>
          </w:tcPr>
          <w:p>
            <w:pPr>
              <w:pStyle w:val="TableContents"/>
              <w:spacing w:before="0" w:after="0"/>
              <w:ind w:left="0" w:right="0" w:hanging="0"/>
              <w:rPr/>
            </w:pPr>
            <w:r>
              <w:rPr/>
              <w:t>​</w:t>
            </w:r>
          </w:p>
        </w:tc>
        <w:tc>
          <w:tcPr>
            <w:tcW w:w="1897"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pPr>
            <w:r>
              <w:rPr/>
              <w:t>​</w:t>
            </w:r>
          </w:p>
        </w:tc>
        <w:tc>
          <w:tcPr>
            <w:tcW w:w="189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Discount rate</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8" w:type="dxa"/>
            <w:tcBorders/>
            <w:shd w:fill="CCEEFF" w:val="clear"/>
            <w:vAlign w:val="center"/>
          </w:tcPr>
          <w:p>
            <w:pPr>
              <w:pStyle w:val="TableContents"/>
              <w:spacing w:before="0" w:after="0"/>
              <w:ind w:left="0" w:right="0" w:hanging="0"/>
              <w:rPr/>
            </w:pPr>
            <w:r>
              <w:rPr/>
              <w:t> </w:t>
            </w:r>
          </w:p>
        </w:tc>
        <w:tc>
          <w:tcPr>
            <w:tcW w:w="18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spacing w:before="0" w:after="0"/>
              <w:ind w:left="0" w:right="0" w:hanging="0"/>
              <w:rPr/>
            </w:pPr>
            <w:r>
              <w:rPr/>
              <w:t> </w:t>
            </w:r>
          </w:p>
        </w:tc>
        <w:tc>
          <w:tcPr>
            <w:tcW w:w="1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MSR</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35,274</w:t>
            </w:r>
          </w:p>
        </w:tc>
        <w:tc>
          <w:tcPr>
            <w:tcW w:w="361" w:type="dxa"/>
            <w:tcBorders/>
            <w:shd w:fill="auto" w:val="clear"/>
            <w:vAlign w:val="center"/>
          </w:tcPr>
          <w:p>
            <w:pPr>
              <w:pStyle w:val="TableContents"/>
              <w:spacing w:before="0" w:after="0"/>
              <w:ind w:left="0" w:right="0" w:hanging="0"/>
              <w:rPr/>
            </w:pPr>
            <w:r>
              <w:rPr/>
              <w:t> </w:t>
            </w:r>
          </w:p>
        </w:tc>
        <w:tc>
          <w:tcPr>
            <w:tcW w:w="4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34,512</w:t>
            </w:r>
          </w:p>
        </w:tc>
        <w:tc>
          <w:tcPr>
            <w:tcW w:w="361" w:type="dxa"/>
            <w:tcBorders/>
            <w:shd w:fill="auto" w:val="clear"/>
            <w:vAlign w:val="center"/>
          </w:tcPr>
          <w:p>
            <w:pPr>
              <w:pStyle w:val="TableContents"/>
              <w:spacing w:before="0" w:after="0"/>
              <w:ind w:left="0" w:right="0" w:hanging="0"/>
              <w:rPr/>
            </w:pPr>
            <w:r>
              <w:rPr/>
              <w:t> </w:t>
            </w:r>
          </w:p>
        </w:tc>
        <w:tc>
          <w:tcPr>
            <w:tcW w:w="4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33,781</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Percentage of MSR</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8" w:type="dxa"/>
            <w:tcBorders/>
            <w:shd w:fill="CCEEFF" w:val="clear"/>
            <w:vAlign w:val="center"/>
          </w:tcPr>
          <w:p>
            <w:pPr>
              <w:pStyle w:val="TableContents"/>
              <w:spacing w:before="0" w:after="0"/>
              <w:ind w:left="0" w:right="0" w:hanging="0"/>
              <w:rPr/>
            </w:pPr>
            <w:r>
              <w:rPr/>
              <w:t> </w:t>
            </w:r>
          </w:p>
        </w:tc>
        <w:tc>
          <w:tcPr>
            <w:tcW w:w="18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spacing w:before="0" w:after="0"/>
              <w:ind w:left="0" w:right="0" w:hanging="0"/>
              <w:rPr/>
            </w:pPr>
            <w:r>
              <w:rPr/>
              <w:t> </w:t>
            </w:r>
          </w:p>
        </w:tc>
        <w:tc>
          <w:tcPr>
            <w:tcW w:w="1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428" w:type="dxa"/>
            <w:tcBorders/>
            <w:shd w:fill="auto" w:val="clear"/>
            <w:vAlign w:val="center"/>
          </w:tcPr>
          <w:p>
            <w:pPr>
              <w:pStyle w:val="TableContents"/>
              <w:spacing w:before="0" w:after="0"/>
              <w:ind w:left="0" w:right="0" w:hanging="0"/>
              <w:rPr/>
            </w:pPr>
            <w:r>
              <w:rPr/>
              <w:t>​</w:t>
            </w:r>
          </w:p>
        </w:tc>
        <w:tc>
          <w:tcPr>
            <w:tcW w:w="1897"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pPr>
            <w:r>
              <w:rPr/>
              <w:t>​</w:t>
            </w:r>
          </w:p>
        </w:tc>
        <w:tc>
          <w:tcPr>
            <w:tcW w:w="189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At December 31, 2022</w:t>
            </w:r>
          </w:p>
        </w:tc>
        <w:tc>
          <w:tcPr>
            <w:tcW w:w="14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Base</w:t>
            </w:r>
          </w:p>
        </w:tc>
        <w:tc>
          <w:tcPr>
            <w:tcW w:w="361" w:type="dxa"/>
            <w:tcBorders/>
            <w:shd w:fill="auto" w:val="clear"/>
            <w:vAlign w:val="center"/>
          </w:tcPr>
          <w:p>
            <w:pPr>
              <w:pStyle w:val="TableContents"/>
              <w:spacing w:before="0" w:after="0"/>
              <w:ind w:left="0" w:right="0" w:hanging="0"/>
              <w:rPr/>
            </w:pPr>
            <w:r>
              <w:rPr/>
              <w:t> </w:t>
            </w:r>
          </w:p>
        </w:tc>
        <w:tc>
          <w:tcPr>
            <w:tcW w:w="23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0.5% Adverse Rate Change</w:t>
            </w:r>
          </w:p>
        </w:tc>
        <w:tc>
          <w:tcPr>
            <w:tcW w:w="361" w:type="dxa"/>
            <w:tcBorders/>
            <w:shd w:fill="auto" w:val="clear"/>
            <w:vAlign w:val="center"/>
          </w:tcPr>
          <w:p>
            <w:pPr>
              <w:pStyle w:val="TableContents"/>
              <w:spacing w:before="0" w:after="0"/>
              <w:ind w:left="0" w:right="0" w:hanging="0"/>
              <w:rPr/>
            </w:pPr>
            <w:r>
              <w:rPr/>
              <w:t> </w:t>
            </w:r>
          </w:p>
        </w:tc>
        <w:tc>
          <w:tcPr>
            <w:tcW w:w="23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 Adverse Rate Change</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Conditional prepayment rate</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8" w:type="dxa"/>
            <w:tcBorders/>
            <w:shd w:fill="CCEEFF" w:val="clear"/>
            <w:vAlign w:val="center"/>
          </w:tcPr>
          <w:p>
            <w:pPr>
              <w:pStyle w:val="TableContents"/>
              <w:spacing w:before="0" w:after="0"/>
              <w:ind w:left="0" w:right="0" w:hanging="0"/>
              <w:rPr/>
            </w:pPr>
            <w:r>
              <w:rPr/>
              <w:t>​</w:t>
            </w:r>
          </w:p>
        </w:tc>
        <w:tc>
          <w:tcPr>
            <w:tcW w:w="18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spacing w:before="0" w:after="0"/>
              <w:ind w:left="0" w:right="0" w:hanging="0"/>
              <w:rPr/>
            </w:pPr>
            <w:r>
              <w:rPr/>
              <w:t>​</w:t>
            </w:r>
          </w:p>
        </w:tc>
        <w:tc>
          <w:tcPr>
            <w:tcW w:w="1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MSR</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35,478</w:t>
            </w:r>
          </w:p>
        </w:tc>
        <w:tc>
          <w:tcPr>
            <w:tcW w:w="361" w:type="dxa"/>
            <w:tcBorders/>
            <w:shd w:fill="auto" w:val="clear"/>
            <w:vAlign w:val="center"/>
          </w:tcPr>
          <w:p>
            <w:pPr>
              <w:pStyle w:val="TableContents"/>
              <w:spacing w:before="0" w:after="0"/>
              <w:ind w:left="0" w:right="0" w:hanging="0"/>
              <w:rPr/>
            </w:pPr>
            <w:r>
              <w:rPr/>
              <w:t> </w:t>
            </w:r>
          </w:p>
        </w:tc>
        <w:tc>
          <w:tcPr>
            <w:tcW w:w="4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34,997</w:t>
            </w:r>
          </w:p>
        </w:tc>
        <w:tc>
          <w:tcPr>
            <w:tcW w:w="361" w:type="dxa"/>
            <w:tcBorders/>
            <w:shd w:fill="auto" w:val="clear"/>
            <w:vAlign w:val="center"/>
          </w:tcPr>
          <w:p>
            <w:pPr>
              <w:pStyle w:val="TableContents"/>
              <w:spacing w:before="0" w:after="0"/>
              <w:ind w:left="0" w:right="0" w:hanging="0"/>
              <w:rPr/>
            </w:pPr>
            <w:r>
              <w:rPr/>
              <w:t> </w:t>
            </w:r>
          </w:p>
        </w:tc>
        <w:tc>
          <w:tcPr>
            <w:tcW w:w="4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34,188</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Percentage of MSR</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8" w:type="dxa"/>
            <w:tcBorders/>
            <w:shd w:fill="CCEEFF" w:val="clear"/>
            <w:vAlign w:val="center"/>
          </w:tcPr>
          <w:p>
            <w:pPr>
              <w:pStyle w:val="TableContents"/>
              <w:spacing w:before="0" w:after="0"/>
              <w:ind w:left="0" w:right="0" w:hanging="0"/>
              <w:rPr/>
            </w:pPr>
            <w:r>
              <w:rPr/>
              <w:t> </w:t>
            </w:r>
          </w:p>
        </w:tc>
        <w:tc>
          <w:tcPr>
            <w:tcW w:w="18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spacing w:before="0" w:after="0"/>
              <w:ind w:left="0" w:right="0" w:hanging="0"/>
              <w:rPr/>
            </w:pPr>
            <w:r>
              <w:rPr/>
              <w:t> </w:t>
            </w:r>
          </w:p>
        </w:tc>
        <w:tc>
          <w:tcPr>
            <w:tcW w:w="1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428" w:type="dxa"/>
            <w:tcBorders/>
            <w:shd w:fill="auto" w:val="clear"/>
            <w:vAlign w:val="center"/>
          </w:tcPr>
          <w:p>
            <w:pPr>
              <w:pStyle w:val="TableContents"/>
              <w:spacing w:before="0" w:after="0"/>
              <w:ind w:left="0" w:right="0" w:hanging="0"/>
              <w:rPr/>
            </w:pPr>
            <w:r>
              <w:rPr/>
              <w:t>​</w:t>
            </w:r>
          </w:p>
        </w:tc>
        <w:tc>
          <w:tcPr>
            <w:tcW w:w="1897"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429" w:type="dxa"/>
            <w:tcBorders/>
            <w:shd w:fill="auto" w:val="clear"/>
            <w:vAlign w:val="center"/>
          </w:tcPr>
          <w:p>
            <w:pPr>
              <w:pStyle w:val="TableContents"/>
              <w:spacing w:before="0" w:after="0"/>
              <w:ind w:left="0" w:right="0" w:hanging="0"/>
              <w:rPr/>
            </w:pPr>
            <w:r>
              <w:rPr/>
              <w:t>​</w:t>
            </w:r>
          </w:p>
        </w:tc>
        <w:tc>
          <w:tcPr>
            <w:tcW w:w="189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Discount rate</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8" w:type="dxa"/>
            <w:tcBorders/>
            <w:shd w:fill="CCEEFF" w:val="clear"/>
            <w:vAlign w:val="center"/>
          </w:tcPr>
          <w:p>
            <w:pPr>
              <w:pStyle w:val="TableContents"/>
              <w:spacing w:before="0" w:after="0"/>
              <w:ind w:left="0" w:right="0" w:hanging="0"/>
              <w:rPr/>
            </w:pPr>
            <w:r>
              <w:rPr/>
              <w:t> </w:t>
            </w:r>
          </w:p>
        </w:tc>
        <w:tc>
          <w:tcPr>
            <w:tcW w:w="18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spacing w:before="0" w:after="0"/>
              <w:ind w:left="0" w:right="0" w:hanging="0"/>
              <w:rPr/>
            </w:pPr>
            <w:r>
              <w:rPr/>
              <w:t> </w:t>
            </w:r>
          </w:p>
        </w:tc>
        <w:tc>
          <w:tcPr>
            <w:tcW w:w="1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MSR</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35,478</w:t>
            </w:r>
          </w:p>
        </w:tc>
        <w:tc>
          <w:tcPr>
            <w:tcW w:w="361" w:type="dxa"/>
            <w:tcBorders/>
            <w:shd w:fill="auto" w:val="clear"/>
            <w:vAlign w:val="center"/>
          </w:tcPr>
          <w:p>
            <w:pPr>
              <w:pStyle w:val="TableContents"/>
              <w:spacing w:before="0" w:after="0"/>
              <w:ind w:left="0" w:right="0" w:hanging="0"/>
              <w:rPr/>
            </w:pPr>
            <w:r>
              <w:rPr/>
              <w:t> </w:t>
            </w:r>
          </w:p>
        </w:tc>
        <w:tc>
          <w:tcPr>
            <w:tcW w:w="4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34,715</w:t>
            </w:r>
          </w:p>
        </w:tc>
        <w:tc>
          <w:tcPr>
            <w:tcW w:w="361" w:type="dxa"/>
            <w:tcBorders/>
            <w:shd w:fill="auto" w:val="clear"/>
            <w:vAlign w:val="center"/>
          </w:tcPr>
          <w:p>
            <w:pPr>
              <w:pStyle w:val="TableContents"/>
              <w:spacing w:before="0" w:after="0"/>
              <w:ind w:left="0" w:right="0" w:hanging="0"/>
              <w:rPr/>
            </w:pPr>
            <w:r>
              <w:rPr/>
              <w:t> </w:t>
            </w:r>
          </w:p>
        </w:tc>
        <w:tc>
          <w:tcPr>
            <w:tcW w:w="42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33,984</w:t>
            </w:r>
          </w:p>
        </w:tc>
        <w:tc>
          <w:tcPr>
            <w:tcW w:w="316"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Percentage of MSR</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8" w:type="dxa"/>
            <w:tcBorders/>
            <w:shd w:fill="CCEEFF" w:val="clear"/>
            <w:vAlign w:val="center"/>
          </w:tcPr>
          <w:p>
            <w:pPr>
              <w:pStyle w:val="TableContents"/>
              <w:spacing w:before="0" w:after="0"/>
              <w:ind w:left="0" w:right="0" w:hanging="0"/>
              <w:rPr/>
            </w:pPr>
            <w:r>
              <w:rPr/>
              <w:t> </w:t>
            </w:r>
          </w:p>
        </w:tc>
        <w:tc>
          <w:tcPr>
            <w:tcW w:w="18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spacing w:before="0" w:after="0"/>
              <w:ind w:left="0" w:right="0" w:hanging="0"/>
              <w:rPr/>
            </w:pPr>
            <w:r>
              <w:rPr/>
              <w:t> </w:t>
            </w:r>
          </w:p>
        </w:tc>
        <w:tc>
          <w:tcPr>
            <w:tcW w:w="1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These sensitivities are hypothetical and should be used with caution as the tables above demonstrate the Company’s methodology for estimating the fair value of MSR which is highly sensitive to changes in key assumptions. For example, actual prepayment experience may differ and any difference may have a material effect on the fair value of MSR. Changes in fair value resulting from changes in assumptions generally cannot be extrapolated because the relationship of the change in the assumption to the change in fair value may not be linear. Also, in these tables, the effects of a variation in a particular assumption on the fair value of MSR is calculated without changing any other assumption; in reality, changes in one factor may be associated with changes in another (for example, decreases in market interest rates may provide an incentive to refinance, however, this may also indicate a slowing economy and an increase in the unemployment rate, which reduces the number of borrowers who qualify for refinancing), which may magnify or counteract the sensitivities. Thus, any measurement of the fair value of MSR is limited by the conditions existing and assumptions made at a particular point in time. Those assumptions may not be appropriate if they are applied to a different time.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recorded $1.8 million and $1.7 million of gross contractually specified servicing fees, late fees, and other ancillary fees resulting from servicing of loans for the three months ended March 31, 2023 and 2022, respectively.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income, net of MSR amortization, is reported in “Service charges and fee income” on the Consolidated Statements of Income.</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6 – DERIVATIVES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Mortgage Banking Derivatives Not Designated as Hedges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regularly enters into commitments to originate and sell loans held for sale. The Company has exposure to movements in interest rates associated with written interest rate lock commitments with potential borrowers to originate one-to four-family loans that are intended to be sold and for closed one-to-four-family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one-to-four-family mortgage loans or into contracts to sell forward To-Be-Announced (“TBA”) mortgage-backed securities. These commitments and contracts are considered derivatives but have not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Customer Swaps Not Designated as Hedges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also enters into derivative contracts, which consist of interest rate swaps, to facilitate the needs of clients desiring to manage interest rate risk. These swaps are not designated as accounting hedges under ASC 815, Derivatives and Hedging. To economically hedge the interest rate risk associated with offering this product, the Company simultaneously enters into derivative contracts with third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not speculative and arise from a service provided to clients.</w:t>
      </w:r>
    </w:p>
    <w:p>
      <w:pPr>
        <w:pStyle w:val="TextBody"/>
        <w:spacing w:before="0" w:after="200"/>
        <w:ind w:left="0" w:right="0" w:hanging="0"/>
        <w:jc w:val="both"/>
        <w:rPr>
          <w:rFonts w:ascii="Times New Roman;Times;serif" w:hAnsi="Times New Roman;Times;serif"/>
          <w:b/>
          <w:i/>
          <w:color w:val="212529"/>
          <w:sz w:val="20"/>
        </w:rPr>
      </w:pPr>
      <w:r>
        <w:rPr>
          <w:rFonts w:ascii="Times New Roman;Times;serif" w:hAnsi="Times New Roman;Times;serif"/>
          <w:b/>
          <w:i/>
          <w:color w:val="212529"/>
          <w:sz w:val="20"/>
        </w:rPr>
        <w:t>Cash Flow Hedges</w:t>
      </w:r>
    </w:p>
    <w:p>
      <w:pPr>
        <w:pStyle w:val="TextBody"/>
        <w:spacing w:before="0" w:after="200"/>
        <w:ind w:left="0" w:right="0" w:hanging="0"/>
        <w:jc w:val="both"/>
        <w:rPr>
          <w:rFonts w:ascii="Times New Roman;Times;serif" w:hAnsi="Times New Roman;Times;serif"/>
          <w:color w:val="212529"/>
          <w:sz w:val="20"/>
        </w:rPr>
      </w:pPr>
      <w:r>
        <w:rPr>
          <w:rFonts w:ascii="Times New Roman;Times;serif" w:hAnsi="Times New Roman;Times;serif"/>
          <w:color w:val="212529"/>
          <w:sz w:val="20"/>
        </w:rPr>
        <w:t>The Bank has entered into interest rate swaps to reduce the exposure to variability in interest-related cash outflows  related to brokered deposits. These derivative instruments are designated as cash flow hedges.  Changes to the amount of interest payment cash flows for the hedged transactions attributable to a change in credit risk are excluded from management’s assessment of hedge effectiveness. The Bank tests for hedging effectiveness on a quarterly basis. The accumulated other comprehensive income is subsequently reclassified into earnings in the period that the hedged forecasted transaction affects earnings. The Bank has not recorded any hedge ineffectiveness since inception.  </w:t>
      </w:r>
    </w:p>
    <w:p>
      <w:pPr>
        <w:pStyle w:val="TextBody"/>
        <w:spacing w:before="0" w:after="200"/>
        <w:ind w:left="0" w:right="0" w:hanging="0"/>
        <w:jc w:val="both"/>
        <w:rPr>
          <w:rFonts w:ascii="Times New Roman;Times;serif" w:hAnsi="Times New Roman;Times;serif"/>
          <w:color w:val="212529"/>
          <w:sz w:val="20"/>
        </w:rPr>
      </w:pPr>
      <w:r>
        <w:rPr>
          <w:rFonts w:ascii="Times New Roman;Times;serif" w:hAnsi="Times New Roman;Times;serif"/>
          <w:color w:val="212529"/>
          <w:sz w:val="20"/>
        </w:rPr>
        <w:t>The Bank expects that approximately $4.3 million will be reclassified from accumulated other comprehensive loss as a decrease to interest expense over the next 12 months related to these cash flow hedges.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b/>
          <w:i/>
          <w:color w:val="212529"/>
          <w:sz w:val="20"/>
        </w:rPr>
      </w:pPr>
      <w:bookmarkStart w:id="2516" w:name="Tc_z5jOMUU5LU69YQp_ARV6Kg_12_9"/>
      <w:bookmarkStart w:id="2517" w:name="Tc_SDsKS7CZpkm1uJ7DjHmqyg_12_0"/>
      <w:bookmarkStart w:id="2518" w:name="Tc_Q8mAk2CPV0qGpp54lUSeUQ_11_6"/>
      <w:bookmarkStart w:id="2519" w:name="Tc_K4l4-DAZ5UCbiraw2zecjQ_11_0"/>
      <w:bookmarkStart w:id="2520" w:name="Tc_qhWMU86Ooky6mEIPVWVyUA_10_6"/>
      <w:bookmarkStart w:id="2521" w:name="Tc_FRlBGcVzj0m3GpI9ucopyQ_10_0"/>
      <w:bookmarkStart w:id="2522" w:name="Tc_d6uoFKGgGEmQT4bFAHs_AA_9_6"/>
      <w:bookmarkStart w:id="2523" w:name="Tc_CK2ZmO-QtkmZwBXS1EvtMQ_9_0"/>
      <w:bookmarkStart w:id="2524" w:name="Tc_uhzHLGnvskyLvwJdCnnEnw_8_9"/>
      <w:bookmarkStart w:id="2525" w:name="Tc_546QdZYtuEqVgf6qTz0cOg_8_0"/>
      <w:bookmarkStart w:id="2526" w:name="Tc_Q_TLEsFwvEaNZmOS24J-GA_7_0"/>
      <w:bookmarkStart w:id="2527" w:name="Tc_wdGonBVF2kqqhzq9wFgLQQ_6_9"/>
      <w:bookmarkStart w:id="2528" w:name="Tc_oLDQiiB68US203NBPQ6g4w_6_0"/>
      <w:bookmarkStart w:id="2529" w:name="Tc_i9RKsJtbykWLAgmcffOYCA_5_0"/>
      <w:bookmarkStart w:id="2530" w:name="Tc_oIip2CEIrUWlvILVWT4L1w_4_9"/>
      <w:bookmarkStart w:id="2531" w:name="Tc_NY0WZVi2CUOpRy_ifbaa0g_4_8"/>
      <w:bookmarkStart w:id="2532" w:name="Tc_z8Qn38p4LU-JOiGVpkJ1FA_4_5"/>
      <w:bookmarkStart w:id="2533" w:name="Tc_UTKtKBjTHkGOOhYluF5AiA_4_2"/>
      <w:bookmarkStart w:id="2534" w:name="Tc_MgJYY5P82EKzXvqkTxjfWA_4_0"/>
      <w:bookmarkStart w:id="2535" w:name="Tc_RnIjY3fJ7UqoNT3CsPaXhQ_3_8"/>
      <w:bookmarkStart w:id="2536" w:name="Tc_dEX8w5iZBEq33xOjcbFNNQ_3_5"/>
      <w:bookmarkStart w:id="2537" w:name="Tc_edSV8dfFpk-WLRXbB0RAlw_3_2"/>
      <w:bookmarkStart w:id="2538" w:name="Tc_CTce-MhmdkKU9WXdMP9NkQ_3_0"/>
      <w:bookmarkStart w:id="2539" w:name="Tc_o31igeH2YE2tQz5rmskVzg_2_5"/>
      <w:bookmarkStart w:id="2540" w:name="Tc_vcTWCQh35kq_uZ4wx0HDow_1_2"/>
      <w:bookmarkStart w:id="2541" w:name="_ed7c4e20_50a0_4180_8781_3e6510afd3af"/>
      <w:bookmarkStart w:id="2542" w:name="Tc_z44j3Jxtvk-kTAGu2FM3vg_11_5"/>
      <w:bookmarkStart w:id="2543" w:name="Tc_biHTgJqbMkCpcz0YhMSDtg_11_2"/>
      <w:bookmarkStart w:id="2544" w:name="Tc_cjSgkDkCy0OZ6TEPZE1nXA_11_0"/>
      <w:bookmarkStart w:id="2545" w:name="Tc_75btts9mfEa_cYeeJv1i2g_10_5"/>
      <w:bookmarkStart w:id="2546" w:name="Tc_sSspI2xejUmpCbzB6YSTJQ_10_2"/>
      <w:bookmarkStart w:id="2547" w:name="Tc_VRZQ5qKBMkC6JYU0XDU2ig_10_0"/>
      <w:bookmarkStart w:id="2548" w:name="Tc_ssLcxhc320m-rEGFNkBnrQ_9_0"/>
      <w:bookmarkStart w:id="2549" w:name="Tc_FcC0M5AD6US4s7Lq9Q7yig_7_5"/>
      <w:bookmarkStart w:id="2550" w:name="Tc_TIiNNIT410mSrbKH3EjGXg_7_2"/>
      <w:bookmarkStart w:id="2551" w:name="Tc_KZgDvtQ_BUimYllWoudARg_7_0"/>
      <w:bookmarkStart w:id="2552" w:name="Tc_je0NUYFJvE-mjLHZacxMpw_6_5"/>
      <w:bookmarkStart w:id="2553" w:name="Tc_F0C9xNhh-kmYF0fvx1rdqQ_6_2"/>
      <w:bookmarkStart w:id="2554" w:name="Tc_fFq-Z_KuXk-PwtYO4YZfAg_6_0"/>
      <w:bookmarkStart w:id="2555" w:name="Tc_pfg1VEm6ckydP1JyteG3UA_5_0"/>
      <w:bookmarkStart w:id="2556" w:name="Tc_nqwhJq8HN0anV9_ShyDQoA_4_5"/>
      <w:bookmarkStart w:id="2557" w:name="Tc_qSupW5628kWv7s6JyD6X2g_4_2"/>
      <w:bookmarkStart w:id="2558" w:name="Tc_46LYAlNeZkGggEKhOWMdRw_4_0"/>
      <w:bookmarkStart w:id="2559" w:name="Tc_7uRxjTDrZUau9MM3SOVyrA_3_5"/>
      <w:bookmarkStart w:id="2560" w:name="Tc_-IxB3uRPuku5cVT6PbUkww_3_2"/>
      <w:bookmarkStart w:id="2561" w:name="Tc_Uj4Ii_gpP0-XTetfS3sTiQ_3_0"/>
      <w:bookmarkStart w:id="2562" w:name="Tc_eJXleEIMbkK-F14MjnFMfw_2_5"/>
      <w:bookmarkStart w:id="2563" w:name="Tc_17Ex9xbLOka1tFjAzq_fbA_2_0"/>
      <w:bookmarkStart w:id="2564" w:name="Tc_a848Oq3pGkikChklLlg8xg_1_5"/>
      <w:bookmarkStart w:id="2565" w:name="_1d1b56bd_2b0b_462a_89e7_7855d235dfa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r>
        <w:rPr>
          <w:rFonts w:ascii="Times New Roman;Times;serif" w:hAnsi="Times New Roman;Times;serif"/>
          <w:b/>
          <w:i/>
          <w:color w:val="212529"/>
          <w:sz w:val="20"/>
        </w:rPr>
        <w:t>Fair Value Hedges</w:t>
      </w:r>
    </w:p>
    <w:p>
      <w:pPr>
        <w:pStyle w:val="TextBody"/>
        <w:spacing w:before="0" w:after="200"/>
        <w:ind w:left="0" w:right="0" w:hanging="0"/>
        <w:jc w:val="both"/>
        <w:rPr>
          <w:rFonts w:ascii="Times New Roman;Times;serif" w:hAnsi="Times New Roman;Times;serif"/>
          <w:color w:val="212529"/>
          <w:sz w:val="20"/>
        </w:rPr>
      </w:pPr>
      <w:r>
        <w:rPr>
          <w:rFonts w:ascii="Times New Roman;Times;serif" w:hAnsi="Times New Roman;Times;serif"/>
          <w:color w:val="212529"/>
          <w:sz w:val="20"/>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amounts were recorded on the balance sheet  related to cumulative-basis adjustment for fair value hedges for the dates indicated:  </w:t>
      </w:r>
    </w:p>
    <w:p>
      <w:pPr>
        <w:pStyle w:val="TextBody"/>
        <w:spacing w:before="0" w:after="0"/>
        <w:ind w:left="0" w:right="0" w:hanging="0"/>
        <w:rPr/>
      </w:pPr>
      <w:r>
        <w:rPr/>
        <w:t>​</w:t>
      </w:r>
    </w:p>
    <w:tbl>
      <w:tblPr>
        <w:tblW w:w="9773" w:type="dxa"/>
        <w:jc w:val="left"/>
        <w:tblInd w:w="0" w:type="dxa"/>
        <w:tblCellMar>
          <w:top w:w="0" w:type="dxa"/>
          <w:left w:w="0" w:type="dxa"/>
          <w:bottom w:w="0" w:type="dxa"/>
          <w:right w:w="0" w:type="dxa"/>
        </w:tblCellMar>
      </w:tblPr>
      <w:tblGrid>
        <w:gridCol w:w="3211"/>
        <w:gridCol w:w="266"/>
        <w:gridCol w:w="578"/>
        <w:gridCol w:w="1852"/>
        <w:gridCol w:w="686"/>
        <w:gridCol w:w="755"/>
        <w:gridCol w:w="2425"/>
      </w:tblGrid>
      <w:tr>
        <w:trPr/>
        <w:tc>
          <w:tcPr>
            <w:tcW w:w="321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578" w:type="dxa"/>
            <w:tcBorders/>
            <w:shd w:fill="auto" w:val="clear"/>
            <w:vAlign w:val="center"/>
          </w:tcPr>
          <w:p>
            <w:pPr>
              <w:pStyle w:val="TableContents"/>
              <w:spacing w:before="0" w:after="0"/>
              <w:ind w:left="0" w:right="0" w:hanging="0"/>
              <w:rPr/>
            </w:pPr>
            <w:r>
              <w:rPr/>
              <w:t>​</w:t>
            </w:r>
          </w:p>
        </w:tc>
        <w:tc>
          <w:tcPr>
            <w:tcW w:w="1852"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rPr/>
            </w:pPr>
            <w:r>
              <w:rPr/>
              <w:t>​</w:t>
            </w:r>
          </w:p>
        </w:tc>
        <w:tc>
          <w:tcPr>
            <w:tcW w:w="755" w:type="dxa"/>
            <w:tcBorders/>
            <w:shd w:fill="auto" w:val="clear"/>
            <w:vAlign w:val="center"/>
          </w:tcPr>
          <w:p>
            <w:pPr>
              <w:pStyle w:val="TableContents"/>
              <w:spacing w:before="0" w:after="0"/>
              <w:ind w:left="0" w:right="0" w:hanging="0"/>
              <w:rPr/>
            </w:pPr>
            <w:r>
              <w:rPr/>
              <w:t>​</w:t>
            </w:r>
          </w:p>
        </w:tc>
        <w:tc>
          <w:tcPr>
            <w:tcW w:w="2425" w:type="dxa"/>
            <w:tcBorders/>
            <w:shd w:fill="auto" w:val="clear"/>
            <w:vAlign w:val="center"/>
          </w:tcPr>
          <w:p>
            <w:pPr>
              <w:pStyle w:val="TableContents"/>
              <w:spacing w:before="0" w:after="0"/>
              <w:ind w:left="0" w:right="0" w:hanging="0"/>
              <w:rPr/>
            </w:pPr>
            <w:r>
              <w:rPr/>
              <w:t>​</w:t>
            </w:r>
          </w:p>
        </w:tc>
      </w:tr>
      <w:tr>
        <w:trPr/>
        <w:tc>
          <w:tcPr>
            <w:tcW w:w="3211"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2430" w:type="dxa"/>
            <w:gridSpan w:val="2"/>
            <w:tcBorders/>
            <w:shd w:fill="auto" w:val="clear"/>
            <w:vAlign w:val="center"/>
          </w:tcPr>
          <w:p>
            <w:pPr>
              <w:pStyle w:val="TableContents"/>
              <w:spacing w:before="0" w:after="0"/>
              <w:ind w:left="0" w:right="0" w:hanging="0"/>
              <w:jc w:val="center"/>
              <w:rPr/>
            </w:pPr>
            <w:r>
              <w:rPr/>
              <w:t>​</w:t>
            </w:r>
          </w:p>
        </w:tc>
        <w:tc>
          <w:tcPr>
            <w:tcW w:w="686" w:type="dxa"/>
            <w:tcBorders/>
            <w:shd w:fill="auto" w:val="clear"/>
            <w:vAlign w:val="center"/>
          </w:tcPr>
          <w:p>
            <w:pPr>
              <w:pStyle w:val="TableContents"/>
              <w:spacing w:before="0" w:after="0"/>
              <w:ind w:left="0" w:right="0" w:hanging="0"/>
              <w:rPr/>
            </w:pPr>
            <w:r>
              <w:rPr/>
              <w:t>​</w:t>
            </w:r>
          </w:p>
        </w:tc>
        <w:tc>
          <w:tcPr>
            <w:tcW w:w="3180"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Cumulative Amount of Fair Value </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Line item in the statement of financial</w:t>
            </w:r>
          </w:p>
        </w:tc>
        <w:tc>
          <w:tcPr>
            <w:tcW w:w="266" w:type="dxa"/>
            <w:tcBorders/>
            <w:shd w:fill="auto" w:val="clear"/>
            <w:vAlign w:val="center"/>
          </w:tcPr>
          <w:p>
            <w:pPr>
              <w:pStyle w:val="TableContents"/>
              <w:spacing w:before="0" w:after="0"/>
              <w:ind w:left="0" w:right="0" w:hanging="0"/>
              <w:rPr/>
            </w:pPr>
            <w:r>
              <w:rPr/>
              <w:t>​</w:t>
            </w:r>
          </w:p>
        </w:tc>
        <w:tc>
          <w:tcPr>
            <w:tcW w:w="2430" w:type="dxa"/>
            <w:gridSpan w:val="2"/>
            <w:tcBorders/>
            <w:shd w:fill="auto" w:val="clear"/>
            <w:vAlign w:val="center"/>
          </w:tcPr>
          <w:p>
            <w:pPr>
              <w:pStyle w:val="TableContents"/>
              <w:spacing w:before="0" w:after="0"/>
              <w:ind w:left="0" w:right="0" w:hanging="0"/>
              <w:jc w:val="center"/>
              <w:rPr/>
            </w:pPr>
            <w:r>
              <w:rPr/>
              <w:t>​</w:t>
            </w:r>
          </w:p>
        </w:tc>
        <w:tc>
          <w:tcPr>
            <w:tcW w:w="686" w:type="dxa"/>
            <w:tcBorders/>
            <w:shd w:fill="auto" w:val="clear"/>
            <w:vAlign w:val="center"/>
          </w:tcPr>
          <w:p>
            <w:pPr>
              <w:pStyle w:val="TableContents"/>
              <w:spacing w:before="0" w:after="0"/>
              <w:ind w:left="0" w:right="0" w:hanging="0"/>
              <w:rPr/>
            </w:pPr>
            <w:r>
              <w:rPr/>
              <w:t>​</w:t>
            </w:r>
          </w:p>
        </w:tc>
        <w:tc>
          <w:tcPr>
            <w:tcW w:w="3180"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Hedging Adjustment Included in    </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position in which the hedged Item is</w:t>
            </w:r>
          </w:p>
        </w:tc>
        <w:tc>
          <w:tcPr>
            <w:tcW w:w="266" w:type="dxa"/>
            <w:tcBorders/>
            <w:shd w:fill="auto" w:val="clear"/>
            <w:vAlign w:val="center"/>
          </w:tcPr>
          <w:p>
            <w:pPr>
              <w:pStyle w:val="TableContents"/>
              <w:spacing w:before="0" w:after="0"/>
              <w:ind w:left="0" w:right="0" w:hanging="0"/>
              <w:rPr/>
            </w:pPr>
            <w:r>
              <w:rPr/>
              <w:t>​</w:t>
            </w:r>
          </w:p>
        </w:tc>
        <w:tc>
          <w:tcPr>
            <w:tcW w:w="2430"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Carrying Amount of the      </w:t>
            </w:r>
          </w:p>
        </w:tc>
        <w:tc>
          <w:tcPr>
            <w:tcW w:w="686" w:type="dxa"/>
            <w:tcBorders/>
            <w:shd w:fill="auto" w:val="clear"/>
            <w:vAlign w:val="center"/>
          </w:tcPr>
          <w:p>
            <w:pPr>
              <w:pStyle w:val="TableContents"/>
              <w:spacing w:before="0" w:after="0"/>
              <w:ind w:left="0" w:right="0" w:hanging="0"/>
              <w:rPr/>
            </w:pPr>
            <w:r>
              <w:rPr/>
              <w:t>​</w:t>
            </w:r>
          </w:p>
        </w:tc>
        <w:tc>
          <w:tcPr>
            <w:tcW w:w="3180"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 xml:space="preserve">the Carrying Amount of the  </w:t>
            </w:r>
          </w:p>
        </w:tc>
      </w:tr>
      <w:tr>
        <w:trPr/>
        <w:tc>
          <w:tcPr>
            <w:tcW w:w="3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included</w:t>
            </w:r>
          </w:p>
        </w:tc>
        <w:tc>
          <w:tcPr>
            <w:tcW w:w="266" w:type="dxa"/>
            <w:tcBorders/>
            <w:shd w:fill="auto" w:val="clear"/>
            <w:vAlign w:val="center"/>
          </w:tcPr>
          <w:p>
            <w:pPr>
              <w:pStyle w:val="TableContents"/>
              <w:spacing w:before="0" w:after="0"/>
              <w:ind w:left="0" w:right="0" w:hanging="0"/>
              <w:rPr/>
            </w:pPr>
            <w:r>
              <w:rPr/>
              <w:t>   </w:t>
            </w:r>
          </w:p>
        </w:tc>
        <w:tc>
          <w:tcPr>
            <w:tcW w:w="24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Hedged Assets</w:t>
            </w:r>
          </w:p>
        </w:tc>
        <w:tc>
          <w:tcPr>
            <w:tcW w:w="686" w:type="dxa"/>
            <w:tcBorders/>
            <w:shd w:fill="auto" w:val="clear"/>
            <w:vAlign w:val="center"/>
          </w:tcPr>
          <w:p>
            <w:pPr>
              <w:pStyle w:val="TableContents"/>
              <w:spacing w:before="0" w:after="0"/>
              <w:ind w:left="0" w:right="0" w:hanging="0"/>
              <w:rPr/>
            </w:pPr>
            <w:r>
              <w:rPr/>
              <w:t>          </w:t>
            </w:r>
          </w:p>
        </w:tc>
        <w:tc>
          <w:tcPr>
            <w:tcW w:w="3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Hedged Assets </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2023</w:t>
            </w:r>
          </w:p>
        </w:tc>
        <w:tc>
          <w:tcPr>
            <w:tcW w:w="266" w:type="dxa"/>
            <w:tcBorders/>
            <w:shd w:fill="auto" w:val="clear"/>
            <w:vAlign w:val="center"/>
          </w:tcPr>
          <w:p>
            <w:pPr>
              <w:pStyle w:val="TableContents"/>
              <w:spacing w:before="0" w:after="0"/>
              <w:ind w:left="0" w:right="0" w:hanging="0"/>
              <w:rPr/>
            </w:pPr>
            <w:r>
              <w:rPr/>
              <w:t>​</w:t>
            </w:r>
          </w:p>
        </w:tc>
        <w:tc>
          <w:tcPr>
            <w:tcW w:w="578" w:type="dxa"/>
            <w:tcBorders/>
            <w:shd w:fill="auto" w:val="clear"/>
            <w:vAlign w:val="center"/>
          </w:tcPr>
          <w:p>
            <w:pPr>
              <w:pStyle w:val="TableContents"/>
              <w:spacing w:before="0" w:after="0"/>
              <w:ind w:left="0" w:right="0" w:hanging="0"/>
              <w:jc w:val="center"/>
              <w:rPr/>
            </w:pPr>
            <w:r>
              <w:rPr/>
              <w:t>​</w:t>
            </w:r>
          </w:p>
        </w:tc>
        <w:tc>
          <w:tcPr>
            <w:tcW w:w="1852" w:type="dxa"/>
            <w:tcBorders/>
            <w:shd w:fill="auto" w:val="clear"/>
            <w:vAlign w:val="center"/>
          </w:tcPr>
          <w:p>
            <w:pPr>
              <w:pStyle w:val="TableContents"/>
              <w:spacing w:before="0" w:after="0"/>
              <w:ind w:left="0" w:right="0" w:hanging="0"/>
              <w:jc w:val="center"/>
              <w:rPr/>
            </w:pPr>
            <w:r>
              <w:rPr/>
              <w:t>​</w:t>
            </w:r>
          </w:p>
        </w:tc>
        <w:tc>
          <w:tcPr>
            <w:tcW w:w="686" w:type="dxa"/>
            <w:tcBorders/>
            <w:shd w:fill="auto" w:val="clear"/>
            <w:vAlign w:val="center"/>
          </w:tcPr>
          <w:p>
            <w:pPr>
              <w:pStyle w:val="TableContents"/>
              <w:spacing w:before="0" w:after="0"/>
              <w:ind w:left="0" w:right="0" w:hanging="0"/>
              <w:rPr/>
            </w:pPr>
            <w:r>
              <w:rPr/>
              <w:t>​</w:t>
            </w:r>
          </w:p>
        </w:tc>
        <w:tc>
          <w:tcPr>
            <w:tcW w:w="755" w:type="dxa"/>
            <w:tcBorders/>
            <w:shd w:fill="auto" w:val="clear"/>
            <w:vAlign w:val="center"/>
          </w:tcPr>
          <w:p>
            <w:pPr>
              <w:pStyle w:val="TableContents"/>
              <w:spacing w:before="0" w:after="0"/>
              <w:ind w:left="0" w:right="0" w:hanging="0"/>
              <w:jc w:val="center"/>
              <w:rPr/>
            </w:pPr>
            <w:r>
              <w:rPr/>
              <w:t>​</w:t>
            </w:r>
          </w:p>
        </w:tc>
        <w:tc>
          <w:tcPr>
            <w:tcW w:w="2425" w:type="dxa"/>
            <w:tcBorders/>
            <w:shd w:fill="auto" w:val="clear"/>
            <w:vAlign w:val="center"/>
          </w:tcPr>
          <w:p>
            <w:pPr>
              <w:pStyle w:val="TableContents"/>
              <w:spacing w:before="0" w:after="0"/>
              <w:ind w:left="0" w:right="0" w:hanging="0"/>
              <w:jc w:val="center"/>
              <w:rPr/>
            </w:pPr>
            <w:r>
              <w:rPr/>
              <w:t>​</w:t>
            </w:r>
          </w:p>
        </w:tc>
      </w:tr>
      <w:tr>
        <w:trPr/>
        <w:tc>
          <w:tcPr>
            <w:tcW w:w="321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Investment securities </w:t>
            </w:r>
            <w:r>
              <w:rPr>
                <w:rFonts w:ascii="Times New Roman;Times;serif" w:hAnsi="Times New Roman;Times;serif"/>
                <w:sz w:val="15"/>
              </w:rPr>
              <w:t>(1)</w:t>
            </w:r>
          </w:p>
        </w:tc>
        <w:tc>
          <w:tcPr>
            <w:tcW w:w="266" w:type="dxa"/>
            <w:tcBorders/>
            <w:shd w:fill="CCEEFF" w:val="clear"/>
            <w:vAlign w:val="center"/>
          </w:tcPr>
          <w:p>
            <w:pPr>
              <w:pStyle w:val="TableContents"/>
              <w:spacing w:before="0" w:after="0"/>
              <w:ind w:left="0" w:right="0" w:hanging="0"/>
              <w:rPr/>
            </w:pPr>
            <w:r>
              <w:rPr/>
              <w:t>​</w:t>
            </w:r>
          </w:p>
        </w:tc>
        <w:tc>
          <w:tcPr>
            <w:tcW w:w="57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57,392</w:t>
            </w:r>
          </w:p>
        </w:tc>
        <w:tc>
          <w:tcPr>
            <w:tcW w:w="686" w:type="dxa"/>
            <w:tcBorders/>
            <w:shd w:fill="CCEEFF" w:val="clear"/>
            <w:vAlign w:val="center"/>
          </w:tcPr>
          <w:p>
            <w:pPr>
              <w:pStyle w:val="TableContents"/>
              <w:spacing w:before="0" w:after="0"/>
              <w:ind w:left="0" w:right="0" w:hanging="0"/>
              <w:rPr/>
            </w:pPr>
            <w:r>
              <w:rPr/>
              <w:t>​</w:t>
            </w:r>
          </w:p>
        </w:tc>
        <w:tc>
          <w:tcPr>
            <w:tcW w:w="75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4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2,608</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w:t>
            </w:r>
          </w:p>
        </w:tc>
        <w:tc>
          <w:tcPr>
            <w:tcW w:w="266" w:type="dxa"/>
            <w:tcBorders/>
            <w:shd w:fill="auto" w:val="clear"/>
            <w:vAlign w:val="center"/>
          </w:tcPr>
          <w:p>
            <w:pPr>
              <w:pStyle w:val="TableContents"/>
              <w:spacing w:before="0" w:after="0"/>
              <w:ind w:left="0" w:right="0" w:hanging="0"/>
              <w:rPr/>
            </w:pPr>
            <w:r>
              <w:rPr/>
              <w:t>​</w:t>
            </w:r>
          </w:p>
        </w:tc>
        <w:tc>
          <w:tcPr>
            <w:tcW w:w="57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57,392</w:t>
            </w:r>
          </w:p>
        </w:tc>
        <w:tc>
          <w:tcPr>
            <w:tcW w:w="686" w:type="dxa"/>
            <w:tcBorders/>
            <w:shd w:fill="auto" w:val="clear"/>
            <w:vAlign w:val="center"/>
          </w:tcPr>
          <w:p>
            <w:pPr>
              <w:pStyle w:val="TableContents"/>
              <w:spacing w:before="0" w:after="0"/>
              <w:ind w:left="0" w:right="0" w:hanging="0"/>
              <w:rPr/>
            </w:pPr>
            <w:r>
              <w:rPr/>
              <w:t>​</w:t>
            </w:r>
          </w:p>
        </w:tc>
        <w:tc>
          <w:tcPr>
            <w:tcW w:w="75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4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2,608</w:t>
            </w:r>
          </w:p>
        </w:tc>
      </w:tr>
      <w:tr>
        <w:trPr/>
        <w:tc>
          <w:tcPr>
            <w:tcW w:w="3211"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578" w:type="dxa"/>
            <w:tcBorders/>
            <w:shd w:fill="CCEEFF" w:val="clear"/>
            <w:vAlign w:val="center"/>
          </w:tcPr>
          <w:p>
            <w:pPr>
              <w:pStyle w:val="TableContents"/>
              <w:spacing w:before="0" w:after="0"/>
              <w:ind w:left="0" w:right="0" w:hanging="0"/>
              <w:rPr/>
            </w:pPr>
            <w:r>
              <w:rPr/>
              <w:t>​</w:t>
            </w:r>
          </w:p>
        </w:tc>
        <w:tc>
          <w:tcPr>
            <w:tcW w:w="1852" w:type="dxa"/>
            <w:tcBorders/>
            <w:shd w:fill="CCEEFF" w:val="clear"/>
            <w:vAlign w:val="center"/>
          </w:tcPr>
          <w:p>
            <w:pPr>
              <w:pStyle w:val="TableContents"/>
              <w:spacing w:before="0" w:after="0"/>
              <w:ind w:left="0" w:right="0" w:hanging="0"/>
              <w:rPr/>
            </w:pPr>
            <w:r>
              <w:rPr/>
              <w:t>​</w:t>
            </w:r>
          </w:p>
        </w:tc>
        <w:tc>
          <w:tcPr>
            <w:tcW w:w="686" w:type="dxa"/>
            <w:tcBorders/>
            <w:shd w:fill="CCEEFF" w:val="clear"/>
            <w:vAlign w:val="center"/>
          </w:tcPr>
          <w:p>
            <w:pPr>
              <w:pStyle w:val="TableContents"/>
              <w:spacing w:before="0" w:after="0"/>
              <w:ind w:left="0" w:right="0" w:hanging="0"/>
              <w:rPr/>
            </w:pPr>
            <w:r>
              <w:rPr/>
              <w:t>​</w:t>
            </w:r>
          </w:p>
        </w:tc>
        <w:tc>
          <w:tcPr>
            <w:tcW w:w="755" w:type="dxa"/>
            <w:tcBorders/>
            <w:shd w:fill="CCEEFF" w:val="clear"/>
            <w:vAlign w:val="center"/>
          </w:tcPr>
          <w:p>
            <w:pPr>
              <w:pStyle w:val="TableContents"/>
              <w:spacing w:before="0" w:after="0"/>
              <w:ind w:left="0" w:right="0" w:hanging="0"/>
              <w:rPr/>
            </w:pPr>
            <w:r>
              <w:rPr/>
              <w:t>​</w:t>
            </w:r>
          </w:p>
        </w:tc>
        <w:tc>
          <w:tcPr>
            <w:tcW w:w="2425" w:type="dxa"/>
            <w:tcBorders/>
            <w:shd w:fill="CCEEFF" w:val="clear"/>
            <w:vAlign w:val="center"/>
          </w:tcPr>
          <w:p>
            <w:pPr>
              <w:pStyle w:val="TableContents"/>
              <w:spacing w:before="0" w:after="0"/>
              <w:ind w:left="0" w:right="0" w:hanging="0"/>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2022</w:t>
            </w:r>
          </w:p>
        </w:tc>
        <w:tc>
          <w:tcPr>
            <w:tcW w:w="266" w:type="dxa"/>
            <w:tcBorders/>
            <w:shd w:fill="auto" w:val="clear"/>
            <w:vAlign w:val="center"/>
          </w:tcPr>
          <w:p>
            <w:pPr>
              <w:pStyle w:val="TableContents"/>
              <w:spacing w:before="0" w:after="0"/>
              <w:ind w:left="0" w:right="0" w:hanging="0"/>
              <w:rPr/>
            </w:pPr>
            <w:r>
              <w:rPr/>
              <w:t>​</w:t>
            </w:r>
          </w:p>
        </w:tc>
        <w:tc>
          <w:tcPr>
            <w:tcW w:w="578" w:type="dxa"/>
            <w:tcBorders/>
            <w:shd w:fill="auto" w:val="clear"/>
            <w:vAlign w:val="center"/>
          </w:tcPr>
          <w:p>
            <w:pPr>
              <w:pStyle w:val="TableContents"/>
              <w:spacing w:before="0" w:after="0"/>
              <w:ind w:left="0" w:right="0" w:hanging="0"/>
              <w:rPr/>
            </w:pPr>
            <w:r>
              <w:rPr/>
              <w:t>​</w:t>
            </w:r>
          </w:p>
        </w:tc>
        <w:tc>
          <w:tcPr>
            <w:tcW w:w="1852"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rPr/>
            </w:pPr>
            <w:r>
              <w:rPr/>
              <w:t>​</w:t>
            </w:r>
          </w:p>
        </w:tc>
        <w:tc>
          <w:tcPr>
            <w:tcW w:w="755" w:type="dxa"/>
            <w:tcBorders/>
            <w:shd w:fill="auto" w:val="clear"/>
            <w:vAlign w:val="center"/>
          </w:tcPr>
          <w:p>
            <w:pPr>
              <w:pStyle w:val="TableContents"/>
              <w:spacing w:before="0" w:after="0"/>
              <w:ind w:left="0" w:right="0" w:hanging="0"/>
              <w:rPr/>
            </w:pPr>
            <w:r>
              <w:rPr/>
              <w:t>​</w:t>
            </w:r>
          </w:p>
        </w:tc>
        <w:tc>
          <w:tcPr>
            <w:tcW w:w="2425" w:type="dxa"/>
            <w:tcBorders/>
            <w:shd w:fill="auto" w:val="clear"/>
            <w:vAlign w:val="center"/>
          </w:tcPr>
          <w:p>
            <w:pPr>
              <w:pStyle w:val="TableContents"/>
              <w:spacing w:before="0" w:after="0"/>
              <w:ind w:left="0" w:right="0" w:hanging="0"/>
              <w:rPr/>
            </w:pPr>
            <w:r>
              <w:rPr/>
              <w:t>​</w:t>
            </w:r>
          </w:p>
        </w:tc>
      </w:tr>
      <w:tr>
        <w:trPr/>
        <w:tc>
          <w:tcPr>
            <w:tcW w:w="321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Investment securities </w:t>
            </w:r>
            <w:r>
              <w:rPr>
                <w:rFonts w:ascii="Times New Roman;Times;serif" w:hAnsi="Times New Roman;Times;serif"/>
                <w:sz w:val="15"/>
              </w:rPr>
              <w:t>(1)</w:t>
            </w:r>
          </w:p>
        </w:tc>
        <w:tc>
          <w:tcPr>
            <w:tcW w:w="266" w:type="dxa"/>
            <w:tcBorders/>
            <w:shd w:fill="CCEEFF" w:val="clear"/>
            <w:vAlign w:val="center"/>
          </w:tcPr>
          <w:p>
            <w:pPr>
              <w:pStyle w:val="TableContents"/>
              <w:spacing w:before="0" w:after="0"/>
              <w:ind w:left="0" w:right="0" w:hanging="0"/>
              <w:rPr/>
            </w:pPr>
            <w:r>
              <w:rPr/>
              <w:t>​</w:t>
            </w:r>
          </w:p>
        </w:tc>
        <w:tc>
          <w:tcPr>
            <w:tcW w:w="57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55,893</w:t>
            </w:r>
          </w:p>
        </w:tc>
        <w:tc>
          <w:tcPr>
            <w:tcW w:w="686" w:type="dxa"/>
            <w:tcBorders/>
            <w:shd w:fill="CCEEFF" w:val="clear"/>
            <w:vAlign w:val="center"/>
          </w:tcPr>
          <w:p>
            <w:pPr>
              <w:pStyle w:val="TableContents"/>
              <w:spacing w:before="0" w:after="0"/>
              <w:ind w:left="0" w:right="0" w:hanging="0"/>
              <w:rPr/>
            </w:pPr>
            <w:r>
              <w:rPr/>
              <w:t>​</w:t>
            </w:r>
          </w:p>
        </w:tc>
        <w:tc>
          <w:tcPr>
            <w:tcW w:w="75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4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4,107</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w:t>
            </w:r>
          </w:p>
        </w:tc>
        <w:tc>
          <w:tcPr>
            <w:tcW w:w="266" w:type="dxa"/>
            <w:tcBorders/>
            <w:shd w:fill="auto" w:val="clear"/>
            <w:vAlign w:val="center"/>
          </w:tcPr>
          <w:p>
            <w:pPr>
              <w:pStyle w:val="TableContents"/>
              <w:spacing w:before="0" w:after="0"/>
              <w:ind w:left="0" w:right="0" w:hanging="0"/>
              <w:rPr/>
            </w:pPr>
            <w:r>
              <w:rPr/>
              <w:t>​</w:t>
            </w:r>
          </w:p>
        </w:tc>
        <w:tc>
          <w:tcPr>
            <w:tcW w:w="57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55,893</w:t>
            </w:r>
          </w:p>
        </w:tc>
        <w:tc>
          <w:tcPr>
            <w:tcW w:w="686" w:type="dxa"/>
            <w:tcBorders/>
            <w:shd w:fill="auto" w:val="clear"/>
            <w:vAlign w:val="center"/>
          </w:tcPr>
          <w:p>
            <w:pPr>
              <w:pStyle w:val="TableContents"/>
              <w:spacing w:before="0" w:after="0"/>
              <w:ind w:left="0" w:right="0" w:hanging="0"/>
              <w:rPr/>
            </w:pPr>
            <w:r>
              <w:rPr/>
              <w:t>​</w:t>
            </w:r>
          </w:p>
        </w:tc>
        <w:tc>
          <w:tcPr>
            <w:tcW w:w="75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425"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4,107</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w:t>
      </w:r>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rPr>
                <w:rFonts w:ascii="Times New Roman;Times;serif" w:hAnsi="Times New Roman;Times;serif"/>
                <w:color w:val="212529"/>
                <w:sz w:val="20"/>
              </w:rPr>
            </w:pPr>
            <w:r>
              <w:rPr>
                <w:rFonts w:ascii="Times New Roman;Times;serif" w:hAnsi="Times New Roman;Times;serif"/>
                <w:color w:val="212529"/>
                <w:sz w:val="20"/>
              </w:rPr>
              <w:t>(1)</w:t>
            </w:r>
          </w:p>
        </w:tc>
        <w:tc>
          <w:tcPr>
            <w:tcW w:w="990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color w:val="212529"/>
                <w:sz w:val="20"/>
              </w:rPr>
              <w:t>These amounts include the amortized cost basis of closed portfolios used in designated hedging relationships in which the hedged item is the last layer expected to be remaining at the end of the hedging relationship.  At March 31, 2023, the amortized cost basis of the closed portfolios used in these hedging relationships was $244.0</w:t>
            </w:r>
            <w:r>
              <w:rPr>
                <w:caps w:val="false"/>
                <w:smallCaps w:val="false"/>
                <w:color w:val="212529"/>
              </w:rPr>
              <w:t xml:space="preserve"> </w:t>
            </w:r>
            <w:r>
              <w:rPr>
                <w:rFonts w:ascii="Times New Roman;Times;serif" w:hAnsi="Times New Roman;Times;serif"/>
                <w:b w:val="false"/>
                <w:i w:val="false"/>
                <w:caps w:val="false"/>
                <w:smallCaps w:val="false"/>
                <w:color w:val="212529"/>
                <w:sz w:val="20"/>
              </w:rPr>
              <w:t>million; the cumulative basis adjustments associated with these hedging relationships was $2.6</w:t>
            </w:r>
            <w:r>
              <w:rPr>
                <w:caps w:val="false"/>
                <w:smallCaps w:val="false"/>
                <w:color w:val="212529"/>
              </w:rPr>
              <w:t xml:space="preserve"> </w:t>
            </w:r>
            <w:r>
              <w:rPr>
                <w:rFonts w:ascii="Times New Roman;Times;serif" w:hAnsi="Times New Roman;Times;serif"/>
                <w:b w:val="false"/>
                <w:i w:val="false"/>
                <w:caps w:val="false"/>
                <w:smallCaps w:val="false"/>
                <w:color w:val="212529"/>
                <w:sz w:val="20"/>
              </w:rPr>
              <w:t>million; and the amounts of the designated hedged items was $60.0</w:t>
            </w:r>
            <w:r>
              <w:rPr>
                <w:caps w:val="false"/>
                <w:smallCaps w:val="false"/>
                <w:color w:val="212529"/>
              </w:rPr>
              <w:t xml:space="preserve"> </w:t>
            </w:r>
            <w:r>
              <w:rPr>
                <w:rFonts w:ascii="Times New Roman;Times;serif" w:hAnsi="Times New Roman;Times;serif"/>
                <w:b w:val="false"/>
                <w:i w:val="false"/>
                <w:caps w:val="false"/>
                <w:smallCaps w:val="false"/>
                <w:color w:val="212529"/>
                <w:sz w:val="20"/>
              </w:rPr>
              <w:t>million.</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tables summarize the Company’s derivative instruments at the dates indicated. The Company has master netting agreements with derivative dealers with which it does business, but reflects gross assets and liabilities as “Other assets” and “Other liabilities,” respectively, on the Consolidated Balance Sheets, as follows:</w:t>
      </w:r>
    </w:p>
    <w:p>
      <w:pPr>
        <w:pStyle w:val="TextBody"/>
        <w:spacing w:before="0" w:after="0"/>
        <w:ind w:left="0" w:right="0" w:hanging="0"/>
        <w:rPr/>
      </w:pPr>
      <w:r>
        <w:rPr/>
        <w:t>​</w:t>
      </w:r>
    </w:p>
    <w:tbl>
      <w:tblPr>
        <w:tblW w:w="8859" w:type="dxa"/>
        <w:jc w:val="left"/>
        <w:tblInd w:w="0" w:type="dxa"/>
        <w:tblCellMar>
          <w:top w:w="0" w:type="dxa"/>
          <w:left w:w="0" w:type="dxa"/>
          <w:bottom w:w="0" w:type="dxa"/>
          <w:right w:w="0" w:type="dxa"/>
        </w:tblCellMar>
      </w:tblPr>
      <w:tblGrid>
        <w:gridCol w:w="5236"/>
        <w:gridCol w:w="326"/>
        <w:gridCol w:w="211"/>
        <w:gridCol w:w="781"/>
        <w:gridCol w:w="326"/>
        <w:gridCol w:w="211"/>
        <w:gridCol w:w="571"/>
        <w:gridCol w:w="326"/>
        <w:gridCol w:w="271"/>
        <w:gridCol w:w="600"/>
      </w:tblGrid>
      <w:tr>
        <w:trPr/>
        <w:tc>
          <w:tcPr>
            <w:tcW w:w="5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00" w:type="dxa"/>
            <w:tcBorders/>
            <w:shd w:fill="auto" w:val="clear"/>
            <w:vAlign w:val="center"/>
          </w:tcPr>
          <w:p>
            <w:pPr>
              <w:pStyle w:val="TableContents"/>
              <w:spacing w:before="0" w:after="0"/>
              <w:ind w:left="0" w:right="0" w:hanging="0"/>
              <w:rPr/>
            </w:pPr>
            <w:r>
              <w:rPr/>
              <w:t>​</w:t>
            </w:r>
          </w:p>
        </w:tc>
      </w:tr>
      <w:tr>
        <w:trPr/>
        <w:tc>
          <w:tcPr>
            <w:tcW w:w="5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97"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r>
      <w:tr>
        <w:trPr/>
        <w:tc>
          <w:tcPr>
            <w:tcW w:w="5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7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 hedges: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Notional</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Asset</w:t>
            </w:r>
          </w:p>
        </w:tc>
        <w:tc>
          <w:tcPr>
            <w:tcW w:w="32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5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 - brokered deposits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4,851</w:t>
            </w:r>
          </w:p>
        </w:tc>
        <w:tc>
          <w:tcPr>
            <w:tcW w:w="326" w:type="dxa"/>
            <w:tcBorders/>
            <w:shd w:fill="CCEEFF" w:val="clear"/>
            <w:vAlign w:val="center"/>
          </w:tcPr>
          <w:p>
            <w:pPr>
              <w:pStyle w:val="TableContents"/>
              <w:spacing w:before="0" w:after="0"/>
              <w:ind w:left="0" w:right="0" w:hanging="0"/>
              <w:jc w:val="center"/>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spacing w:before="0" w:after="0"/>
              <w:ind w:left="0" w:right="0" w:hanging="0"/>
              <w:jc w:val="right"/>
              <w:rPr/>
            </w:pPr>
            <w:r>
              <w:rPr/>
              <w:t>—</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hedges: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71" w:type="dxa"/>
            <w:tcBorders/>
            <w:shd w:fill="auto" w:val="clear"/>
            <w:vAlign w:val="center"/>
          </w:tcPr>
          <w:p>
            <w:pPr>
              <w:pStyle w:val="TableContents"/>
              <w:spacing w:before="0" w:after="0"/>
              <w:ind w:left="0" w:right="0" w:hanging="0"/>
              <w:rPr/>
            </w:pPr>
            <w:r>
              <w:rPr/>
              <w:t>​</w:t>
            </w:r>
          </w:p>
        </w:tc>
        <w:tc>
          <w:tcPr>
            <w:tcW w:w="600" w:type="dxa"/>
            <w:tcBorders/>
            <w:shd w:fill="auto" w:val="clear"/>
            <w:vAlign w:val="center"/>
          </w:tcPr>
          <w:p>
            <w:pPr>
              <w:pStyle w:val="TableContents"/>
              <w:spacing w:before="0" w:after="0"/>
              <w:ind w:left="0" w:right="0" w:hanging="0"/>
              <w:jc w:val="right"/>
              <w:rPr/>
            </w:pPr>
            <w:r>
              <w:rPr/>
              <w:t>​</w:t>
            </w:r>
          </w:p>
        </w:tc>
      </w:tr>
      <w:tr>
        <w:trPr/>
        <w:tc>
          <w:tcPr>
            <w:tcW w:w="5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 - securities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326" w:type="dxa"/>
            <w:tcBorders/>
            <w:shd w:fill="CCEEFF" w:val="clear"/>
            <w:vAlign w:val="center"/>
          </w:tcPr>
          <w:p>
            <w:pPr>
              <w:pStyle w:val="TableContents"/>
              <w:spacing w:before="0" w:after="0"/>
              <w:ind w:left="0" w:right="0" w:hanging="0"/>
              <w:jc w:val="center"/>
              <w:rPr/>
            </w:pPr>
            <w:r>
              <w:rPr/>
              <w:t>​</w:t>
            </w:r>
          </w:p>
        </w:tc>
        <w:tc>
          <w:tcPr>
            <w:tcW w:w="271" w:type="dxa"/>
            <w:tcBorders/>
            <w:shd w:fill="CCEEFF" w:val="clear"/>
            <w:vAlign w:val="center"/>
          </w:tcPr>
          <w:p>
            <w:pPr>
              <w:pStyle w:val="TableContents"/>
              <w:spacing w:before="0" w:after="0"/>
              <w:ind w:left="0" w:right="0" w:hanging="0"/>
              <w:rPr/>
            </w:pPr>
            <w:r>
              <w:rPr/>
              <w:t>​</w:t>
            </w:r>
          </w:p>
        </w:tc>
        <w:tc>
          <w:tcPr>
            <w:tcW w:w="600" w:type="dxa"/>
            <w:tcBorders/>
            <w:shd w:fill="CCEEFF" w:val="clear"/>
            <w:vAlign w:val="center"/>
          </w:tcPr>
          <w:p>
            <w:pPr>
              <w:pStyle w:val="TableContents"/>
              <w:spacing w:before="0" w:after="0"/>
              <w:ind w:left="0" w:right="0" w:hanging="0"/>
              <w:jc w:val="right"/>
              <w:rPr/>
            </w:pPr>
            <w:r>
              <w:rPr/>
              <w:t>—</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Non-hedging derivatives: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71" w:type="dxa"/>
            <w:tcBorders/>
            <w:shd w:fill="auto" w:val="clear"/>
            <w:vAlign w:val="center"/>
          </w:tcPr>
          <w:p>
            <w:pPr>
              <w:pStyle w:val="TableContents"/>
              <w:spacing w:before="0" w:after="0"/>
              <w:ind w:left="0" w:right="0" w:hanging="0"/>
              <w:rPr/>
            </w:pPr>
            <w:r>
              <w:rPr/>
              <w:t>​</w:t>
            </w:r>
          </w:p>
        </w:tc>
        <w:tc>
          <w:tcPr>
            <w:tcW w:w="600" w:type="dxa"/>
            <w:tcBorders/>
            <w:shd w:fill="auto" w:val="clear"/>
            <w:vAlign w:val="center"/>
          </w:tcPr>
          <w:p>
            <w:pPr>
              <w:pStyle w:val="TableContents"/>
              <w:spacing w:before="0" w:after="0"/>
              <w:ind w:left="0" w:right="0" w:hanging="0"/>
              <w:jc w:val="center"/>
              <w:rPr/>
            </w:pPr>
            <w:r>
              <w:rPr/>
              <w:t>​</w:t>
            </w:r>
          </w:p>
        </w:tc>
      </w:tr>
      <w:tr>
        <w:trPr/>
        <w:tc>
          <w:tcPr>
            <w:tcW w:w="5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Fallout adjusted interest rate lock commitments with customers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30,915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600" w:type="dxa"/>
            <w:tcBorders/>
            <w:shd w:fill="CCEEFF" w:val="clear"/>
            <w:vAlign w:val="center"/>
          </w:tcPr>
          <w:p>
            <w:pPr>
              <w:pStyle w:val="TableContents"/>
              <w:spacing w:before="0" w:after="0"/>
              <w:ind w:left="0" w:right="0" w:hanging="0"/>
              <w:jc w:val="right"/>
              <w:rPr/>
            </w:pPr>
            <w:r>
              <w:rPr/>
              <w:t>—</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p>
        </w:tc>
        <w:tc>
          <w:tcPr>
            <w:tcW w:w="6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6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swap positions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Dealer offsets to customer swap positions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600" w:type="dxa"/>
            <w:tcBorders/>
            <w:shd w:fill="CCEEFF"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2566" w:name="Tc_NSaMUaNibkOP-zBJFx-ZJw_9_17"/>
      <w:bookmarkStart w:id="2567" w:name="Tc_N5akIMJ9K0m8fgLkHGJFjQ_9_15"/>
      <w:bookmarkStart w:id="2568" w:name="Tc_8bEBysiNhEGt-UPT33aCmg_9_14"/>
      <w:bookmarkStart w:id="2569" w:name="Tc_IV1e7mmLvEeRXV6bKWkFyQ_9_12"/>
      <w:bookmarkStart w:id="2570" w:name="Tc_iaaZwZ5FXkiz-cswS9VLPw_9_11"/>
      <w:bookmarkStart w:id="2571" w:name="Tc_MmQ3fyzgnkSEz7MnmHlS-w_9_8"/>
      <w:bookmarkStart w:id="2572" w:name="Tc_vfLtik77ckijc4lt-Bju8w_9_6"/>
      <w:bookmarkStart w:id="2573" w:name="Tc_xsepfzeBFEK4Fh3UJz41vA_9_5"/>
      <w:bookmarkStart w:id="2574" w:name="Tc_o9OVvlR-jUyqEDbIYVuleQ_9_2"/>
      <w:bookmarkStart w:id="2575" w:name="Tc_fkRmNZm5FUGToOEYurKAIQ_9_0"/>
      <w:bookmarkStart w:id="2576" w:name="Tc_CHUo6W2q-UGRDiWPIDGHdw_8_0"/>
      <w:bookmarkStart w:id="2577" w:name="Tc_fJm2OrHuY02HeClldXUkNQ_6_17"/>
      <w:bookmarkStart w:id="2578" w:name="Tc_gHhQgfdEW0GWUSS0g_iDOg_6_15"/>
      <w:bookmarkStart w:id="2579" w:name="Tc_rvzErEFgdE-EbVtuCVsflQ_6_14"/>
      <w:bookmarkStart w:id="2580" w:name="Tc_I9rEU9vcaUGl2Xi9QXYAjw_6_12"/>
      <w:bookmarkStart w:id="2581" w:name="Tc_VwkcDIg_6UeTUKMjDfMUrA_6_11"/>
      <w:bookmarkStart w:id="2582" w:name="Tc_50Kx8SieZUelbLLSEn2kzA_6_8"/>
      <w:bookmarkStart w:id="2583" w:name="Tc_KUF9AnLj9ESa7_UcvEln2g_6_6"/>
      <w:bookmarkStart w:id="2584" w:name="Tc_bdQWADYmFEKuCbWnbn0aaw_6_5"/>
      <w:bookmarkStart w:id="2585" w:name="Tc_nvTjhqXjT0OvRpORkNLHzw_6_2"/>
      <w:bookmarkStart w:id="2586" w:name="Tc_BpXrtCmVBEipqDgjowwtJA_6_0"/>
      <w:bookmarkStart w:id="2587" w:name="Tc_NAiZMwuXLUetWoWVYssJdA_5_0"/>
      <w:bookmarkStart w:id="2588" w:name="Tc_Rgsgl05EP0qsuzlJP15FYQ_4_17"/>
      <w:bookmarkStart w:id="2589" w:name="Tc_UgeKmLu_TEiAZU0NffOq1g_4_14"/>
      <w:bookmarkStart w:id="2590" w:name="Tc_EwmzWfVd9kusM_0SX6nbUw_4_11"/>
      <w:bookmarkStart w:id="2591" w:name="Tc_tIwDeVoWJEaRNmcsVg1vOg_4_8"/>
      <w:bookmarkStart w:id="2592" w:name="Tc_1LxNuJX_9E-TZ78gBH2lPA_4_5"/>
      <w:bookmarkStart w:id="2593" w:name="Tc_w1QsMhObW0-9k-qtXcjuQg_4_2"/>
      <w:bookmarkStart w:id="2594" w:name="Tc__w0HmcCMZ0SYy8dZqnmnFw_4_0"/>
      <w:bookmarkStart w:id="2595" w:name="Tc_jxHiCJP3XEq5tjUh08DtDA_3_14"/>
      <w:bookmarkStart w:id="2596" w:name="Tc_YCWJRFKWzEm-7AIq4JPVRQ_3_11"/>
      <w:bookmarkStart w:id="2597" w:name="Tc_oWY1pnx52EuyD5OilfXwqw_3_8"/>
      <w:bookmarkStart w:id="2598" w:name="Tc_Z9KYschmtEKN5AqavUKVrg_3_5"/>
      <w:bookmarkStart w:id="2599" w:name="Tc_EDyXhqgFlUuRUcDIQWp5dg_3_2"/>
      <w:bookmarkStart w:id="2600" w:name="Tc_tkPSPvhslUGKp0Vwnu0SDA_2_11"/>
      <w:bookmarkStart w:id="2601" w:name="Tc_elMeZCLIgE-_Ix329s7aIg_2_8"/>
      <w:bookmarkStart w:id="2602" w:name="Tc_8w7M39MXAUm3Bc9x5jQGXA_2_5"/>
      <w:bookmarkStart w:id="2603" w:name="Tc_X4irMJDhdkOITNtg9DgQnA_2_2"/>
      <w:bookmarkStart w:id="2604" w:name="Tc_h-PGALWKtku7GKG82YeemQ_1_11"/>
      <w:bookmarkStart w:id="2605" w:name="Tc_SUR_YS8j0kO3FlwJiRv7OQ_1_8"/>
      <w:bookmarkStart w:id="2606" w:name="Tc_UuzeLVAl20WsbnJQQtQrkQ_1_5"/>
      <w:bookmarkStart w:id="2607" w:name="Tc_vtbAJIBG80OduhCFyuHY-A_15_12"/>
      <w:bookmarkStart w:id="2608" w:name="Tc_SrFcbfjnJ0qWKNZnQNGz-g_15_11"/>
      <w:bookmarkStart w:id="2609" w:name="Tc_HPA6rXAdA0G5DOmMbH_AbQ_15_8"/>
      <w:bookmarkStart w:id="2610" w:name="Tc_7CnpVmA0XEegxxiEpV3huw_15_6"/>
      <w:bookmarkStart w:id="2611" w:name="Tc_RAWXBI1GcUuGMRO0JbkpQQ_15_5"/>
      <w:bookmarkStart w:id="2612" w:name="Tc_foIAYSxXn0GdeNuzO53IJA_15_2"/>
      <w:bookmarkStart w:id="2613" w:name="Tc__I879YbKM0WhPNA5KyA6Nw_15_0"/>
      <w:bookmarkStart w:id="2614" w:name="Tc_KsyOFmqRKkm0LFacmG5gJQ_14_12"/>
      <w:bookmarkStart w:id="2615" w:name="Tc_UDsjE-x6UEyctLJulnH2Aw_14_11"/>
      <w:bookmarkStart w:id="2616" w:name="Tc_GVm_NiAnNEWhRXeuMdWE0g_14_8"/>
      <w:bookmarkStart w:id="2617" w:name="Tc_9NdUav8U4064Trqi4bR1Vg_14_6"/>
      <w:bookmarkStart w:id="2618" w:name="Tc_dP7pLxjLLkGmWmHzRtQ-OQ_14_5"/>
      <w:bookmarkStart w:id="2619" w:name="Tc_i4AcP7JWEEmfOYLToy_doA_14_2"/>
      <w:bookmarkStart w:id="2620" w:name="Tc_lYUwql8YAUenvod1U2WHVQ_14_0"/>
      <w:bookmarkStart w:id="2621" w:name="Tc_OU-kelVGIkOb-PP7cggYCQ_13_0"/>
      <w:bookmarkStart w:id="2622" w:name="Tc_ImtaiIMMdE64_XE06G0omQ_12_0"/>
      <w:bookmarkStart w:id="2623" w:name="Tc_gI5acFS0oky-A-j_yOKJNw_11_12"/>
      <w:bookmarkStart w:id="2624" w:name="Tc_s0Kzm_m5k0ygYO_PVrf2vw_11_11"/>
      <w:bookmarkStart w:id="2625" w:name="Tc_zVO87b8HkkuIx_GN5jXz1w_11_9"/>
      <w:bookmarkStart w:id="2626" w:name="Tc_gD5i2sT4Nku6eOygjcWp4Q_11_8"/>
      <w:bookmarkStart w:id="2627" w:name="Tc_n0akBklsh0e1aApCo2no0A_11_5"/>
      <w:bookmarkStart w:id="2628" w:name="Tc_4LCxW1Ucw0K_lWAlOJddpQ_11_3"/>
      <w:bookmarkStart w:id="2629" w:name="Tc_mXTD5bN5-0ensILWa35kEg_11_2"/>
      <w:bookmarkStart w:id="2630" w:name="Tc_pSq4V79p6Uq7BHohK0dWkg_11_0"/>
      <w:bookmarkStart w:id="2631" w:name="Tc_oPkckGHsNEKBWwInxXSn3w_10_12"/>
      <w:bookmarkStart w:id="2632" w:name="Tc_3SoHWoVx20OEwTTZj7Y6dQ_10_9"/>
      <w:bookmarkStart w:id="2633" w:name="Tc_K4QB_49_qk63Y_UaxHE6Jg_10_3"/>
      <w:bookmarkStart w:id="2634" w:name="Tc_cs89qEKXmk2Dw6P4iPd29A_10_0"/>
      <w:bookmarkStart w:id="2635" w:name="Tc_CnzjKJdUXUyvt4Cic0cQpg_9_12"/>
      <w:bookmarkStart w:id="2636" w:name="Tc_9wAYtodhlkuMGm4sn4Xdew_9_9"/>
      <w:bookmarkStart w:id="2637" w:name="Tc_uBhVpNj_EEOdR5zJSR6TYQ_9_3"/>
      <w:bookmarkStart w:id="2638" w:name="Tc_OBt1p13WjEmb2QA9LQodmA_9_0"/>
      <w:bookmarkStart w:id="2639" w:name="Tc_6MTobJ_IlkSRLg2RE-V2pw_8_0"/>
      <w:bookmarkStart w:id="2640" w:name="Tc_ia-EQXV_YEqDndo_uuRrGg_7_0"/>
      <w:bookmarkStart w:id="2641" w:name="Tc_NB61k7oiz0Km1T2h7tq-Ng_6_11"/>
      <w:bookmarkStart w:id="2642" w:name="Tc_BD9bMZaNQ0aHjpa3Xfr4ig_6_8"/>
      <w:bookmarkStart w:id="2643" w:name="Tc_-YD9lkX_R0CXIQkI72Qtmw_6_5"/>
      <w:bookmarkStart w:id="2644" w:name="Tc_Y3FLfrK9HUeW6eUk6ckVwA_6_2"/>
      <w:bookmarkStart w:id="2645" w:name="Tc_5D5PQMrukECGkHg5PloEew_6_0"/>
      <w:bookmarkStart w:id="2646" w:name="Tc_klWYdlON3EmEHR48FIZjrw_5_11"/>
      <w:bookmarkStart w:id="2647" w:name="Tc_FZULtocX8E2eqaJR3jhoCg_5_8"/>
      <w:bookmarkStart w:id="2648" w:name="Tc_xZjIWQ_o6Uy2XypwfdpJig_5_5"/>
      <w:bookmarkStart w:id="2649" w:name="Tc_YRDIOh01KEKW2zjc8yRQ5A_5_2"/>
      <w:bookmarkStart w:id="2650" w:name="Tc_aymG_WcVSUuGvyOBOAJXzQ_4_11"/>
      <w:bookmarkStart w:id="2651" w:name="Tc_SBLN7dygTEi3BRZKL29OOQ_4_8"/>
      <w:bookmarkStart w:id="2652" w:name="Tc_rTAjiHKUL0iSYVFj7fkD2A_4_5"/>
      <w:bookmarkStart w:id="2653" w:name="Tc_3nBAW03ppUGrOblSCEZt3g_4_2"/>
      <w:bookmarkStart w:id="2654" w:name="Tc_HQWU0xQuPECm6bAY1LOm1Q_3_11"/>
      <w:bookmarkStart w:id="2655" w:name="Tc_MrkzqtpPRkqCmVxWYqFcBA_3_8"/>
      <w:bookmarkStart w:id="2656" w:name="Tc_CSKNGu4iuEWjMuQFvdevXw_3_5"/>
      <w:bookmarkStart w:id="2657" w:name="Tc_DbmBl_6HmU2atSkPkpBHHA_3_2"/>
      <w:bookmarkStart w:id="2658" w:name="Tc_5MAa5ryEgEaISZsuhFzjZg_2_8"/>
      <w:bookmarkStart w:id="2659" w:name="Tc_yTh8Tz6r40qCTSYB68770w_2_2"/>
      <w:bookmarkStart w:id="2660" w:name="Tc_cSehDQpvsE2hn7-UbtY0rA_1_2"/>
      <w:bookmarkStart w:id="2661" w:name="Tc_3xwBBS7TDES2nIQinPE7eQ_10_9"/>
      <w:bookmarkStart w:id="2662" w:name="Tc_R815b2h0kE-_a2O_lKNeng_10_0"/>
      <w:bookmarkStart w:id="2663" w:name="Tc_l1iYVWsmLkC7haQDlTgXHg_9_6"/>
      <w:bookmarkStart w:id="2664" w:name="Tc_DWL3vR-Zz0qqIoNyFJu1Jw_9_0"/>
      <w:bookmarkStart w:id="2665" w:name="Tc_8VAUBYK3-keAUb9xphW1eQ_8_9"/>
      <w:bookmarkStart w:id="2666" w:name="Tc_y9VyoCdaP0Od2YblBygMDQ_8_0"/>
      <w:bookmarkStart w:id="2667" w:name="Tc_e4JadulokUKrIiiHljH5vw_7_0"/>
      <w:bookmarkStart w:id="2668" w:name="Tc_YORfJzOl_kycPcumue4SHQ_6_9"/>
      <w:bookmarkStart w:id="2669" w:name="Tc_1AGmtGr2_kSUdYqWnQ3d4Q_6_0"/>
      <w:bookmarkStart w:id="2670" w:name="Tc_65YQjJXAaUahsobfXyvIUg_5_0"/>
      <w:bookmarkStart w:id="2671" w:name="Tc_Xptzdka1yki5CQNOjj3H-w_4_9"/>
      <w:bookmarkStart w:id="2672" w:name="Tc_bj3Dzcv6BUuKXB-qegAi8g_4_8"/>
      <w:bookmarkStart w:id="2673" w:name="Tc_-vLa0YIyLk28nE4NWwMVOA_4_5"/>
      <w:bookmarkStart w:id="2674" w:name="Tc_m3f0i97i3kGmo9BHrNwK9g_4_2"/>
      <w:bookmarkStart w:id="2675" w:name="Tc_yrD4lZLcRE2YrACaP2vLgA_4_0"/>
      <w:bookmarkStart w:id="2676" w:name="Tc_2-9elV3KDUq2U1GjqgQrHw_3_8"/>
      <w:bookmarkStart w:id="2677" w:name="Tc_-5OriMbKGEasONQjOSfR3g_3_5"/>
      <w:bookmarkStart w:id="2678" w:name="Tc_PvVBFpYfq0mLIIyc6UaFIg_3_2"/>
      <w:bookmarkStart w:id="2679" w:name="Tc_uX9ecQFj0UaLhnRrpOmZNg_3_0"/>
      <w:bookmarkStart w:id="2680" w:name="Tc_pLtqr_Ajc0ufH1YZP1IQug_2_5"/>
      <w:bookmarkStart w:id="2681" w:name="Tc_6XxLKR9c3E-TXdByfmuMIQ_1_2"/>
      <w:bookmarkStart w:id="2682" w:name="_ea54a542_ce22_4b34_8f43_f022e55b9ca7"/>
      <w:bookmarkStart w:id="2683" w:name="Tc_NSaMUaNibkOP-zBJFx-ZJw_9_17"/>
      <w:bookmarkStart w:id="2684" w:name="Tc_N5akIMJ9K0m8fgLkHGJFjQ_9_15"/>
      <w:bookmarkStart w:id="2685" w:name="Tc_8bEBysiNhEGt-UPT33aCmg_9_14"/>
      <w:bookmarkStart w:id="2686" w:name="Tc_IV1e7mmLvEeRXV6bKWkFyQ_9_12"/>
      <w:bookmarkStart w:id="2687" w:name="Tc_iaaZwZ5FXkiz-cswS9VLPw_9_11"/>
      <w:bookmarkStart w:id="2688" w:name="Tc_MmQ3fyzgnkSEz7MnmHlS-w_9_8"/>
      <w:bookmarkStart w:id="2689" w:name="Tc_vfLtik77ckijc4lt-Bju8w_9_6"/>
      <w:bookmarkStart w:id="2690" w:name="Tc_xsepfzeBFEK4Fh3UJz41vA_9_5"/>
      <w:bookmarkStart w:id="2691" w:name="Tc_o9OVvlR-jUyqEDbIYVuleQ_9_2"/>
      <w:bookmarkStart w:id="2692" w:name="Tc_fkRmNZm5FUGToOEYurKAIQ_9_0"/>
      <w:bookmarkStart w:id="2693" w:name="Tc_CHUo6W2q-UGRDiWPIDGHdw_8_0"/>
      <w:bookmarkStart w:id="2694" w:name="Tc_fJm2OrHuY02HeClldXUkNQ_6_17"/>
      <w:bookmarkStart w:id="2695" w:name="Tc_gHhQgfdEW0GWUSS0g_iDOg_6_15"/>
      <w:bookmarkStart w:id="2696" w:name="Tc_rvzErEFgdE-EbVtuCVsflQ_6_14"/>
      <w:bookmarkStart w:id="2697" w:name="Tc_I9rEU9vcaUGl2Xi9QXYAjw_6_12"/>
      <w:bookmarkStart w:id="2698" w:name="Tc_VwkcDIg_6UeTUKMjDfMUrA_6_11"/>
      <w:bookmarkStart w:id="2699" w:name="Tc_50Kx8SieZUelbLLSEn2kzA_6_8"/>
      <w:bookmarkStart w:id="2700" w:name="Tc_KUF9AnLj9ESa7_UcvEln2g_6_6"/>
      <w:bookmarkStart w:id="2701" w:name="Tc_bdQWADYmFEKuCbWnbn0aaw_6_5"/>
      <w:bookmarkStart w:id="2702" w:name="Tc_nvTjhqXjT0OvRpORkNLHzw_6_2"/>
      <w:bookmarkStart w:id="2703" w:name="Tc_BpXrtCmVBEipqDgjowwtJA_6_0"/>
      <w:bookmarkStart w:id="2704" w:name="Tc_NAiZMwuXLUetWoWVYssJdA_5_0"/>
      <w:bookmarkStart w:id="2705" w:name="Tc_Rgsgl05EP0qsuzlJP15FYQ_4_17"/>
      <w:bookmarkStart w:id="2706" w:name="Tc_UgeKmLu_TEiAZU0NffOq1g_4_14"/>
      <w:bookmarkStart w:id="2707" w:name="Tc_EwmzWfVd9kusM_0SX6nbUw_4_11"/>
      <w:bookmarkStart w:id="2708" w:name="Tc_tIwDeVoWJEaRNmcsVg1vOg_4_8"/>
      <w:bookmarkStart w:id="2709" w:name="Tc_1LxNuJX_9E-TZ78gBH2lPA_4_5"/>
      <w:bookmarkStart w:id="2710" w:name="Tc_w1QsMhObW0-9k-qtXcjuQg_4_2"/>
      <w:bookmarkStart w:id="2711" w:name="Tc__w0HmcCMZ0SYy8dZqnmnFw_4_0"/>
      <w:bookmarkStart w:id="2712" w:name="Tc_jxHiCJP3XEq5tjUh08DtDA_3_14"/>
      <w:bookmarkStart w:id="2713" w:name="Tc_YCWJRFKWzEm-7AIq4JPVRQ_3_11"/>
      <w:bookmarkStart w:id="2714" w:name="Tc_oWY1pnx52EuyD5OilfXwqw_3_8"/>
      <w:bookmarkStart w:id="2715" w:name="Tc_Z9KYschmtEKN5AqavUKVrg_3_5"/>
      <w:bookmarkStart w:id="2716" w:name="Tc_EDyXhqgFlUuRUcDIQWp5dg_3_2"/>
      <w:bookmarkStart w:id="2717" w:name="Tc_tkPSPvhslUGKp0Vwnu0SDA_2_11"/>
      <w:bookmarkStart w:id="2718" w:name="Tc_elMeZCLIgE-_Ix329s7aIg_2_8"/>
      <w:bookmarkStart w:id="2719" w:name="Tc_8w7M39MXAUm3Bc9x5jQGXA_2_5"/>
      <w:bookmarkStart w:id="2720" w:name="Tc_X4irMJDhdkOITNtg9DgQnA_2_2"/>
      <w:bookmarkStart w:id="2721" w:name="Tc_h-PGALWKtku7GKG82YeemQ_1_11"/>
      <w:bookmarkStart w:id="2722" w:name="Tc_SUR_YS8j0kO3FlwJiRv7OQ_1_8"/>
      <w:bookmarkStart w:id="2723" w:name="Tc_UuzeLVAl20WsbnJQQtQrkQ_1_5"/>
      <w:bookmarkStart w:id="2724" w:name="Tc_vtbAJIBG80OduhCFyuHY-A_15_12"/>
      <w:bookmarkStart w:id="2725" w:name="Tc_SrFcbfjnJ0qWKNZnQNGz-g_15_11"/>
      <w:bookmarkStart w:id="2726" w:name="Tc_HPA6rXAdA0G5DOmMbH_AbQ_15_8"/>
      <w:bookmarkStart w:id="2727" w:name="Tc_7CnpVmA0XEegxxiEpV3huw_15_6"/>
      <w:bookmarkStart w:id="2728" w:name="Tc_RAWXBI1GcUuGMRO0JbkpQQ_15_5"/>
      <w:bookmarkStart w:id="2729" w:name="Tc_foIAYSxXn0GdeNuzO53IJA_15_2"/>
      <w:bookmarkStart w:id="2730" w:name="Tc__I879YbKM0WhPNA5KyA6Nw_15_0"/>
      <w:bookmarkStart w:id="2731" w:name="Tc_KsyOFmqRKkm0LFacmG5gJQ_14_12"/>
      <w:bookmarkStart w:id="2732" w:name="Tc_UDsjE-x6UEyctLJulnH2Aw_14_11"/>
      <w:bookmarkStart w:id="2733" w:name="Tc_GVm_NiAnNEWhRXeuMdWE0g_14_8"/>
      <w:bookmarkStart w:id="2734" w:name="Tc_9NdUav8U4064Trqi4bR1Vg_14_6"/>
      <w:bookmarkStart w:id="2735" w:name="Tc_dP7pLxjLLkGmWmHzRtQ-OQ_14_5"/>
      <w:bookmarkStart w:id="2736" w:name="Tc_i4AcP7JWEEmfOYLToy_doA_14_2"/>
      <w:bookmarkStart w:id="2737" w:name="Tc_lYUwql8YAUenvod1U2WHVQ_14_0"/>
      <w:bookmarkStart w:id="2738" w:name="Tc_OU-kelVGIkOb-PP7cggYCQ_13_0"/>
      <w:bookmarkStart w:id="2739" w:name="Tc_ImtaiIMMdE64_XE06G0omQ_12_0"/>
      <w:bookmarkStart w:id="2740" w:name="Tc_gI5acFS0oky-A-j_yOKJNw_11_12"/>
      <w:bookmarkStart w:id="2741" w:name="Tc_s0Kzm_m5k0ygYO_PVrf2vw_11_11"/>
      <w:bookmarkStart w:id="2742" w:name="Tc_zVO87b8HkkuIx_GN5jXz1w_11_9"/>
      <w:bookmarkStart w:id="2743" w:name="Tc_gD5i2sT4Nku6eOygjcWp4Q_11_8"/>
      <w:bookmarkStart w:id="2744" w:name="Tc_n0akBklsh0e1aApCo2no0A_11_5"/>
      <w:bookmarkStart w:id="2745" w:name="Tc_4LCxW1Ucw0K_lWAlOJddpQ_11_3"/>
      <w:bookmarkStart w:id="2746" w:name="Tc_mXTD5bN5-0ensILWa35kEg_11_2"/>
      <w:bookmarkStart w:id="2747" w:name="Tc_pSq4V79p6Uq7BHohK0dWkg_11_0"/>
      <w:bookmarkStart w:id="2748" w:name="Tc_oPkckGHsNEKBWwInxXSn3w_10_12"/>
      <w:bookmarkStart w:id="2749" w:name="Tc_3SoHWoVx20OEwTTZj7Y6dQ_10_9"/>
      <w:bookmarkStart w:id="2750" w:name="Tc_K4QB_49_qk63Y_UaxHE6Jg_10_3"/>
      <w:bookmarkStart w:id="2751" w:name="Tc_cs89qEKXmk2Dw6P4iPd29A_10_0"/>
      <w:bookmarkStart w:id="2752" w:name="Tc_CnzjKJdUXUyvt4Cic0cQpg_9_12"/>
      <w:bookmarkStart w:id="2753" w:name="Tc_9wAYtodhlkuMGm4sn4Xdew_9_9"/>
      <w:bookmarkStart w:id="2754" w:name="Tc_uBhVpNj_EEOdR5zJSR6TYQ_9_3"/>
      <w:bookmarkStart w:id="2755" w:name="Tc_OBt1p13WjEmb2QA9LQodmA_9_0"/>
      <w:bookmarkStart w:id="2756" w:name="Tc_6MTobJ_IlkSRLg2RE-V2pw_8_0"/>
      <w:bookmarkStart w:id="2757" w:name="Tc_ia-EQXV_YEqDndo_uuRrGg_7_0"/>
      <w:bookmarkStart w:id="2758" w:name="Tc_NB61k7oiz0Km1T2h7tq-Ng_6_11"/>
      <w:bookmarkStart w:id="2759" w:name="Tc_BD9bMZaNQ0aHjpa3Xfr4ig_6_8"/>
      <w:bookmarkStart w:id="2760" w:name="Tc_-YD9lkX_R0CXIQkI72Qtmw_6_5"/>
      <w:bookmarkStart w:id="2761" w:name="Tc_Y3FLfrK9HUeW6eUk6ckVwA_6_2"/>
      <w:bookmarkStart w:id="2762" w:name="Tc_5D5PQMrukECGkHg5PloEew_6_0"/>
      <w:bookmarkStart w:id="2763" w:name="Tc_klWYdlON3EmEHR48FIZjrw_5_11"/>
      <w:bookmarkStart w:id="2764" w:name="Tc_FZULtocX8E2eqaJR3jhoCg_5_8"/>
      <w:bookmarkStart w:id="2765" w:name="Tc_xZjIWQ_o6Uy2XypwfdpJig_5_5"/>
      <w:bookmarkStart w:id="2766" w:name="Tc_YRDIOh01KEKW2zjc8yRQ5A_5_2"/>
      <w:bookmarkStart w:id="2767" w:name="Tc_aymG_WcVSUuGvyOBOAJXzQ_4_11"/>
      <w:bookmarkStart w:id="2768" w:name="Tc_SBLN7dygTEi3BRZKL29OOQ_4_8"/>
      <w:bookmarkStart w:id="2769" w:name="Tc_rTAjiHKUL0iSYVFj7fkD2A_4_5"/>
      <w:bookmarkStart w:id="2770" w:name="Tc_3nBAW03ppUGrOblSCEZt3g_4_2"/>
      <w:bookmarkStart w:id="2771" w:name="Tc_HQWU0xQuPECm6bAY1LOm1Q_3_11"/>
      <w:bookmarkStart w:id="2772" w:name="Tc_MrkzqtpPRkqCmVxWYqFcBA_3_8"/>
      <w:bookmarkStart w:id="2773" w:name="Tc_CSKNGu4iuEWjMuQFvdevXw_3_5"/>
      <w:bookmarkStart w:id="2774" w:name="Tc_DbmBl_6HmU2atSkPkpBHHA_3_2"/>
      <w:bookmarkStart w:id="2775" w:name="Tc_5MAa5ryEgEaISZsuhFzjZg_2_8"/>
      <w:bookmarkStart w:id="2776" w:name="Tc_yTh8Tz6r40qCTSYB68770w_2_2"/>
      <w:bookmarkStart w:id="2777" w:name="Tc_cSehDQpvsE2hn7-UbtY0rA_1_2"/>
      <w:bookmarkStart w:id="2778" w:name="Tc_3xwBBS7TDES2nIQinPE7eQ_10_9"/>
      <w:bookmarkStart w:id="2779" w:name="Tc_R815b2h0kE-_a2O_lKNeng_10_0"/>
      <w:bookmarkStart w:id="2780" w:name="Tc_l1iYVWsmLkC7haQDlTgXHg_9_6"/>
      <w:bookmarkStart w:id="2781" w:name="Tc_DWL3vR-Zz0qqIoNyFJu1Jw_9_0"/>
      <w:bookmarkStart w:id="2782" w:name="Tc_8VAUBYK3-keAUb9xphW1eQ_8_9"/>
      <w:bookmarkStart w:id="2783" w:name="Tc_y9VyoCdaP0Od2YblBygMDQ_8_0"/>
      <w:bookmarkStart w:id="2784" w:name="Tc_e4JadulokUKrIiiHljH5vw_7_0"/>
      <w:bookmarkStart w:id="2785" w:name="Tc_YORfJzOl_kycPcumue4SHQ_6_9"/>
      <w:bookmarkStart w:id="2786" w:name="Tc_1AGmtGr2_kSUdYqWnQ3d4Q_6_0"/>
      <w:bookmarkStart w:id="2787" w:name="Tc_65YQjJXAaUahsobfXyvIUg_5_0"/>
      <w:bookmarkStart w:id="2788" w:name="Tc_Xptzdka1yki5CQNOjj3H-w_4_9"/>
      <w:bookmarkStart w:id="2789" w:name="Tc_bj3Dzcv6BUuKXB-qegAi8g_4_8"/>
      <w:bookmarkStart w:id="2790" w:name="Tc_-vLa0YIyLk28nE4NWwMVOA_4_5"/>
      <w:bookmarkStart w:id="2791" w:name="Tc_m3f0i97i3kGmo9BHrNwK9g_4_2"/>
      <w:bookmarkStart w:id="2792" w:name="Tc_yrD4lZLcRE2YrACaP2vLgA_4_0"/>
      <w:bookmarkStart w:id="2793" w:name="Tc_2-9elV3KDUq2U1GjqgQrHw_3_8"/>
      <w:bookmarkStart w:id="2794" w:name="Tc_-5OriMbKGEasONQjOSfR3g_3_5"/>
      <w:bookmarkStart w:id="2795" w:name="Tc_PvVBFpYfq0mLIIyc6UaFIg_3_2"/>
      <w:bookmarkStart w:id="2796" w:name="Tc_uX9ecQFj0UaLhnRrpOmZNg_3_0"/>
      <w:bookmarkStart w:id="2797" w:name="Tc_pLtqr_Ajc0ufH1YZP1IQug_2_5"/>
      <w:bookmarkStart w:id="2798" w:name="Tc_6XxLKR9c3E-TXdByfmuMIQ_1_2"/>
      <w:bookmarkStart w:id="2799" w:name="_ea54a542_ce22_4b34_8f43_f022e55b9ca7"/>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p>
    <w:tbl>
      <w:tblPr>
        <w:tblW w:w="8874" w:type="dxa"/>
        <w:jc w:val="left"/>
        <w:tblInd w:w="0" w:type="dxa"/>
        <w:tblCellMar>
          <w:top w:w="0" w:type="dxa"/>
          <w:left w:w="0" w:type="dxa"/>
          <w:bottom w:w="0" w:type="dxa"/>
          <w:right w:w="0" w:type="dxa"/>
        </w:tblCellMar>
      </w:tblPr>
      <w:tblGrid>
        <w:gridCol w:w="5236"/>
        <w:gridCol w:w="326"/>
        <w:gridCol w:w="211"/>
        <w:gridCol w:w="676"/>
        <w:gridCol w:w="386"/>
        <w:gridCol w:w="211"/>
        <w:gridCol w:w="571"/>
        <w:gridCol w:w="386"/>
        <w:gridCol w:w="277"/>
        <w:gridCol w:w="594"/>
      </w:tblGrid>
      <w:tr>
        <w:trPr/>
        <w:tc>
          <w:tcPr>
            <w:tcW w:w="5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594" w:type="dxa"/>
            <w:tcBorders/>
            <w:shd w:fill="auto" w:val="clear"/>
            <w:vAlign w:val="center"/>
          </w:tcPr>
          <w:p>
            <w:pPr>
              <w:pStyle w:val="TableContents"/>
              <w:spacing w:before="0" w:after="0"/>
              <w:ind w:left="0" w:right="0" w:hanging="0"/>
              <w:rPr/>
            </w:pPr>
            <w:r>
              <w:rPr/>
              <w:t>​</w:t>
            </w:r>
          </w:p>
        </w:tc>
      </w:tr>
      <w:tr>
        <w:trPr/>
        <w:tc>
          <w:tcPr>
            <w:tcW w:w="5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312"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5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203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 hedges:</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Notional</w:t>
            </w:r>
          </w:p>
        </w:tc>
        <w:tc>
          <w:tcPr>
            <w:tcW w:w="38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Asset</w:t>
            </w:r>
          </w:p>
        </w:tc>
        <w:tc>
          <w:tcPr>
            <w:tcW w:w="38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5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 - brokered deposits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5,780</w:t>
            </w:r>
          </w:p>
        </w:tc>
        <w:tc>
          <w:tcPr>
            <w:tcW w:w="38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spacing w:before="0" w:after="0"/>
              <w:ind w:left="0" w:right="0" w:hanging="0"/>
              <w:jc w:val="right"/>
              <w:rPr/>
            </w:pPr>
            <w:r>
              <w:rPr/>
              <w:t>—</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hedges: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86" w:type="dxa"/>
            <w:tcBorders/>
            <w:shd w:fill="auto" w:val="clear"/>
            <w:vAlign w:val="center"/>
          </w:tcPr>
          <w:p>
            <w:pPr>
              <w:pStyle w:val="TableContents"/>
              <w:spacing w:before="0" w:after="0"/>
              <w:ind w:left="0" w:right="0" w:hanging="0"/>
              <w:jc w:val="center"/>
              <w:rPr/>
            </w:pPr>
            <w:r>
              <w:rPr/>
              <w:t>​</w:t>
            </w:r>
          </w:p>
        </w:tc>
        <w:tc>
          <w:tcPr>
            <w:tcW w:w="277" w:type="dxa"/>
            <w:tcBorders/>
            <w:shd w:fill="auto" w:val="clear"/>
            <w:vAlign w:val="center"/>
          </w:tcPr>
          <w:p>
            <w:pPr>
              <w:pStyle w:val="TableContents"/>
              <w:spacing w:before="0" w:after="0"/>
              <w:ind w:left="0" w:right="0" w:hanging="0"/>
              <w:rPr/>
            </w:pPr>
            <w:r>
              <w:rPr/>
              <w:t>​</w:t>
            </w:r>
          </w:p>
        </w:tc>
        <w:tc>
          <w:tcPr>
            <w:tcW w:w="594" w:type="dxa"/>
            <w:tcBorders/>
            <w:shd w:fill="auto" w:val="clear"/>
            <w:vAlign w:val="center"/>
          </w:tcPr>
          <w:p>
            <w:pPr>
              <w:pStyle w:val="TableContents"/>
              <w:spacing w:before="0" w:after="0"/>
              <w:ind w:left="0" w:right="0" w:hanging="0"/>
              <w:jc w:val="right"/>
              <w:rPr/>
            </w:pPr>
            <w:r>
              <w:rPr/>
              <w:t>​</w:t>
            </w:r>
          </w:p>
        </w:tc>
      </w:tr>
      <w:tr>
        <w:trPr/>
        <w:tc>
          <w:tcPr>
            <w:tcW w:w="5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 - securities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8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386" w:type="dxa"/>
            <w:tcBorders/>
            <w:shd w:fill="CCEEFF" w:val="clear"/>
            <w:vAlign w:val="center"/>
          </w:tcPr>
          <w:p>
            <w:pPr>
              <w:pStyle w:val="TableContents"/>
              <w:spacing w:before="0" w:after="0"/>
              <w:ind w:left="0" w:right="0" w:hanging="0"/>
              <w:jc w:val="center"/>
              <w:rPr/>
            </w:pPr>
            <w:r>
              <w:rPr/>
              <w:t>​</w:t>
            </w:r>
          </w:p>
        </w:tc>
        <w:tc>
          <w:tcPr>
            <w:tcW w:w="277" w:type="dxa"/>
            <w:tcBorders/>
            <w:shd w:fill="CCEEFF" w:val="clear"/>
            <w:vAlign w:val="center"/>
          </w:tcPr>
          <w:p>
            <w:pPr>
              <w:pStyle w:val="TableContents"/>
              <w:spacing w:before="0" w:after="0"/>
              <w:ind w:left="0" w:right="0" w:hanging="0"/>
              <w:rPr/>
            </w:pPr>
            <w:r>
              <w:rPr/>
              <w:t>​</w:t>
            </w:r>
          </w:p>
        </w:tc>
        <w:tc>
          <w:tcPr>
            <w:tcW w:w="594" w:type="dxa"/>
            <w:tcBorders/>
            <w:shd w:fill="CCEEFF" w:val="clear"/>
            <w:vAlign w:val="center"/>
          </w:tcPr>
          <w:p>
            <w:pPr>
              <w:pStyle w:val="TableContents"/>
              <w:spacing w:before="0" w:after="0"/>
              <w:ind w:left="0" w:right="0" w:hanging="0"/>
              <w:jc w:val="right"/>
              <w:rPr/>
            </w:pPr>
            <w:r>
              <w:rPr/>
              <w:t>—</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Non-hedging derivatives:</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594" w:type="dxa"/>
            <w:tcBorders/>
            <w:shd w:fill="auto" w:val="clear"/>
            <w:vAlign w:val="center"/>
          </w:tcPr>
          <w:p>
            <w:pPr>
              <w:pStyle w:val="TableContents"/>
              <w:spacing w:before="0" w:after="0"/>
              <w:ind w:left="0" w:right="0" w:hanging="0"/>
              <w:rPr/>
            </w:pPr>
            <w:r>
              <w:rPr/>
              <w:t>​</w:t>
            </w:r>
          </w:p>
        </w:tc>
      </w:tr>
      <w:tr>
        <w:trPr/>
        <w:tc>
          <w:tcPr>
            <w:tcW w:w="5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Fallout adjusted interest rate lock commitments with customers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8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594" w:type="dxa"/>
            <w:tcBorders/>
            <w:shd w:fill="CCEEFF" w:val="clear"/>
            <w:vAlign w:val="center"/>
          </w:tcPr>
          <w:p>
            <w:pPr>
              <w:pStyle w:val="TableContents"/>
              <w:spacing w:before="0" w:after="0"/>
              <w:ind w:left="0" w:right="0" w:hanging="0"/>
              <w:jc w:val="right"/>
              <w:rPr/>
            </w:pPr>
            <w:r>
              <w:rPr/>
              <w:t>—</w:t>
            </w:r>
          </w:p>
        </w:tc>
      </w:tr>
      <w:tr>
        <w:trPr/>
        <w:tc>
          <w:tcPr>
            <w:tcW w:w="5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4,558</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8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5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5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27,000</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8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594" w:type="dxa"/>
            <w:tcBorders/>
            <w:shd w:fill="CCEEFF" w:val="clear"/>
            <w:vAlign w:val="center"/>
          </w:tcPr>
          <w:p>
            <w:pPr>
              <w:pStyle w:val="TableContents"/>
              <w:spacing w:before="0" w:after="0"/>
              <w:ind w:left="0" w:right="60" w:hanging="0"/>
              <w:jc w:val="right"/>
              <w:rPr/>
            </w:pPr>
            <w:r>
              <w:rPr/>
              <w:t>—</w:t>
            </w:r>
          </w:p>
        </w:tc>
      </w:tr>
    </w:tbl>
    <w:p>
      <w:pPr>
        <w:pStyle w:val="TextBody"/>
        <w:spacing w:before="12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effect of fair value and cash flow hedge accounting on the Consolidated Statements of Income for the three months ended March 31, 2023 and 2022:</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911"/>
        <w:gridCol w:w="206"/>
        <w:gridCol w:w="218"/>
        <w:gridCol w:w="593"/>
        <w:gridCol w:w="206"/>
        <w:gridCol w:w="211"/>
        <w:gridCol w:w="691"/>
        <w:gridCol w:w="206"/>
        <w:gridCol w:w="218"/>
        <w:gridCol w:w="593"/>
        <w:gridCol w:w="206"/>
        <w:gridCol w:w="241"/>
        <w:gridCol w:w="705"/>
      </w:tblGrid>
      <w:tr>
        <w:trPr/>
        <w:tc>
          <w:tcPr>
            <w:tcW w:w="591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pPr>
            <w:r>
              <w:rPr/>
              <w:t>​</w:t>
            </w:r>
          </w:p>
        </w:tc>
        <w:tc>
          <w:tcPr>
            <w:tcW w:w="593"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pPr>
            <w:r>
              <w:rPr/>
              <w:t>​</w:t>
            </w:r>
          </w:p>
        </w:tc>
        <w:tc>
          <w:tcPr>
            <w:tcW w:w="593"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rPr/>
            </w:pPr>
            <w:r>
              <w:rPr/>
              <w:t>​</w:t>
            </w:r>
          </w:p>
        </w:tc>
      </w:tr>
      <w:tr>
        <w:trPr/>
        <w:tc>
          <w:tcPr>
            <w:tcW w:w="591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4088"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 </w:t>
            </w:r>
          </w:p>
        </w:tc>
      </w:tr>
      <w:tr>
        <w:trPr/>
        <w:tc>
          <w:tcPr>
            <w:tcW w:w="591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191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206" w:type="dxa"/>
            <w:tcBorders/>
            <w:shd w:fill="auto" w:val="clear"/>
            <w:vAlign w:val="center"/>
          </w:tcPr>
          <w:p>
            <w:pPr>
              <w:pStyle w:val="TableContents"/>
              <w:spacing w:before="0" w:after="0"/>
              <w:ind w:left="0" w:right="0" w:hanging="0"/>
              <w:jc w:val="center"/>
              <w:rPr/>
            </w:pPr>
            <w:r>
              <w:rPr/>
              <w:t>​</w:t>
            </w:r>
          </w:p>
        </w:tc>
        <w:tc>
          <w:tcPr>
            <w:tcW w:w="196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591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81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Interest </w:t>
            </w:r>
          </w:p>
        </w:tc>
        <w:tc>
          <w:tcPr>
            <w:tcW w:w="206" w:type="dxa"/>
            <w:tcBorders/>
            <w:shd w:fill="auto" w:val="clear"/>
            <w:vAlign w:val="center"/>
          </w:tcPr>
          <w:p>
            <w:pPr>
              <w:pStyle w:val="TableContents"/>
              <w:spacing w:before="0" w:after="0"/>
              <w:ind w:left="0" w:right="0" w:hanging="0"/>
              <w:jc w:val="center"/>
              <w:rPr/>
            </w:pPr>
            <w:r>
              <w:rPr/>
              <w:t>​</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Interest </w:t>
            </w:r>
          </w:p>
        </w:tc>
        <w:tc>
          <w:tcPr>
            <w:tcW w:w="206" w:type="dxa"/>
            <w:tcBorders/>
            <w:shd w:fill="auto" w:val="clear"/>
            <w:vAlign w:val="center"/>
          </w:tcPr>
          <w:p>
            <w:pPr>
              <w:pStyle w:val="TableContents"/>
              <w:spacing w:before="0" w:after="0"/>
              <w:ind w:left="0" w:right="0" w:hanging="0"/>
              <w:jc w:val="center"/>
              <w:rPr/>
            </w:pPr>
            <w:r>
              <w:rPr/>
              <w:t>​</w:t>
            </w:r>
          </w:p>
        </w:tc>
        <w:tc>
          <w:tcPr>
            <w:tcW w:w="81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Interest </w:t>
            </w:r>
          </w:p>
        </w:tc>
        <w:tc>
          <w:tcPr>
            <w:tcW w:w="20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Interest </w:t>
            </w:r>
          </w:p>
        </w:tc>
      </w:tr>
      <w:tr>
        <w:trPr/>
        <w:tc>
          <w:tcPr>
            <w:tcW w:w="591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81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Expense</w:t>
            </w:r>
          </w:p>
        </w:tc>
        <w:tc>
          <w:tcPr>
            <w:tcW w:w="206" w:type="dxa"/>
            <w:tcBorders/>
            <w:shd w:fill="auto" w:val="clear"/>
            <w:vAlign w:val="center"/>
          </w:tcPr>
          <w:p>
            <w:pPr>
              <w:pStyle w:val="TableContents"/>
              <w:spacing w:before="0" w:after="0"/>
              <w:ind w:left="0" w:right="0" w:hanging="0"/>
              <w:jc w:val="center"/>
              <w:rPr/>
            </w:pPr>
            <w:r>
              <w:rPr/>
              <w:t>​</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Income</w:t>
            </w:r>
          </w:p>
        </w:tc>
        <w:tc>
          <w:tcPr>
            <w:tcW w:w="206" w:type="dxa"/>
            <w:tcBorders/>
            <w:shd w:fill="auto" w:val="clear"/>
            <w:vAlign w:val="center"/>
          </w:tcPr>
          <w:p>
            <w:pPr>
              <w:pStyle w:val="TableContents"/>
              <w:spacing w:before="0" w:after="0"/>
              <w:ind w:left="0" w:right="0" w:hanging="0"/>
              <w:jc w:val="center"/>
              <w:rPr/>
            </w:pPr>
            <w:r>
              <w:rPr/>
              <w:t>​</w:t>
            </w:r>
          </w:p>
        </w:tc>
        <w:tc>
          <w:tcPr>
            <w:tcW w:w="81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Expense</w:t>
            </w:r>
          </w:p>
        </w:tc>
        <w:tc>
          <w:tcPr>
            <w:tcW w:w="20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Income</w:t>
            </w:r>
          </w:p>
        </w:tc>
      </w:tr>
      <w:tr>
        <w:trPr/>
        <w:tc>
          <w:tcPr>
            <w:tcW w:w="591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8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Deposits</w:t>
            </w:r>
          </w:p>
        </w:tc>
        <w:tc>
          <w:tcPr>
            <w:tcW w:w="20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Securities</w:t>
            </w:r>
          </w:p>
        </w:tc>
        <w:tc>
          <w:tcPr>
            <w:tcW w:w="206" w:type="dxa"/>
            <w:tcBorders/>
            <w:shd w:fill="auto" w:val="clear"/>
            <w:vAlign w:val="center"/>
          </w:tcPr>
          <w:p>
            <w:pPr>
              <w:pStyle w:val="TableContents"/>
              <w:spacing w:before="0" w:after="0"/>
              <w:ind w:left="0" w:right="0" w:hanging="0"/>
              <w:rPr/>
            </w:pPr>
            <w:r>
              <w:rPr/>
              <w:t>  </w:t>
            </w:r>
          </w:p>
        </w:tc>
        <w:tc>
          <w:tcPr>
            <w:tcW w:w="8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Deposits</w:t>
            </w:r>
          </w:p>
        </w:tc>
        <w:tc>
          <w:tcPr>
            <w:tcW w:w="206" w:type="dxa"/>
            <w:tcBorders/>
            <w:shd w:fill="auto" w:val="clear"/>
            <w:vAlign w:val="center"/>
          </w:tcPr>
          <w:p>
            <w:pPr>
              <w:pStyle w:val="TableContents"/>
              <w:spacing w:before="0" w:after="0"/>
              <w:ind w:left="0" w:right="0" w:hanging="0"/>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Securities</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Total amounts presented on the Consolidated Statements of Income</w:t>
            </w:r>
          </w:p>
        </w:tc>
        <w:tc>
          <w:tcPr>
            <w:tcW w:w="20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6,624</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2,620</w:t>
            </w:r>
          </w:p>
        </w:tc>
        <w:tc>
          <w:tcPr>
            <w:tcW w:w="20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20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1,579</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Net gains (losses) on fair value hedging relationships:</w:t>
            </w:r>
          </w:p>
        </w:tc>
        <w:tc>
          <w:tcPr>
            <w:tcW w:w="20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pPr>
            <w:r>
              <w:rPr/>
              <w:t> </w:t>
            </w:r>
          </w:p>
        </w:tc>
        <w:tc>
          <w:tcPr>
            <w:tcW w:w="593"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pPr>
            <w:r>
              <w:rPr/>
              <w:t> </w:t>
            </w:r>
          </w:p>
        </w:tc>
        <w:tc>
          <w:tcPr>
            <w:tcW w:w="593"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 </w:t>
            </w:r>
          </w:p>
        </w:tc>
        <w:tc>
          <w:tcPr>
            <w:tcW w:w="705" w:type="dxa"/>
            <w:tcBorders/>
            <w:shd w:fill="auto" w:val="clear"/>
            <w:vAlign w:val="center"/>
          </w:tcPr>
          <w:p>
            <w:pPr>
              <w:pStyle w:val="TableContents"/>
              <w:spacing w:before="0" w:after="0"/>
              <w:ind w:left="0" w:right="0" w:hanging="0"/>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Interest rate swaps - securities</w:t>
            </w:r>
          </w:p>
        </w:tc>
        <w:tc>
          <w:tcPr>
            <w:tcW w:w="20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pPr>
            <w:r>
              <w:rPr/>
              <w:t>​</w:t>
            </w:r>
          </w:p>
        </w:tc>
        <w:tc>
          <w:tcPr>
            <w:tcW w:w="593"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pPr>
            <w:r>
              <w:rPr/>
              <w:t>​</w:t>
            </w:r>
          </w:p>
        </w:tc>
        <w:tc>
          <w:tcPr>
            <w:tcW w:w="593"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Recognized on hedged items</w:t>
            </w:r>
          </w:p>
        </w:tc>
        <w:tc>
          <w:tcPr>
            <w:tcW w:w="20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pPr>
            <w:r>
              <w:rPr/>
              <w:t>​</w:t>
            </w:r>
          </w:p>
        </w:tc>
        <w:tc>
          <w:tcPr>
            <w:tcW w:w="593"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c>
          <w:tcPr>
            <w:tcW w:w="20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pPr>
            <w:r>
              <w:rPr/>
              <w:t>​</w:t>
            </w:r>
          </w:p>
        </w:tc>
        <w:tc>
          <w:tcPr>
            <w:tcW w:w="593"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Recognized on derivatives designated as hedging instruments</w:t>
            </w:r>
          </w:p>
        </w:tc>
        <w:tc>
          <w:tcPr>
            <w:tcW w:w="206" w:type="dxa"/>
            <w:tcBorders/>
            <w:shd w:fill="CCEEFF" w:val="clear"/>
            <w:vAlign w:val="center"/>
          </w:tcPr>
          <w:p>
            <w:pPr>
              <w:pStyle w:val="TableContents"/>
              <w:spacing w:before="0" w:after="0"/>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206" w:type="dxa"/>
            <w:tcBorders/>
            <w:shd w:fill="CCEEFF" w:val="clear"/>
            <w:vAlign w:val="center"/>
          </w:tcPr>
          <w:p>
            <w:pPr>
              <w:pStyle w:val="TableContents"/>
              <w:spacing w:before="0" w:after="0"/>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Net income recognized on fair value hedges</w:t>
            </w:r>
          </w:p>
        </w:tc>
        <w:tc>
          <w:tcPr>
            <w:tcW w:w="206" w:type="dxa"/>
            <w:tcBorders/>
            <w:shd w:fill="auto" w:val="clear"/>
            <w:vAlign w:val="center"/>
          </w:tcPr>
          <w:p>
            <w:pPr>
              <w:pStyle w:val="TableContents"/>
              <w:spacing w:before="0" w:after="0"/>
              <w:ind w:left="0" w:right="0" w:hanging="0"/>
              <w:rPr/>
            </w:pPr>
            <w:r>
              <w:rPr/>
              <w:t>​</w:t>
            </w:r>
          </w:p>
        </w:tc>
        <w:tc>
          <w:tcPr>
            <w:tcW w:w="21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206" w:type="dxa"/>
            <w:tcBorders/>
            <w:shd w:fill="auto" w:val="clear"/>
            <w:vAlign w:val="center"/>
          </w:tcPr>
          <w:p>
            <w:pPr>
              <w:pStyle w:val="TableContents"/>
              <w:spacing w:before="0" w:after="0"/>
              <w:ind w:left="0" w:right="0" w:hanging="0"/>
              <w:rPr/>
            </w:pPr>
            <w:r>
              <w:rPr/>
              <w:t>​</w:t>
            </w:r>
          </w:p>
        </w:tc>
        <w:tc>
          <w:tcPr>
            <w:tcW w:w="21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Net gain (loss) on cash flow hedging relationships:</w:t>
            </w:r>
          </w:p>
        </w:tc>
        <w:tc>
          <w:tcPr>
            <w:tcW w:w="20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pPr>
            <w:r>
              <w:rPr/>
              <w:t>​</w:t>
            </w:r>
          </w:p>
        </w:tc>
        <w:tc>
          <w:tcPr>
            <w:tcW w:w="593"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218" w:type="dxa"/>
            <w:tcBorders/>
            <w:shd w:fill="CCEEFF" w:val="clear"/>
            <w:vAlign w:val="center"/>
          </w:tcPr>
          <w:p>
            <w:pPr>
              <w:pStyle w:val="TableContents"/>
              <w:spacing w:before="0" w:after="0"/>
              <w:ind w:left="0" w:right="0" w:hanging="0"/>
              <w:rPr/>
            </w:pPr>
            <w:r>
              <w:rPr/>
              <w:t>​</w:t>
            </w:r>
          </w:p>
        </w:tc>
        <w:tc>
          <w:tcPr>
            <w:tcW w:w="593"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Interest rate swaps - brokered deposits and borrowings</w:t>
            </w:r>
          </w:p>
        </w:tc>
        <w:tc>
          <w:tcPr>
            <w:tcW w:w="20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pPr>
            <w:r>
              <w:rPr/>
              <w:t>​</w:t>
            </w:r>
          </w:p>
        </w:tc>
        <w:tc>
          <w:tcPr>
            <w:tcW w:w="593"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8" w:type="dxa"/>
            <w:tcBorders/>
            <w:shd w:fill="auto" w:val="clear"/>
            <w:vAlign w:val="center"/>
          </w:tcPr>
          <w:p>
            <w:pPr>
              <w:pStyle w:val="TableContents"/>
              <w:spacing w:before="0" w:after="0"/>
              <w:ind w:left="0" w:right="0" w:hanging="0"/>
              <w:rPr/>
            </w:pPr>
            <w:r>
              <w:rPr/>
              <w:t>​</w:t>
            </w:r>
          </w:p>
        </w:tc>
        <w:tc>
          <w:tcPr>
            <w:tcW w:w="593"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rPr/>
            </w:pPr>
            <w:r>
              <w:rPr/>
              <w:t>​</w:t>
            </w:r>
          </w:p>
        </w:tc>
      </w:tr>
      <w:tr>
        <w:trPr/>
        <w:tc>
          <w:tcPr>
            <w:tcW w:w="5911" w:type="dxa"/>
            <w:tcBorders/>
            <w:shd w:fill="CCEEFF"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Realized gains (losses) (pre-tax) reclassified from AOCI into net income</w:t>
            </w:r>
          </w:p>
        </w:tc>
        <w:tc>
          <w:tcPr>
            <w:tcW w:w="206" w:type="dxa"/>
            <w:tcBorders/>
            <w:shd w:fill="CCEEFF" w:val="clear"/>
            <w:vAlign w:val="center"/>
          </w:tcPr>
          <w:p>
            <w:pPr>
              <w:pStyle w:val="TableContents"/>
              <w:spacing w:before="0" w:after="0"/>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8"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206" w:type="dxa"/>
            <w:tcBorders/>
            <w:shd w:fill="CCEEFF" w:val="clear"/>
            <w:vAlign w:val="center"/>
          </w:tcPr>
          <w:p>
            <w:pPr>
              <w:pStyle w:val="TableContents"/>
              <w:spacing w:before="0" w:after="0"/>
              <w:ind w:left="0" w:right="0" w:hanging="0"/>
              <w:rPr/>
            </w:pPr>
            <w:r>
              <w:rPr/>
              <w:t>​</w:t>
            </w:r>
          </w:p>
        </w:tc>
        <w:tc>
          <w:tcPr>
            <w:tcW w:w="24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911" w:type="dxa"/>
            <w:tcBorders/>
            <w:shd w:fill="auto" w:val="cle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Net income (expense) recognized on cash flow hedges</w:t>
            </w:r>
          </w:p>
        </w:tc>
        <w:tc>
          <w:tcPr>
            <w:tcW w:w="206" w:type="dxa"/>
            <w:tcBorders/>
            <w:shd w:fill="auto" w:val="clear"/>
            <w:vAlign w:val="center"/>
          </w:tcPr>
          <w:p>
            <w:pPr>
              <w:pStyle w:val="TableContents"/>
              <w:spacing w:before="0" w:after="0"/>
              <w:ind w:left="0" w:right="0" w:hanging="0"/>
              <w:rPr/>
            </w:pPr>
            <w:r>
              <w:rPr/>
              <w:t>​</w:t>
            </w:r>
          </w:p>
        </w:tc>
        <w:tc>
          <w:tcPr>
            <w:tcW w:w="21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206" w:type="dxa"/>
            <w:tcBorders/>
            <w:shd w:fill="auto" w:val="clear"/>
            <w:vAlign w:val="center"/>
          </w:tcPr>
          <w:p>
            <w:pPr>
              <w:pStyle w:val="TableContents"/>
              <w:spacing w:before="0" w:after="0"/>
              <w:ind w:left="0" w:right="0" w:hanging="0"/>
              <w:rPr/>
            </w:pPr>
            <w:r>
              <w:rPr/>
              <w:t>​</w:t>
            </w:r>
          </w:p>
        </w:tc>
        <w:tc>
          <w:tcPr>
            <w:tcW w:w="2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fair value of the non-hedging derivatives recognized in “Noninterest income” on the Consolidated Statements of Income and included in gain on sale of loans resulted in net gains of $424,000 and net losses of $238,000 for the three months ended March 31, 2023 and 2022, respectively.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this table to limit the amount of such collateral to the amount of the related asset or liability for each counter-party.</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122"/>
        <w:gridCol w:w="326"/>
        <w:gridCol w:w="324"/>
        <w:gridCol w:w="781"/>
        <w:gridCol w:w="206"/>
        <w:gridCol w:w="438"/>
        <w:gridCol w:w="756"/>
        <w:gridCol w:w="206"/>
        <w:gridCol w:w="410"/>
        <w:gridCol w:w="1042"/>
        <w:gridCol w:w="206"/>
        <w:gridCol w:w="331"/>
        <w:gridCol w:w="585"/>
        <w:gridCol w:w="233"/>
        <w:gridCol w:w="377"/>
        <w:gridCol w:w="667"/>
        <w:gridCol w:w="233"/>
        <w:gridCol w:w="230"/>
        <w:gridCol w:w="732"/>
      </w:tblGrid>
      <w:tr>
        <w:trPr/>
        <w:tc>
          <w:tcPr>
            <w:tcW w:w="21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47470" cy="175260"/>
                      <wp:effectExtent l="0" t="0" r="0" b="0"/>
                      <wp:wrapNone/>
                      <wp:docPr id="493" name="Frame493"/>
                      <a:graphic xmlns:a="http://schemas.openxmlformats.org/drawingml/2006/main">
                        <a:graphicData uri="http://schemas.microsoft.com/office/word/2010/wordprocessingShape">
                          <wps:wsp>
                            <wps:cNvSpPr txBox="1"/>
                            <wps:spPr>
                              <a:xfrm>
                                <a:off x="0" y="0"/>
                                <a:ext cx="13474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4" name="Frame4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5740" cy="175260"/>
                      <wp:effectExtent l="0" t="0" r="0" b="0"/>
                      <wp:wrapNone/>
                      <wp:docPr id="495" name="Frame495"/>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95935" cy="175260"/>
                      <wp:effectExtent l="0" t="0" r="0" b="0"/>
                      <wp:wrapNone/>
                      <wp:docPr id="496" name="Frame49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0810" cy="175260"/>
                      <wp:effectExtent l="0" t="0" r="0" b="0"/>
                      <wp:wrapNone/>
                      <wp:docPr id="497" name="Frame49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78130" cy="175260"/>
                      <wp:effectExtent l="0" t="0" r="0" b="0"/>
                      <wp:wrapNone/>
                      <wp:docPr id="498" name="Frame498"/>
                      <a:graphic xmlns:a="http://schemas.openxmlformats.org/drawingml/2006/main">
                        <a:graphicData uri="http://schemas.microsoft.com/office/word/2010/wordprocessingShape">
                          <wps:wsp>
                            <wps:cNvSpPr txBox="1"/>
                            <wps:spPr>
                              <a:xfrm>
                                <a:off x="0" y="0"/>
                                <a:ext cx="278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80060" cy="175260"/>
                      <wp:effectExtent l="0" t="0" r="0" b="0"/>
                      <wp:wrapNone/>
                      <wp:docPr id="499" name="Frame499"/>
                      <a:graphic xmlns:a="http://schemas.openxmlformats.org/drawingml/2006/main">
                        <a:graphicData uri="http://schemas.microsoft.com/office/word/2010/wordprocessingShape">
                          <wps:wsp>
                            <wps:cNvSpPr txBox="1"/>
                            <wps:spPr>
                              <a:xfrm>
                                <a:off x="0" y="0"/>
                                <a:ext cx="480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0810" cy="175260"/>
                      <wp:effectExtent l="0" t="0" r="0" b="0"/>
                      <wp:wrapNone/>
                      <wp:docPr id="500" name="Frame50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60350" cy="175260"/>
                      <wp:effectExtent l="0" t="0" r="0" b="0"/>
                      <wp:wrapNone/>
                      <wp:docPr id="501" name="Frame501"/>
                      <a:graphic xmlns:a="http://schemas.openxmlformats.org/drawingml/2006/main">
                        <a:graphicData uri="http://schemas.microsoft.com/office/word/2010/wordprocessingShape">
                          <wps:wsp>
                            <wps:cNvSpPr txBox="1"/>
                            <wps:spPr>
                              <a:xfrm>
                                <a:off x="0" y="0"/>
                                <a:ext cx="260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61670" cy="175260"/>
                      <wp:effectExtent l="0" t="0" r="0" b="0"/>
                      <wp:wrapNone/>
                      <wp:docPr id="502" name="Frame502"/>
                      <a:graphic xmlns:a="http://schemas.openxmlformats.org/drawingml/2006/main">
                        <a:graphicData uri="http://schemas.microsoft.com/office/word/2010/wordprocessingShape">
                          <wps:wsp>
                            <wps:cNvSpPr txBox="1"/>
                            <wps:spPr>
                              <a:xfrm>
                                <a:off x="0" y="0"/>
                                <a:ext cx="661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0810" cy="175260"/>
                      <wp:effectExtent l="0" t="0" r="0" b="0"/>
                      <wp:wrapNone/>
                      <wp:docPr id="503" name="Frame50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0185" cy="175260"/>
                      <wp:effectExtent l="0" t="0" r="0" b="0"/>
                      <wp:wrapNone/>
                      <wp:docPr id="504" name="Frame504"/>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371475" cy="175260"/>
                      <wp:effectExtent l="0" t="0" r="0" b="0"/>
                      <wp:wrapNone/>
                      <wp:docPr id="505" name="Frame505"/>
                      <a:graphic xmlns:a="http://schemas.openxmlformats.org/drawingml/2006/main">
                        <a:graphicData uri="http://schemas.microsoft.com/office/word/2010/wordprocessingShape">
                          <wps:wsp>
                            <wps:cNvSpPr txBox="1"/>
                            <wps:spPr>
                              <a:xfrm>
                                <a:off x="0" y="0"/>
                                <a:ext cx="371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47955" cy="175260"/>
                      <wp:effectExtent l="0" t="0" r="0" b="0"/>
                      <wp:wrapNone/>
                      <wp:docPr id="506" name="Frame506"/>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39395" cy="175260"/>
                      <wp:effectExtent l="0" t="0" r="0" b="0"/>
                      <wp:wrapNone/>
                      <wp:docPr id="507" name="Frame507"/>
                      <a:graphic xmlns:a="http://schemas.openxmlformats.org/drawingml/2006/main">
                        <a:graphicData uri="http://schemas.microsoft.com/office/word/2010/wordprocessingShape">
                          <wps:wsp>
                            <wps:cNvSpPr txBox="1"/>
                            <wps:spPr>
                              <a:xfrm>
                                <a:off x="0" y="0"/>
                                <a:ext cx="2393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23545" cy="175260"/>
                      <wp:effectExtent l="0" t="0" r="0" b="0"/>
                      <wp:wrapNone/>
                      <wp:docPr id="508" name="Frame508"/>
                      <a:graphic xmlns:a="http://schemas.openxmlformats.org/drawingml/2006/main">
                        <a:graphicData uri="http://schemas.microsoft.com/office/word/2010/wordprocessingShape">
                          <wps:wsp>
                            <wps:cNvSpPr txBox="1"/>
                            <wps:spPr>
                              <a:xfrm>
                                <a:off x="0" y="0"/>
                                <a:ext cx="423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47955" cy="175260"/>
                      <wp:effectExtent l="0" t="0" r="0" b="0"/>
                      <wp:wrapNone/>
                      <wp:docPr id="509" name="Frame509"/>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46050" cy="175260"/>
                      <wp:effectExtent l="0" t="0" r="0" b="0"/>
                      <wp:wrapNone/>
                      <wp:docPr id="510" name="Frame510"/>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64820" cy="175260"/>
                      <wp:effectExtent l="0" t="0" r="0" b="0"/>
                      <wp:wrapNone/>
                      <wp:docPr id="511" name="Frame511"/>
                      <a:graphic xmlns:a="http://schemas.openxmlformats.org/drawingml/2006/main">
                        <a:graphicData uri="http://schemas.microsoft.com/office/word/2010/wordprocessingShape">
                          <wps:wsp>
                            <wps:cNvSpPr txBox="1"/>
                            <wps:spPr>
                              <a:xfrm>
                                <a:off x="0" y="0"/>
                                <a:ext cx="464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194"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Gross Amounts </w:t>
            </w:r>
          </w:p>
        </w:tc>
        <w:tc>
          <w:tcPr>
            <w:tcW w:w="206" w:type="dxa"/>
            <w:tcBorders/>
            <w:shd w:fill="auto" w:val="clear"/>
            <w:vAlign w:val="center"/>
          </w:tcPr>
          <w:p>
            <w:pPr>
              <w:pStyle w:val="TableContents"/>
              <w:spacing w:before="0" w:after="0"/>
              <w:ind w:left="0" w:right="0" w:hanging="0"/>
              <w:rPr/>
            </w:pPr>
            <w:r>
              <w:rPr/>
              <w:t>​</w:t>
            </w:r>
          </w:p>
        </w:tc>
        <w:tc>
          <w:tcPr>
            <w:tcW w:w="1452"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Net Amounts of Assets</w:t>
            </w:r>
          </w:p>
        </w:tc>
        <w:tc>
          <w:tcPr>
            <w:tcW w:w="206" w:type="dxa"/>
            <w:tcBorders/>
            <w:shd w:fill="auto" w:val="clear"/>
            <w:vAlign w:val="center"/>
          </w:tcPr>
          <w:p>
            <w:pPr>
              <w:pStyle w:val="TableContents"/>
              <w:spacing w:before="0" w:after="0"/>
              <w:ind w:left="0" w:right="0" w:hanging="0"/>
              <w:rPr/>
            </w:pPr>
            <w:r>
              <w:rPr/>
              <w:t>​</w:t>
            </w:r>
          </w:p>
        </w:tc>
        <w:tc>
          <w:tcPr>
            <w:tcW w:w="3388" w:type="dxa"/>
            <w:gridSpan w:val="8"/>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Gross Amounts Not Offset </w:t>
            </w:r>
          </w:p>
        </w:tc>
      </w:tr>
      <w:tr>
        <w:trPr/>
        <w:tc>
          <w:tcPr>
            <w:tcW w:w="21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05"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Gross Amounts</w:t>
            </w:r>
          </w:p>
        </w:tc>
        <w:tc>
          <w:tcPr>
            <w:tcW w:w="206" w:type="dxa"/>
            <w:tcBorders/>
            <w:shd w:fill="auto" w:val="clear"/>
            <w:vAlign w:val="center"/>
          </w:tcPr>
          <w:p>
            <w:pPr>
              <w:pStyle w:val="TableContents"/>
              <w:spacing w:before="0" w:after="0"/>
              <w:ind w:left="0" w:right="0" w:hanging="0"/>
              <w:rPr/>
            </w:pPr>
            <w:r>
              <w:rPr/>
              <w:t>​</w:t>
            </w:r>
          </w:p>
        </w:tc>
        <w:tc>
          <w:tcPr>
            <w:tcW w:w="1194"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Offset in the</w:t>
            </w:r>
          </w:p>
        </w:tc>
        <w:tc>
          <w:tcPr>
            <w:tcW w:w="206" w:type="dxa"/>
            <w:tcBorders/>
            <w:shd w:fill="auto" w:val="clear"/>
            <w:vAlign w:val="center"/>
          </w:tcPr>
          <w:p>
            <w:pPr>
              <w:pStyle w:val="TableContents"/>
              <w:spacing w:before="0" w:after="0"/>
              <w:ind w:left="0" w:right="0" w:hanging="0"/>
              <w:rPr/>
            </w:pPr>
            <w:r>
              <w:rPr/>
              <w:t>​</w:t>
            </w:r>
          </w:p>
        </w:tc>
        <w:tc>
          <w:tcPr>
            <w:tcW w:w="1452"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Presented in the</w:t>
            </w:r>
          </w:p>
        </w:tc>
        <w:tc>
          <w:tcPr>
            <w:tcW w:w="206" w:type="dxa"/>
            <w:tcBorders/>
            <w:shd w:fill="auto" w:val="clear"/>
            <w:vAlign w:val="center"/>
          </w:tcPr>
          <w:p>
            <w:pPr>
              <w:pStyle w:val="TableContents"/>
              <w:spacing w:before="0" w:after="0"/>
              <w:ind w:left="0" w:right="0" w:hanging="0"/>
              <w:rPr/>
            </w:pPr>
            <w:r>
              <w:rPr/>
              <w:t>​</w:t>
            </w:r>
          </w:p>
        </w:tc>
        <w:tc>
          <w:tcPr>
            <w:tcW w:w="338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in the Statement of Financial Position</w:t>
            </w:r>
          </w:p>
        </w:tc>
      </w:tr>
      <w:tr>
        <w:trPr/>
        <w:tc>
          <w:tcPr>
            <w:tcW w:w="212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05"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of Recognized</w:t>
            </w:r>
          </w:p>
        </w:tc>
        <w:tc>
          <w:tcPr>
            <w:tcW w:w="206" w:type="dxa"/>
            <w:tcBorders/>
            <w:shd w:fill="auto" w:val="clear"/>
            <w:vAlign w:val="center"/>
          </w:tcPr>
          <w:p>
            <w:pPr>
              <w:pStyle w:val="TableContents"/>
              <w:spacing w:before="0" w:after="0"/>
              <w:ind w:left="0" w:right="0" w:hanging="0"/>
              <w:rPr/>
            </w:pPr>
            <w:r>
              <w:rPr/>
              <w:t>​</w:t>
            </w:r>
          </w:p>
        </w:tc>
        <w:tc>
          <w:tcPr>
            <w:tcW w:w="1194"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Statement of</w:t>
            </w:r>
          </w:p>
        </w:tc>
        <w:tc>
          <w:tcPr>
            <w:tcW w:w="206" w:type="dxa"/>
            <w:tcBorders/>
            <w:shd w:fill="auto" w:val="clear"/>
            <w:vAlign w:val="center"/>
          </w:tcPr>
          <w:p>
            <w:pPr>
              <w:pStyle w:val="TableContents"/>
              <w:spacing w:before="0" w:after="0"/>
              <w:ind w:left="0" w:right="0" w:hanging="0"/>
              <w:rPr/>
            </w:pPr>
            <w:r>
              <w:rPr/>
              <w:t>​</w:t>
            </w:r>
          </w:p>
        </w:tc>
        <w:tc>
          <w:tcPr>
            <w:tcW w:w="1452"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Statement of</w:t>
            </w:r>
          </w:p>
        </w:tc>
        <w:tc>
          <w:tcPr>
            <w:tcW w:w="206" w:type="dxa"/>
            <w:tcBorders/>
            <w:shd w:fill="auto" w:val="clear"/>
            <w:vAlign w:val="center"/>
          </w:tcPr>
          <w:p>
            <w:pPr>
              <w:pStyle w:val="TableContents"/>
              <w:spacing w:before="0" w:after="0"/>
              <w:ind w:left="0" w:right="0" w:hanging="0"/>
              <w:rPr/>
            </w:pPr>
            <w:r>
              <w:rPr/>
              <w:t>​</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Financial</w:t>
            </w:r>
          </w:p>
        </w:tc>
        <w:tc>
          <w:tcPr>
            <w:tcW w:w="233" w:type="dxa"/>
            <w:tcBorders/>
            <w:shd w:fill="auto" w:val="clear"/>
            <w:vAlign w:val="center"/>
          </w:tcPr>
          <w:p>
            <w:pPr>
              <w:pStyle w:val="TableContents"/>
              <w:spacing w:before="0" w:after="0"/>
              <w:ind w:left="0" w:right="0" w:hanging="0"/>
              <w:rPr/>
            </w:pPr>
            <w:r>
              <w:rPr/>
              <w:t>​</w:t>
            </w:r>
          </w:p>
        </w:tc>
        <w:tc>
          <w:tcPr>
            <w:tcW w:w="1044"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Cash Collateral</w:t>
            </w:r>
          </w:p>
        </w:tc>
        <w:tc>
          <w:tcPr>
            <w:tcW w:w="233" w:type="dxa"/>
            <w:tcBorders/>
            <w:shd w:fill="auto" w:val="clear"/>
            <w:vAlign w:val="center"/>
          </w:tcPr>
          <w:p>
            <w:pPr>
              <w:pStyle w:val="TableContents"/>
              <w:spacing w:before="0" w:after="0"/>
              <w:ind w:left="0" w:right="0" w:hanging="0"/>
              <w:rPr/>
            </w:pPr>
            <w:r>
              <w:rPr/>
              <w:t>​</w:t>
            </w:r>
          </w:p>
        </w:tc>
        <w:tc>
          <w:tcPr>
            <w:tcW w:w="962" w:type="dxa"/>
            <w:gridSpan w:val="2"/>
            <w:tcBorders/>
            <w:shd w:fill="auto" w:val="clear"/>
            <w:vAlign w:val="center"/>
          </w:tcPr>
          <w:p>
            <w:pPr>
              <w:pStyle w:val="TableContents"/>
              <w:spacing w:before="0" w:after="0"/>
              <w:ind w:left="0" w:right="0" w:hanging="0"/>
              <w:jc w:val="center"/>
              <w:rPr/>
            </w:pPr>
            <w:r>
              <w:rPr/>
              <w:t>​</w:t>
            </w:r>
          </w:p>
        </w:tc>
      </w:tr>
      <w:tr>
        <w:trPr/>
        <w:tc>
          <w:tcPr>
            <w:tcW w:w="2122"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Offsetting of derivative assets</w:t>
            </w:r>
          </w:p>
        </w:tc>
        <w:tc>
          <w:tcPr>
            <w:tcW w:w="326" w:type="dxa"/>
            <w:tcBorders/>
            <w:shd w:fill="auto" w:val="clear"/>
            <w:vAlign w:val="center"/>
          </w:tcPr>
          <w:p>
            <w:pPr>
              <w:pStyle w:val="TableContents"/>
              <w:spacing w:before="0" w:after="0"/>
              <w:ind w:left="0" w:right="0" w:hanging="0"/>
              <w:rPr/>
            </w:pPr>
            <w:r>
              <w:rPr/>
              <w:t> </w:t>
            </w:r>
          </w:p>
        </w:tc>
        <w:tc>
          <w:tcPr>
            <w:tcW w:w="11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Assets</w:t>
            </w:r>
          </w:p>
        </w:tc>
        <w:tc>
          <w:tcPr>
            <w:tcW w:w="206" w:type="dxa"/>
            <w:tcBorders/>
            <w:shd w:fill="auto" w:val="clear"/>
            <w:vAlign w:val="center"/>
          </w:tcPr>
          <w:p>
            <w:pPr>
              <w:pStyle w:val="TableContents"/>
              <w:spacing w:before="0" w:after="0"/>
              <w:ind w:left="0" w:right="0" w:hanging="0"/>
              <w:rPr/>
            </w:pPr>
            <w:r>
              <w:rPr/>
              <w:t>  </w:t>
            </w:r>
          </w:p>
        </w:tc>
        <w:tc>
          <w:tcPr>
            <w:tcW w:w="11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Financial Position</w:t>
            </w:r>
          </w:p>
        </w:tc>
        <w:tc>
          <w:tcPr>
            <w:tcW w:w="206" w:type="dxa"/>
            <w:tcBorders/>
            <w:shd w:fill="auto" w:val="clear"/>
            <w:vAlign w:val="center"/>
          </w:tcPr>
          <w:p>
            <w:pPr>
              <w:pStyle w:val="TableContents"/>
              <w:spacing w:before="0" w:after="0"/>
              <w:ind w:left="0" w:right="0" w:hanging="0"/>
              <w:rPr/>
            </w:pPr>
            <w:r>
              <w:rPr/>
              <w:t>  </w:t>
            </w:r>
          </w:p>
        </w:tc>
        <w:tc>
          <w:tcPr>
            <w:tcW w:w="14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Financial Position</w:t>
            </w:r>
          </w:p>
        </w:tc>
        <w:tc>
          <w:tcPr>
            <w:tcW w:w="206" w:type="dxa"/>
            <w:tcBorders/>
            <w:shd w:fill="auto" w:val="clear"/>
            <w:vAlign w:val="center"/>
          </w:tcPr>
          <w:p>
            <w:pPr>
              <w:pStyle w:val="TableContents"/>
              <w:spacing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Instruments</w:t>
            </w:r>
          </w:p>
        </w:tc>
        <w:tc>
          <w:tcPr>
            <w:tcW w:w="233" w:type="dxa"/>
            <w:tcBorders/>
            <w:shd w:fill="auto" w:val="clear"/>
            <w:vAlign w:val="center"/>
          </w:tcPr>
          <w:p>
            <w:pPr>
              <w:pStyle w:val="TableContents"/>
              <w:spacing w:before="0" w:after="0"/>
              <w:ind w:left="0" w:right="0" w:hanging="0"/>
              <w:rPr/>
            </w:pPr>
            <w:r>
              <w:rPr/>
              <w:t>  </w:t>
            </w:r>
          </w:p>
        </w:tc>
        <w:tc>
          <w:tcPr>
            <w:tcW w:w="10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Received</w:t>
            </w:r>
          </w:p>
        </w:tc>
        <w:tc>
          <w:tcPr>
            <w:tcW w:w="233" w:type="dxa"/>
            <w:tcBorders/>
            <w:shd w:fill="auto" w:val="clear"/>
            <w:vAlign w:val="center"/>
          </w:tcPr>
          <w:p>
            <w:pPr>
              <w:pStyle w:val="TableContents"/>
              <w:spacing w:before="0" w:after="0"/>
              <w:ind w:left="0" w:right="0" w:hanging="0"/>
              <w:rPr/>
            </w:pPr>
            <w:r>
              <w:rPr/>
              <w:t>  </w:t>
            </w:r>
          </w:p>
        </w:tc>
        <w:tc>
          <w:tcPr>
            <w:tcW w:w="9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Net Amount</w:t>
            </w:r>
          </w:p>
        </w:tc>
      </w:tr>
      <w:tr>
        <w:trPr/>
        <w:tc>
          <w:tcPr>
            <w:tcW w:w="21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2023</w:t>
            </w:r>
          </w:p>
        </w:tc>
        <w:tc>
          <w:tcPr>
            <w:tcW w:w="326"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jc w:val="center"/>
              <w:rPr/>
            </w:pPr>
            <w:r>
              <w:rPr/>
              <w:t>​</w:t>
            </w:r>
          </w:p>
        </w:tc>
        <w:tc>
          <w:tcPr>
            <w:tcW w:w="781" w:type="dxa"/>
            <w:tcBorders/>
            <w:shd w:fill="CCEEFF" w:val="clear"/>
            <w:vAlign w:val="center"/>
          </w:tcPr>
          <w:p>
            <w:pPr>
              <w:pStyle w:val="TableContents"/>
              <w:spacing w:before="0" w:after="0"/>
              <w:ind w:left="0" w:right="0" w:hanging="0"/>
              <w:jc w:val="center"/>
              <w:rPr/>
            </w:pPr>
            <w:r>
              <w:rPr/>
              <w:t>​</w:t>
            </w:r>
          </w:p>
        </w:tc>
        <w:tc>
          <w:tcPr>
            <w:tcW w:w="206" w:type="dxa"/>
            <w:tcBorders/>
            <w:shd w:fill="CCEEFF" w:val="clear"/>
            <w:vAlign w:val="center"/>
          </w:tcPr>
          <w:p>
            <w:pPr>
              <w:pStyle w:val="TableContents"/>
              <w:spacing w:before="0" w:after="0"/>
              <w:ind w:left="0" w:right="0" w:hanging="0"/>
              <w:rPr/>
            </w:pPr>
            <w:r>
              <w:rPr/>
              <w:t>​</w:t>
            </w:r>
          </w:p>
        </w:tc>
        <w:tc>
          <w:tcPr>
            <w:tcW w:w="438" w:type="dxa"/>
            <w:tcBorders/>
            <w:shd w:fill="CCEEFF" w:val="clear"/>
            <w:vAlign w:val="center"/>
          </w:tcPr>
          <w:p>
            <w:pPr>
              <w:pStyle w:val="TableContents"/>
              <w:spacing w:before="0" w:after="0"/>
              <w:ind w:left="0" w:right="0" w:hanging="0"/>
              <w:jc w:val="center"/>
              <w:rPr/>
            </w:pPr>
            <w:r>
              <w:rPr/>
              <w:t>​</w:t>
            </w:r>
          </w:p>
        </w:tc>
        <w:tc>
          <w:tcPr>
            <w:tcW w:w="756" w:type="dxa"/>
            <w:tcBorders/>
            <w:shd w:fill="CCEEFF" w:val="clear"/>
            <w:vAlign w:val="center"/>
          </w:tcPr>
          <w:p>
            <w:pPr>
              <w:pStyle w:val="TableContents"/>
              <w:spacing w:before="0" w:after="0"/>
              <w:ind w:left="0" w:right="0" w:hanging="0"/>
              <w:jc w:val="center"/>
              <w:rPr/>
            </w:pPr>
            <w:r>
              <w:rPr/>
              <w:t>​</w:t>
            </w:r>
          </w:p>
        </w:tc>
        <w:tc>
          <w:tcPr>
            <w:tcW w:w="206" w:type="dxa"/>
            <w:tcBorders/>
            <w:shd w:fill="CCEEFF" w:val="clear"/>
            <w:vAlign w:val="center"/>
          </w:tcPr>
          <w:p>
            <w:pPr>
              <w:pStyle w:val="TableContents"/>
              <w:spacing w:before="0" w:after="0"/>
              <w:ind w:left="0" w:right="0" w:hanging="0"/>
              <w:rPr/>
            </w:pPr>
            <w:r>
              <w:rPr/>
              <w:t>​</w:t>
            </w:r>
          </w:p>
        </w:tc>
        <w:tc>
          <w:tcPr>
            <w:tcW w:w="410" w:type="dxa"/>
            <w:tcBorders/>
            <w:shd w:fill="CCEEFF" w:val="clear"/>
            <w:vAlign w:val="center"/>
          </w:tcPr>
          <w:p>
            <w:pPr>
              <w:pStyle w:val="TableContents"/>
              <w:spacing w:before="0" w:after="0"/>
              <w:ind w:left="0" w:right="0" w:hanging="0"/>
              <w:jc w:val="center"/>
              <w:rPr/>
            </w:pPr>
            <w:r>
              <w:rPr/>
              <w:t>​</w:t>
            </w:r>
          </w:p>
        </w:tc>
        <w:tc>
          <w:tcPr>
            <w:tcW w:w="1042" w:type="dxa"/>
            <w:tcBorders/>
            <w:shd w:fill="CCEEFF" w:val="clear"/>
            <w:vAlign w:val="center"/>
          </w:tcPr>
          <w:p>
            <w:pPr>
              <w:pStyle w:val="TableContents"/>
              <w:spacing w:before="0" w:after="0"/>
              <w:ind w:left="0" w:right="0" w:hanging="0"/>
              <w:jc w:val="center"/>
              <w:rPr/>
            </w:pPr>
            <w:r>
              <w:rPr/>
              <w:t>​</w:t>
            </w:r>
          </w:p>
        </w:tc>
        <w:tc>
          <w:tcPr>
            <w:tcW w:w="20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jc w:val="center"/>
              <w:rPr/>
            </w:pPr>
            <w:r>
              <w:rPr/>
              <w:t>​</w:t>
            </w:r>
          </w:p>
        </w:tc>
        <w:tc>
          <w:tcPr>
            <w:tcW w:w="585" w:type="dxa"/>
            <w:tcBorders/>
            <w:shd w:fill="CCEEFF" w:val="clear"/>
            <w:vAlign w:val="center"/>
          </w:tcPr>
          <w:p>
            <w:pPr>
              <w:pStyle w:val="TableContents"/>
              <w:spacing w:before="0" w:after="0"/>
              <w:ind w:left="0" w:right="0" w:hanging="0"/>
              <w:jc w:val="center"/>
              <w:rPr/>
            </w:pPr>
            <w:r>
              <w:rPr/>
              <w:t>​</w:t>
            </w:r>
          </w:p>
        </w:tc>
        <w:tc>
          <w:tcPr>
            <w:tcW w:w="233" w:type="dxa"/>
            <w:tcBorders/>
            <w:shd w:fill="CCEEFF" w:val="clear"/>
            <w:vAlign w:val="center"/>
          </w:tcPr>
          <w:p>
            <w:pPr>
              <w:pStyle w:val="TableContents"/>
              <w:spacing w:before="0" w:after="0"/>
              <w:ind w:left="0" w:right="0" w:hanging="0"/>
              <w:rPr/>
            </w:pPr>
            <w:r>
              <w:rPr/>
              <w:t>​</w:t>
            </w:r>
          </w:p>
        </w:tc>
        <w:tc>
          <w:tcPr>
            <w:tcW w:w="377" w:type="dxa"/>
            <w:tcBorders/>
            <w:shd w:fill="CCEEFF" w:val="clear"/>
            <w:vAlign w:val="center"/>
          </w:tcPr>
          <w:p>
            <w:pPr>
              <w:pStyle w:val="TableContents"/>
              <w:spacing w:before="0" w:after="0"/>
              <w:ind w:left="0" w:right="0" w:hanging="0"/>
              <w:jc w:val="center"/>
              <w:rPr/>
            </w:pPr>
            <w:r>
              <w:rPr/>
              <w:t>​</w:t>
            </w:r>
          </w:p>
        </w:tc>
        <w:tc>
          <w:tcPr>
            <w:tcW w:w="667" w:type="dxa"/>
            <w:tcBorders/>
            <w:shd w:fill="CCEEFF" w:val="clear"/>
            <w:vAlign w:val="center"/>
          </w:tcPr>
          <w:p>
            <w:pPr>
              <w:pStyle w:val="TableContents"/>
              <w:spacing w:before="0" w:after="0"/>
              <w:ind w:left="0" w:right="0" w:hanging="0"/>
              <w:jc w:val="center"/>
              <w:rPr/>
            </w:pPr>
            <w:r>
              <w:rPr/>
              <w:t>​</w:t>
            </w:r>
          </w:p>
        </w:tc>
        <w:tc>
          <w:tcPr>
            <w:tcW w:w="233"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jc w:val="center"/>
              <w:rPr/>
            </w:pPr>
            <w:r>
              <w:rPr/>
              <w:t>​</w:t>
            </w:r>
          </w:p>
        </w:tc>
        <w:tc>
          <w:tcPr>
            <w:tcW w:w="732" w:type="dxa"/>
            <w:tcBorders/>
            <w:shd w:fill="CCEEFF" w:val="clear"/>
            <w:vAlign w:val="center"/>
          </w:tcPr>
          <w:p>
            <w:pPr>
              <w:pStyle w:val="TableContents"/>
              <w:spacing w:before="0" w:after="0"/>
              <w:ind w:left="0" w:right="0" w:hanging="0"/>
              <w:jc w:val="center"/>
              <w:rPr/>
            </w:pPr>
            <w:r>
              <w:rPr/>
              <w:t>​</w:t>
            </w:r>
          </w:p>
        </w:tc>
      </w:tr>
      <w:tr>
        <w:trPr/>
        <w:tc>
          <w:tcPr>
            <w:tcW w:w="21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auto" w:val="clear"/>
            <w:vAlign w:val="center"/>
          </w:tcPr>
          <w:p>
            <w:pPr>
              <w:pStyle w:val="TableContents"/>
              <w:spacing w:before="0" w:after="0"/>
              <w:ind w:left="0" w:right="0" w:hanging="0"/>
              <w:rPr/>
            </w:pPr>
            <w:r>
              <w:rPr/>
              <w:t> </w:t>
            </w:r>
          </w:p>
        </w:tc>
        <w:tc>
          <w:tcPr>
            <w:tcW w:w="32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7,513</w:t>
            </w:r>
          </w:p>
        </w:tc>
        <w:tc>
          <w:tcPr>
            <w:tcW w:w="206" w:type="dxa"/>
            <w:tcBorders/>
            <w:shd w:fill="auto" w:val="clear"/>
            <w:vAlign w:val="center"/>
          </w:tcPr>
          <w:p>
            <w:pPr>
              <w:pStyle w:val="TableContents"/>
              <w:spacing w:before="0" w:after="0"/>
              <w:ind w:left="0" w:right="0" w:hanging="0"/>
              <w:rPr/>
            </w:pPr>
            <w:r>
              <w:rPr/>
              <w:t>​</w:t>
            </w:r>
          </w:p>
        </w:tc>
        <w:tc>
          <w:tcPr>
            <w:tcW w:w="43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41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7,513</w:t>
            </w:r>
          </w:p>
        </w:tc>
        <w:tc>
          <w:tcPr>
            <w:tcW w:w="20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shd w:fill="auto" w:val="clear"/>
            <w:vAlign w:val="center"/>
          </w:tcPr>
          <w:p>
            <w:pPr>
              <w:pStyle w:val="TableContents"/>
              <w:spacing w:before="0" w:after="0"/>
              <w:ind w:left="0" w:right="0" w:hanging="0"/>
              <w:jc w:val="right"/>
              <w:rPr/>
            </w:pPr>
            <w:r>
              <w:rPr/>
              <w:t>—</w:t>
            </w:r>
          </w:p>
        </w:tc>
        <w:tc>
          <w:tcPr>
            <w:tcW w:w="233" w:type="dxa"/>
            <w:tcBorders/>
            <w:shd w:fill="auto" w:val="clear"/>
            <w:vAlign w:val="center"/>
          </w:tcPr>
          <w:p>
            <w:pPr>
              <w:pStyle w:val="TableContents"/>
              <w:spacing w:before="0" w:after="0"/>
              <w:ind w:left="0" w:right="0" w:hanging="0"/>
              <w:rPr/>
            </w:pPr>
            <w:r>
              <w:rPr/>
              <w:t>​</w:t>
            </w:r>
          </w:p>
        </w:tc>
        <w:tc>
          <w:tcPr>
            <w:tcW w:w="37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67" w:type="dxa"/>
            <w:tcBorders/>
            <w:shd w:fill="auto" w:val="clear"/>
            <w:vAlign w:val="center"/>
          </w:tcPr>
          <w:p>
            <w:pPr>
              <w:pStyle w:val="TableContents"/>
              <w:spacing w:before="0" w:after="0"/>
              <w:ind w:left="0" w:right="0" w:hanging="0"/>
              <w:jc w:val="right"/>
              <w:rPr/>
            </w:pPr>
            <w:r>
              <w:rPr/>
              <w:t>—</w:t>
            </w:r>
          </w:p>
        </w:tc>
        <w:tc>
          <w:tcPr>
            <w:tcW w:w="233"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7,513</w:t>
            </w:r>
          </w:p>
        </w:tc>
      </w:tr>
      <w:tr>
        <w:trPr/>
        <w:tc>
          <w:tcPr>
            <w:tcW w:w="212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438" w:type="dxa"/>
            <w:tcBorders/>
            <w:shd w:fill="CCEEFF" w:val="clear"/>
            <w:vAlign w:val="center"/>
          </w:tcPr>
          <w:p>
            <w:pPr>
              <w:pStyle w:val="TableContents"/>
              <w:spacing w:before="0" w:after="0"/>
              <w:ind w:left="0" w:right="0" w:hanging="0"/>
              <w:rPr/>
            </w:pPr>
            <w:r>
              <w:rPr/>
              <w:t>​</w:t>
            </w:r>
          </w:p>
        </w:tc>
        <w:tc>
          <w:tcPr>
            <w:tcW w:w="75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410" w:type="dxa"/>
            <w:tcBorders/>
            <w:shd w:fill="CCEEFF" w:val="clear"/>
            <w:vAlign w:val="center"/>
          </w:tcPr>
          <w:p>
            <w:pPr>
              <w:pStyle w:val="TableContents"/>
              <w:spacing w:before="0" w:after="0"/>
              <w:ind w:left="0" w:right="0" w:hanging="0"/>
              <w:rPr/>
            </w:pPr>
            <w:r>
              <w:rPr/>
              <w:t>​</w:t>
            </w:r>
          </w:p>
        </w:tc>
        <w:tc>
          <w:tcPr>
            <w:tcW w:w="1042"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w:t>
            </w:r>
          </w:p>
        </w:tc>
        <w:tc>
          <w:tcPr>
            <w:tcW w:w="585"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377" w:type="dxa"/>
            <w:tcBorders/>
            <w:shd w:fill="CCEEFF" w:val="clear"/>
            <w:vAlign w:val="center"/>
          </w:tcPr>
          <w:p>
            <w:pPr>
              <w:pStyle w:val="TableContents"/>
              <w:spacing w:before="0" w:after="0"/>
              <w:ind w:left="0" w:right="0" w:hanging="0"/>
              <w:rPr/>
            </w:pPr>
            <w:r>
              <w:rPr/>
              <w:t>​</w:t>
            </w:r>
          </w:p>
        </w:tc>
        <w:tc>
          <w:tcPr>
            <w:tcW w:w="667"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rPr/>
            </w:pPr>
            <w:r>
              <w:rPr/>
              <w:t>​</w:t>
            </w:r>
          </w:p>
        </w:tc>
      </w:tr>
      <w:tr>
        <w:trPr/>
        <w:tc>
          <w:tcPr>
            <w:tcW w:w="212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2022</w:t>
            </w:r>
          </w:p>
        </w:tc>
        <w:tc>
          <w:tcPr>
            <w:tcW w:w="326"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438" w:type="dxa"/>
            <w:tcBorders/>
            <w:shd w:fill="auto" w:val="clear"/>
            <w:vAlign w:val="center"/>
          </w:tcPr>
          <w:p>
            <w:pPr>
              <w:pStyle w:val="TableContents"/>
              <w:spacing w:before="0" w:after="0"/>
              <w:ind w:left="0" w:right="0" w:hanging="0"/>
              <w:rPr/>
            </w:pPr>
            <w:r>
              <w:rPr/>
              <w:t>​</w:t>
            </w:r>
          </w:p>
        </w:tc>
        <w:tc>
          <w:tcPr>
            <w:tcW w:w="75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410" w:type="dxa"/>
            <w:tcBorders/>
            <w:shd w:fill="auto" w:val="clear"/>
            <w:vAlign w:val="center"/>
          </w:tcPr>
          <w:p>
            <w:pPr>
              <w:pStyle w:val="TableContents"/>
              <w:spacing w:before="0" w:after="0"/>
              <w:ind w:left="0" w:right="0" w:hanging="0"/>
              <w:rPr/>
            </w:pPr>
            <w:r>
              <w:rPr/>
              <w:t>​</w:t>
            </w:r>
          </w:p>
        </w:tc>
        <w:tc>
          <w:tcPr>
            <w:tcW w:w="1042"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585"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377" w:type="dxa"/>
            <w:tcBorders/>
            <w:shd w:fill="auto" w:val="clear"/>
            <w:vAlign w:val="center"/>
          </w:tcPr>
          <w:p>
            <w:pPr>
              <w:pStyle w:val="TableContents"/>
              <w:spacing w:before="0" w:after="0"/>
              <w:ind w:left="0" w:right="0" w:hanging="0"/>
              <w:rPr/>
            </w:pPr>
            <w:r>
              <w:rPr/>
              <w:t>​</w:t>
            </w:r>
          </w:p>
        </w:tc>
        <w:tc>
          <w:tcPr>
            <w:tcW w:w="667"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rPr/>
            </w:pPr>
            <w:r>
              <w:rPr/>
              <w:t>​</w:t>
            </w:r>
          </w:p>
        </w:tc>
      </w:tr>
      <w:tr>
        <w:trPr/>
        <w:tc>
          <w:tcPr>
            <w:tcW w:w="21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9,870</w:t>
            </w:r>
          </w:p>
        </w:tc>
        <w:tc>
          <w:tcPr>
            <w:tcW w:w="206" w:type="dxa"/>
            <w:tcBorders/>
            <w:shd w:fill="CCEEFF" w:val="clear"/>
            <w:vAlign w:val="center"/>
          </w:tcPr>
          <w:p>
            <w:pPr>
              <w:pStyle w:val="TableContents"/>
              <w:spacing w:before="0" w:after="0"/>
              <w:ind w:left="0" w:right="0" w:hanging="0"/>
              <w:rPr/>
            </w:pPr>
            <w:r>
              <w:rPr/>
              <w:t>​</w:t>
            </w:r>
          </w:p>
        </w:tc>
        <w:tc>
          <w:tcPr>
            <w:tcW w:w="43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41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9,870</w:t>
            </w:r>
          </w:p>
        </w:tc>
        <w:tc>
          <w:tcPr>
            <w:tcW w:w="20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shd w:fill="CCEEFF" w:val="clear"/>
            <w:vAlign w:val="center"/>
          </w:tcPr>
          <w:p>
            <w:pPr>
              <w:pStyle w:val="TableContents"/>
              <w:spacing w:before="0" w:after="0"/>
              <w:ind w:left="0" w:right="0" w:hanging="0"/>
              <w:jc w:val="right"/>
              <w:rPr/>
            </w:pPr>
            <w:r>
              <w:rPr/>
              <w:t>—</w:t>
            </w:r>
          </w:p>
        </w:tc>
        <w:tc>
          <w:tcPr>
            <w:tcW w:w="233" w:type="dxa"/>
            <w:tcBorders/>
            <w:shd w:fill="CCEEFF" w:val="clear"/>
            <w:vAlign w:val="center"/>
          </w:tcPr>
          <w:p>
            <w:pPr>
              <w:pStyle w:val="TableContents"/>
              <w:spacing w:before="0" w:after="0"/>
              <w:ind w:left="0" w:right="0" w:hanging="0"/>
              <w:rPr/>
            </w:pPr>
            <w:r>
              <w:rPr/>
              <w:t>​</w:t>
            </w:r>
          </w:p>
        </w:tc>
        <w:tc>
          <w:tcPr>
            <w:tcW w:w="37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67" w:type="dxa"/>
            <w:tcBorders/>
            <w:shd w:fill="CCEEFF" w:val="clear"/>
            <w:vAlign w:val="center"/>
          </w:tcPr>
          <w:p>
            <w:pPr>
              <w:pStyle w:val="TableContents"/>
              <w:spacing w:before="0" w:after="0"/>
              <w:ind w:left="0" w:right="0" w:hanging="0"/>
              <w:jc w:val="right"/>
              <w:rPr/>
            </w:pPr>
            <w:r>
              <w:rPr/>
              <w:t>—</w:t>
            </w:r>
          </w:p>
        </w:tc>
        <w:tc>
          <w:tcPr>
            <w:tcW w:w="233"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32" w:type="dxa"/>
            <w:tcBorders/>
            <w:shd w:fill="CCEEFF" w:val="cle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9,870</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2800" w:name="Tc_EkRpitkgUES9P1kVjCnDdg_9_18"/>
      <w:bookmarkStart w:id="2801" w:name="Tc_7ZZi0IP900yuSs0mqv6H_Q_9_17"/>
      <w:bookmarkStart w:id="2802" w:name="Tc_9grKV1obqkOG64gDW3ETwA_9_15"/>
      <w:bookmarkStart w:id="2803" w:name="Tc_q8amVbcgVkGOkwB2GeIxdA_9_14"/>
      <w:bookmarkStart w:id="2804" w:name="Tc_PZ9wQD6S0kKoh6n93eSh2g_9_12"/>
      <w:bookmarkStart w:id="2805" w:name="Tc_WWpsS9hH60KcOuwVduMovg_9_11"/>
      <w:bookmarkStart w:id="2806" w:name="Tc_E_DJH0A4Vkyh0LFa9bBFqg_9_9"/>
      <w:bookmarkStart w:id="2807" w:name="Tc_5PI0_n21VUmOtMHUSKurzw_9_8"/>
      <w:bookmarkStart w:id="2808" w:name="Tc_D4XLW-9uskKDNnl-Da4g9w_9_6"/>
      <w:bookmarkStart w:id="2809" w:name="Tc_1vgzam1v806t6cj4WIAR3g_9_5"/>
      <w:bookmarkStart w:id="2810" w:name="Tc_joJ-1X39yE-ACIO_ixWATw_9_3"/>
      <w:bookmarkStart w:id="2811" w:name="Tc_AoNhvN4bVEyI5PFQD5Qs8A_9_2"/>
      <w:bookmarkStart w:id="2812" w:name="Tc_L5zVEupd00GyM0hzgeIg2A_9_0"/>
      <w:bookmarkStart w:id="2813" w:name="Tc_h2jdGnTQqEOmBaL_C4HA4Q_8_0"/>
      <w:bookmarkStart w:id="2814" w:name="Tc_Qj9DTV1KUkC2OWTlsDbxUg_6_18"/>
      <w:bookmarkStart w:id="2815" w:name="Tc_Y0gr6_zzLU-RvNcw8E5aAw_6_17"/>
      <w:bookmarkStart w:id="2816" w:name="Tc_QnHJNR0DI06fiTdAhrL06Q_6_15"/>
      <w:bookmarkStart w:id="2817" w:name="Tc_vgYCxyxk60eFerKuzPimbw_6_14"/>
      <w:bookmarkStart w:id="2818" w:name="Tc_TKXCg-jFEE6AJfSXn2_6LQ_6_12"/>
      <w:bookmarkStart w:id="2819" w:name="Tc_OpFZsQr7PkSaU2FnMg7qDg_6_11"/>
      <w:bookmarkStart w:id="2820" w:name="Tc_82TV3-tNBUCxKR5V0hJy0g_6_9"/>
      <w:bookmarkStart w:id="2821" w:name="Tc_sPDKqk_m5Uyt8U06r4GrQA_6_8"/>
      <w:bookmarkStart w:id="2822" w:name="Tc_K5Nl5FcG40OnnHoPVteMqA_6_6"/>
      <w:bookmarkStart w:id="2823" w:name="Tc_q2tkudVFWEW6j72aAf6L8A_6_5"/>
      <w:bookmarkStart w:id="2824" w:name="Tc_87vcH91dPUqZORhReAAheA_6_3"/>
      <w:bookmarkStart w:id="2825" w:name="Tc_8fXaARzI6EufXmPvjR4jnA_6_2"/>
      <w:bookmarkStart w:id="2826" w:name="Tc_9E1K1I3tvEmaz_niN-SNDg_6_0"/>
      <w:bookmarkStart w:id="2827" w:name="Tc_0grToIGXjUi7OcAkDc_klw_5_0"/>
      <w:bookmarkStart w:id="2828" w:name="Tc_8Ak2Y-F2lkqqu6q9Zj2luw_4_17"/>
      <w:bookmarkStart w:id="2829" w:name="Tc_jq7lnxRNk0uBcNhgaeGSEw_4_14"/>
      <w:bookmarkStart w:id="2830" w:name="Tc_S2NPBmFKvk-_EqmVWTBi6g_4_11"/>
      <w:bookmarkStart w:id="2831" w:name="Tc_NTpVHKk8q0KwYfKQU5-riw_4_8"/>
      <w:bookmarkStart w:id="2832" w:name="Tc_2spUxqW5AEGrghUXu5C8Pg_4_5"/>
      <w:bookmarkStart w:id="2833" w:name="Tc_nzE8okVy6EqKIESsp-vfZA_4_2"/>
      <w:bookmarkStart w:id="2834" w:name="Tc_79qm2usW_0ivJkfuE5H-lw_4_0"/>
      <w:bookmarkStart w:id="2835" w:name="Tc_5u2TGXwaGkq6X-l91NeI6Q_3_14"/>
      <w:bookmarkStart w:id="2836" w:name="Tc_LgxD2qP5rEuwsvmF5YYW7w_3_11"/>
      <w:bookmarkStart w:id="2837" w:name="Tc_MRzlWJ6ZyEC97UUoZ5BABg_3_8"/>
      <w:bookmarkStart w:id="2838" w:name="Tc_D8OlAJAfGkeEpXOBncTBLw_3_5"/>
      <w:bookmarkStart w:id="2839" w:name="Tc_kSpIm1AGJ0mpacSD17aW9g_3_2"/>
      <w:bookmarkStart w:id="2840" w:name="Tc_crgu9glSyUapGhLDu8OFlw_2_11"/>
      <w:bookmarkStart w:id="2841" w:name="Tc_k2JVtlZWwE2toAPnbfl9fA_2_8"/>
      <w:bookmarkStart w:id="2842" w:name="Tc_zhAFd4st5U-wdJbwqcyLSw_2_5"/>
      <w:bookmarkStart w:id="2843" w:name="Tc_j0eJq-1U1kqTsuU09kve5Q_2_2"/>
      <w:bookmarkStart w:id="2844" w:name="Tc_-IHopyrb7kiq0h5n8XyYBw_1_11"/>
      <w:bookmarkStart w:id="2845" w:name="Tc_lvlnw0UolEieQim-ujl9RQ_1_8"/>
      <w:bookmarkStart w:id="2846" w:name="Tc_jGdRC0jWB0S7pAs7ZdytKg_1_5"/>
      <w:bookmarkStart w:id="2847" w:name="_db1bc4c0_987f_45aa_b292_30995e0bee81"/>
      <w:bookmarkStart w:id="2848" w:name="Tc_EkRpitkgUES9P1kVjCnDdg_9_18"/>
      <w:bookmarkStart w:id="2849" w:name="Tc_7ZZi0IP900yuSs0mqv6H_Q_9_17"/>
      <w:bookmarkStart w:id="2850" w:name="Tc_9grKV1obqkOG64gDW3ETwA_9_15"/>
      <w:bookmarkStart w:id="2851" w:name="Tc_q8amVbcgVkGOkwB2GeIxdA_9_14"/>
      <w:bookmarkStart w:id="2852" w:name="Tc_PZ9wQD6S0kKoh6n93eSh2g_9_12"/>
      <w:bookmarkStart w:id="2853" w:name="Tc_WWpsS9hH60KcOuwVduMovg_9_11"/>
      <w:bookmarkStart w:id="2854" w:name="Tc_E_DJH0A4Vkyh0LFa9bBFqg_9_9"/>
      <w:bookmarkStart w:id="2855" w:name="Tc_5PI0_n21VUmOtMHUSKurzw_9_8"/>
      <w:bookmarkStart w:id="2856" w:name="Tc_D4XLW-9uskKDNnl-Da4g9w_9_6"/>
      <w:bookmarkStart w:id="2857" w:name="Tc_1vgzam1v806t6cj4WIAR3g_9_5"/>
      <w:bookmarkStart w:id="2858" w:name="Tc_joJ-1X39yE-ACIO_ixWATw_9_3"/>
      <w:bookmarkStart w:id="2859" w:name="Tc_AoNhvN4bVEyI5PFQD5Qs8A_9_2"/>
      <w:bookmarkStart w:id="2860" w:name="Tc_L5zVEupd00GyM0hzgeIg2A_9_0"/>
      <w:bookmarkStart w:id="2861" w:name="Tc_h2jdGnTQqEOmBaL_C4HA4Q_8_0"/>
      <w:bookmarkStart w:id="2862" w:name="Tc_Qj9DTV1KUkC2OWTlsDbxUg_6_18"/>
      <w:bookmarkStart w:id="2863" w:name="Tc_Y0gr6_zzLU-RvNcw8E5aAw_6_17"/>
      <w:bookmarkStart w:id="2864" w:name="Tc_QnHJNR0DI06fiTdAhrL06Q_6_15"/>
      <w:bookmarkStart w:id="2865" w:name="Tc_vgYCxyxk60eFerKuzPimbw_6_14"/>
      <w:bookmarkStart w:id="2866" w:name="Tc_TKXCg-jFEE6AJfSXn2_6LQ_6_12"/>
      <w:bookmarkStart w:id="2867" w:name="Tc_OpFZsQr7PkSaU2FnMg7qDg_6_11"/>
      <w:bookmarkStart w:id="2868" w:name="Tc_82TV3-tNBUCxKR5V0hJy0g_6_9"/>
      <w:bookmarkStart w:id="2869" w:name="Tc_sPDKqk_m5Uyt8U06r4GrQA_6_8"/>
      <w:bookmarkStart w:id="2870" w:name="Tc_K5Nl5FcG40OnnHoPVteMqA_6_6"/>
      <w:bookmarkStart w:id="2871" w:name="Tc_q2tkudVFWEW6j72aAf6L8A_6_5"/>
      <w:bookmarkStart w:id="2872" w:name="Tc_87vcH91dPUqZORhReAAheA_6_3"/>
      <w:bookmarkStart w:id="2873" w:name="Tc_8fXaARzI6EufXmPvjR4jnA_6_2"/>
      <w:bookmarkStart w:id="2874" w:name="Tc_9E1K1I3tvEmaz_niN-SNDg_6_0"/>
      <w:bookmarkStart w:id="2875" w:name="Tc_0grToIGXjUi7OcAkDc_klw_5_0"/>
      <w:bookmarkStart w:id="2876" w:name="Tc_8Ak2Y-F2lkqqu6q9Zj2luw_4_17"/>
      <w:bookmarkStart w:id="2877" w:name="Tc_jq7lnxRNk0uBcNhgaeGSEw_4_14"/>
      <w:bookmarkStart w:id="2878" w:name="Tc_S2NPBmFKvk-_EqmVWTBi6g_4_11"/>
      <w:bookmarkStart w:id="2879" w:name="Tc_NTpVHKk8q0KwYfKQU5-riw_4_8"/>
      <w:bookmarkStart w:id="2880" w:name="Tc_2spUxqW5AEGrghUXu5C8Pg_4_5"/>
      <w:bookmarkStart w:id="2881" w:name="Tc_nzE8okVy6EqKIESsp-vfZA_4_2"/>
      <w:bookmarkStart w:id="2882" w:name="Tc_79qm2usW_0ivJkfuE5H-lw_4_0"/>
      <w:bookmarkStart w:id="2883" w:name="Tc_5u2TGXwaGkq6X-l91NeI6Q_3_14"/>
      <w:bookmarkStart w:id="2884" w:name="Tc_LgxD2qP5rEuwsvmF5YYW7w_3_11"/>
      <w:bookmarkStart w:id="2885" w:name="Tc_MRzlWJ6ZyEC97UUoZ5BABg_3_8"/>
      <w:bookmarkStart w:id="2886" w:name="Tc_D8OlAJAfGkeEpXOBncTBLw_3_5"/>
      <w:bookmarkStart w:id="2887" w:name="Tc_kSpIm1AGJ0mpacSD17aW9g_3_2"/>
      <w:bookmarkStart w:id="2888" w:name="Tc_crgu9glSyUapGhLDu8OFlw_2_11"/>
      <w:bookmarkStart w:id="2889" w:name="Tc_k2JVtlZWwE2toAPnbfl9fA_2_8"/>
      <w:bookmarkStart w:id="2890" w:name="Tc_zhAFd4st5U-wdJbwqcyLSw_2_5"/>
      <w:bookmarkStart w:id="2891" w:name="Tc_j0eJq-1U1kqTsuU09kve5Q_2_2"/>
      <w:bookmarkStart w:id="2892" w:name="Tc_-IHopyrb7kiq0h5n8XyYBw_1_11"/>
      <w:bookmarkStart w:id="2893" w:name="Tc_lvlnw0UolEieQim-ujl9RQ_1_8"/>
      <w:bookmarkStart w:id="2894" w:name="Tc_jGdRC0jWB0S7pAs7ZdytKg_1_5"/>
      <w:bookmarkStart w:id="2895" w:name="_db1bc4c0_987f_45aa_b292_30995e0bee81"/>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p>
    <w:tbl>
      <w:tblPr>
        <w:tblW w:w="10205" w:type="dxa"/>
        <w:jc w:val="left"/>
        <w:tblInd w:w="0" w:type="dxa"/>
        <w:tblCellMar>
          <w:top w:w="0" w:type="dxa"/>
          <w:left w:w="0" w:type="dxa"/>
          <w:bottom w:w="0" w:type="dxa"/>
          <w:right w:w="0" w:type="dxa"/>
        </w:tblCellMar>
      </w:tblPr>
      <w:tblGrid>
        <w:gridCol w:w="2185"/>
        <w:gridCol w:w="326"/>
        <w:gridCol w:w="423"/>
        <w:gridCol w:w="659"/>
        <w:gridCol w:w="206"/>
        <w:gridCol w:w="423"/>
        <w:gridCol w:w="720"/>
        <w:gridCol w:w="206"/>
        <w:gridCol w:w="562"/>
        <w:gridCol w:w="965"/>
        <w:gridCol w:w="206"/>
        <w:gridCol w:w="331"/>
        <w:gridCol w:w="585"/>
        <w:gridCol w:w="242"/>
        <w:gridCol w:w="365"/>
        <w:gridCol w:w="645"/>
        <w:gridCol w:w="242"/>
        <w:gridCol w:w="285"/>
        <w:gridCol w:w="629"/>
      </w:tblGrid>
      <w:tr>
        <w:trPr/>
        <w:tc>
          <w:tcPr>
            <w:tcW w:w="21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87475" cy="175260"/>
                      <wp:effectExtent l="0" t="0" r="0" b="0"/>
                      <wp:wrapNone/>
                      <wp:docPr id="512" name="Frame512"/>
                      <a:graphic xmlns:a="http://schemas.openxmlformats.org/drawingml/2006/main">
                        <a:graphicData uri="http://schemas.microsoft.com/office/word/2010/wordprocessingShape">
                          <wps:wsp>
                            <wps:cNvSpPr txBox="1"/>
                            <wps:spPr>
                              <a:xfrm>
                                <a:off x="0" y="0"/>
                                <a:ext cx="1387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68605" cy="175260"/>
                      <wp:effectExtent l="0" t="0" r="0" b="0"/>
                      <wp:wrapNone/>
                      <wp:docPr id="514" name="Frame514"/>
                      <a:graphic xmlns:a="http://schemas.openxmlformats.org/drawingml/2006/main">
                        <a:graphicData uri="http://schemas.microsoft.com/office/word/2010/wordprocessingShape">
                          <wps:wsp>
                            <wps:cNvSpPr txBox="1"/>
                            <wps:spPr>
                              <a:xfrm>
                                <a:off x="0" y="0"/>
                                <a:ext cx="268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18465" cy="175260"/>
                      <wp:effectExtent l="0" t="0" r="0" b="0"/>
                      <wp:wrapNone/>
                      <wp:docPr id="515" name="Frame515"/>
                      <a:graphic xmlns:a="http://schemas.openxmlformats.org/drawingml/2006/main">
                        <a:graphicData uri="http://schemas.microsoft.com/office/word/2010/wordprocessingShape">
                          <wps:wsp>
                            <wps:cNvSpPr txBox="1"/>
                            <wps:spPr>
                              <a:xfrm>
                                <a:off x="0" y="0"/>
                                <a:ext cx="418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0810" cy="175260"/>
                      <wp:effectExtent l="0" t="0" r="0" b="0"/>
                      <wp:wrapNone/>
                      <wp:docPr id="516" name="Frame51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68605" cy="175260"/>
                      <wp:effectExtent l="0" t="0" r="0" b="0"/>
                      <wp:wrapNone/>
                      <wp:docPr id="517" name="Frame517"/>
                      <a:graphic xmlns:a="http://schemas.openxmlformats.org/drawingml/2006/main">
                        <a:graphicData uri="http://schemas.microsoft.com/office/word/2010/wordprocessingShape">
                          <wps:wsp>
                            <wps:cNvSpPr txBox="1"/>
                            <wps:spPr>
                              <a:xfrm>
                                <a:off x="0" y="0"/>
                                <a:ext cx="268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57200" cy="175260"/>
                      <wp:effectExtent l="0" t="0" r="0" b="0"/>
                      <wp:wrapNone/>
                      <wp:docPr id="518" name="Frame51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0810" cy="175260"/>
                      <wp:effectExtent l="0" t="0" r="0" b="0"/>
                      <wp:wrapNone/>
                      <wp:docPr id="519" name="Frame51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56870" cy="175260"/>
                      <wp:effectExtent l="0" t="0" r="0" b="0"/>
                      <wp:wrapNone/>
                      <wp:docPr id="520" name="Frame520"/>
                      <a:graphic xmlns:a="http://schemas.openxmlformats.org/drawingml/2006/main">
                        <a:graphicData uri="http://schemas.microsoft.com/office/word/2010/wordprocessingShape">
                          <wps:wsp>
                            <wps:cNvSpPr txBox="1"/>
                            <wps:spPr>
                              <a:xfrm>
                                <a:off x="0" y="0"/>
                                <a:ext cx="356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12775" cy="175260"/>
                      <wp:effectExtent l="0" t="0" r="0" b="0"/>
                      <wp:wrapNone/>
                      <wp:docPr id="521" name="Frame521"/>
                      <a:graphic xmlns:a="http://schemas.openxmlformats.org/drawingml/2006/main">
                        <a:graphicData uri="http://schemas.microsoft.com/office/word/2010/wordprocessingShape">
                          <wps:wsp>
                            <wps:cNvSpPr txBox="1"/>
                            <wps:spPr>
                              <a:xfrm>
                                <a:off x="0" y="0"/>
                                <a:ext cx="612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0810" cy="175260"/>
                      <wp:effectExtent l="0" t="0" r="0" b="0"/>
                      <wp:wrapNone/>
                      <wp:docPr id="522" name="Frame52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0185" cy="175260"/>
                      <wp:effectExtent l="0" t="0" r="0" b="0"/>
                      <wp:wrapNone/>
                      <wp:docPr id="523" name="Frame523"/>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71475" cy="175260"/>
                      <wp:effectExtent l="0" t="0" r="0" b="0"/>
                      <wp:wrapNone/>
                      <wp:docPr id="524" name="Frame524"/>
                      <a:graphic xmlns:a="http://schemas.openxmlformats.org/drawingml/2006/main">
                        <a:graphicData uri="http://schemas.microsoft.com/office/word/2010/wordprocessingShape">
                          <wps:wsp>
                            <wps:cNvSpPr txBox="1"/>
                            <wps:spPr>
                              <a:xfrm>
                                <a:off x="0" y="0"/>
                                <a:ext cx="371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53670" cy="175260"/>
                      <wp:effectExtent l="0" t="0" r="0" b="0"/>
                      <wp:wrapNone/>
                      <wp:docPr id="525" name="Frame525"/>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31775" cy="175260"/>
                      <wp:effectExtent l="0" t="0" r="0" b="0"/>
                      <wp:wrapNone/>
                      <wp:docPr id="526" name="Frame526"/>
                      <a:graphic xmlns:a="http://schemas.openxmlformats.org/drawingml/2006/main">
                        <a:graphicData uri="http://schemas.microsoft.com/office/word/2010/wordprocessingShape">
                          <wps:wsp>
                            <wps:cNvSpPr txBox="1"/>
                            <wps:spPr>
                              <a:xfrm>
                                <a:off x="0" y="0"/>
                                <a:ext cx="231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09575" cy="175260"/>
                      <wp:effectExtent l="0" t="0" r="0" b="0"/>
                      <wp:wrapNone/>
                      <wp:docPr id="527" name="Frame527"/>
                      <a:graphic xmlns:a="http://schemas.openxmlformats.org/drawingml/2006/main">
                        <a:graphicData uri="http://schemas.microsoft.com/office/word/2010/wordprocessingShape">
                          <wps:wsp>
                            <wps:cNvSpPr txBox="1"/>
                            <wps:spPr>
                              <a:xfrm>
                                <a:off x="0" y="0"/>
                                <a:ext cx="409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53670" cy="175260"/>
                      <wp:effectExtent l="0" t="0" r="0" b="0"/>
                      <wp:wrapNone/>
                      <wp:docPr id="528" name="Frame528"/>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80975" cy="175260"/>
                      <wp:effectExtent l="0" t="0" r="0" b="0"/>
                      <wp:wrapNone/>
                      <wp:docPr id="529" name="Frame529"/>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99415" cy="175260"/>
                      <wp:effectExtent l="0" t="0" r="0" b="0"/>
                      <wp:wrapNone/>
                      <wp:docPr id="530" name="Frame530"/>
                      <a:graphic xmlns:a="http://schemas.openxmlformats.org/drawingml/2006/main">
                        <a:graphicData uri="http://schemas.microsoft.com/office/word/2010/wordprocessingShape">
                          <wps:wsp>
                            <wps:cNvSpPr txBox="1"/>
                            <wps:spPr>
                              <a:xfrm>
                                <a:off x="0" y="0"/>
                                <a:ext cx="399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82" w:type="dxa"/>
            <w:gridSpan w:val="2"/>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1143"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Gross Amounts</w:t>
            </w:r>
          </w:p>
        </w:tc>
        <w:tc>
          <w:tcPr>
            <w:tcW w:w="206" w:type="dxa"/>
            <w:tcBorders/>
            <w:shd w:fill="auto" w:val="clear"/>
            <w:vAlign w:val="center"/>
          </w:tcPr>
          <w:p>
            <w:pPr>
              <w:pStyle w:val="TableContents"/>
              <w:spacing w:before="0" w:after="0"/>
              <w:ind w:left="0" w:right="0" w:hanging="0"/>
              <w:rPr/>
            </w:pPr>
            <w:r>
              <w:rPr/>
              <w:t>​</w:t>
            </w:r>
          </w:p>
        </w:tc>
        <w:tc>
          <w:tcPr>
            <w:tcW w:w="1527"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Net Amounts of</w:t>
            </w:r>
          </w:p>
        </w:tc>
        <w:tc>
          <w:tcPr>
            <w:tcW w:w="206" w:type="dxa"/>
            <w:tcBorders/>
            <w:shd w:fill="auto" w:val="clear"/>
            <w:vAlign w:val="center"/>
          </w:tcPr>
          <w:p>
            <w:pPr>
              <w:pStyle w:val="TableContents"/>
              <w:spacing w:before="0" w:after="0"/>
              <w:ind w:left="0" w:right="0" w:hanging="0"/>
              <w:rPr/>
            </w:pPr>
            <w:r>
              <w:rPr/>
              <w:t>​</w:t>
            </w:r>
          </w:p>
        </w:tc>
        <w:tc>
          <w:tcPr>
            <w:tcW w:w="3324" w:type="dxa"/>
            <w:gridSpan w:val="8"/>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Gross Amounts Not Offset </w:t>
            </w:r>
          </w:p>
        </w:tc>
      </w:tr>
      <w:tr>
        <w:trPr/>
        <w:tc>
          <w:tcPr>
            <w:tcW w:w="21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82"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Gross Amounts</w:t>
            </w:r>
          </w:p>
        </w:tc>
        <w:tc>
          <w:tcPr>
            <w:tcW w:w="206" w:type="dxa"/>
            <w:tcBorders/>
            <w:shd w:fill="auto" w:val="clear"/>
            <w:vAlign w:val="center"/>
          </w:tcPr>
          <w:p>
            <w:pPr>
              <w:pStyle w:val="TableContents"/>
              <w:spacing w:before="0" w:after="0"/>
              <w:ind w:left="0" w:right="0" w:hanging="0"/>
              <w:rPr/>
            </w:pPr>
            <w:r>
              <w:rPr/>
              <w:t>​</w:t>
            </w:r>
          </w:p>
        </w:tc>
        <w:tc>
          <w:tcPr>
            <w:tcW w:w="1143"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Offset in the</w:t>
            </w:r>
          </w:p>
        </w:tc>
        <w:tc>
          <w:tcPr>
            <w:tcW w:w="206" w:type="dxa"/>
            <w:tcBorders/>
            <w:shd w:fill="auto" w:val="clear"/>
            <w:vAlign w:val="center"/>
          </w:tcPr>
          <w:p>
            <w:pPr>
              <w:pStyle w:val="TableContents"/>
              <w:spacing w:before="0" w:after="0"/>
              <w:ind w:left="0" w:right="0" w:hanging="0"/>
              <w:rPr/>
            </w:pPr>
            <w:r>
              <w:rPr/>
              <w:t>​</w:t>
            </w:r>
          </w:p>
        </w:tc>
        <w:tc>
          <w:tcPr>
            <w:tcW w:w="1527"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Liabilities</w:t>
            </w:r>
          </w:p>
        </w:tc>
        <w:tc>
          <w:tcPr>
            <w:tcW w:w="206" w:type="dxa"/>
            <w:tcBorders/>
            <w:shd w:fill="auto" w:val="clear"/>
            <w:vAlign w:val="center"/>
          </w:tcPr>
          <w:p>
            <w:pPr>
              <w:pStyle w:val="TableContents"/>
              <w:spacing w:before="0" w:after="0"/>
              <w:ind w:left="0" w:right="0" w:hanging="0"/>
              <w:rPr/>
            </w:pPr>
            <w:r>
              <w:rPr/>
              <w:t>​</w:t>
            </w:r>
          </w:p>
        </w:tc>
        <w:tc>
          <w:tcPr>
            <w:tcW w:w="3324"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in the Statement of Financial Position</w:t>
            </w:r>
          </w:p>
        </w:tc>
      </w:tr>
      <w:tr>
        <w:trPr/>
        <w:tc>
          <w:tcPr>
            <w:tcW w:w="21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82"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of Recognized</w:t>
            </w:r>
          </w:p>
        </w:tc>
        <w:tc>
          <w:tcPr>
            <w:tcW w:w="206" w:type="dxa"/>
            <w:tcBorders/>
            <w:shd w:fill="auto" w:val="clear"/>
            <w:vAlign w:val="center"/>
          </w:tcPr>
          <w:p>
            <w:pPr>
              <w:pStyle w:val="TableContents"/>
              <w:spacing w:before="0" w:after="0"/>
              <w:ind w:left="0" w:right="0" w:hanging="0"/>
              <w:rPr/>
            </w:pPr>
            <w:r>
              <w:rPr/>
              <w:t>  </w:t>
            </w:r>
          </w:p>
        </w:tc>
        <w:tc>
          <w:tcPr>
            <w:tcW w:w="1143"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Statement of</w:t>
            </w:r>
          </w:p>
        </w:tc>
        <w:tc>
          <w:tcPr>
            <w:tcW w:w="206" w:type="dxa"/>
            <w:tcBorders/>
            <w:shd w:fill="auto" w:val="clear"/>
            <w:vAlign w:val="center"/>
          </w:tcPr>
          <w:p>
            <w:pPr>
              <w:pStyle w:val="TableContents"/>
              <w:spacing w:before="0" w:after="0"/>
              <w:ind w:left="0" w:right="0" w:hanging="0"/>
              <w:rPr/>
            </w:pPr>
            <w:r>
              <w:rPr/>
              <w:t>  </w:t>
            </w:r>
          </w:p>
        </w:tc>
        <w:tc>
          <w:tcPr>
            <w:tcW w:w="1527"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Presented in the Statement</w:t>
            </w:r>
          </w:p>
        </w:tc>
        <w:tc>
          <w:tcPr>
            <w:tcW w:w="206" w:type="dxa"/>
            <w:tcBorders/>
            <w:shd w:fill="auto" w:val="clear"/>
            <w:vAlign w:val="center"/>
          </w:tcPr>
          <w:p>
            <w:pPr>
              <w:pStyle w:val="TableContents"/>
              <w:spacing w:before="0" w:after="0"/>
              <w:ind w:left="0" w:right="0" w:hanging="0"/>
              <w:rPr/>
            </w:pPr>
            <w:r>
              <w:rPr/>
              <w:t>  </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Financial</w:t>
            </w:r>
          </w:p>
        </w:tc>
        <w:tc>
          <w:tcPr>
            <w:tcW w:w="242" w:type="dxa"/>
            <w:tcBorders/>
            <w:shd w:fill="auto" w:val="clear"/>
            <w:vAlign w:val="center"/>
          </w:tcPr>
          <w:p>
            <w:pPr>
              <w:pStyle w:val="TableContents"/>
              <w:spacing w:before="0" w:after="0"/>
              <w:ind w:left="0" w:right="0" w:hanging="0"/>
              <w:rPr/>
            </w:pPr>
            <w:r>
              <w:rPr/>
              <w:t>  </w:t>
            </w:r>
          </w:p>
        </w:tc>
        <w:tc>
          <w:tcPr>
            <w:tcW w:w="1010"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Cash Collateral</w:t>
            </w:r>
          </w:p>
        </w:tc>
        <w:tc>
          <w:tcPr>
            <w:tcW w:w="242" w:type="dxa"/>
            <w:tcBorders/>
            <w:shd w:fill="auto" w:val="clear"/>
            <w:vAlign w:val="center"/>
          </w:tcPr>
          <w:p>
            <w:pPr>
              <w:pStyle w:val="TableContents"/>
              <w:spacing w:before="0" w:after="0"/>
              <w:ind w:left="0" w:right="0" w:hanging="0"/>
              <w:rPr/>
            </w:pPr>
            <w:r>
              <w:rPr/>
              <w:t>  </w:t>
            </w:r>
          </w:p>
        </w:tc>
        <w:tc>
          <w:tcPr>
            <w:tcW w:w="914" w:type="dxa"/>
            <w:gridSpan w:val="2"/>
            <w:tcBorders/>
            <w:shd w:fill="auto" w:val="clear"/>
            <w:vAlign w:val="center"/>
          </w:tcPr>
          <w:p>
            <w:pPr>
              <w:pStyle w:val="TableContents"/>
              <w:spacing w:before="0" w:after="0"/>
              <w:ind w:left="0" w:right="0" w:hanging="0"/>
              <w:jc w:val="center"/>
              <w:rPr/>
            </w:pPr>
            <w:r>
              <w:rPr/>
              <w:t>​</w:t>
            </w:r>
          </w:p>
        </w:tc>
      </w:tr>
      <w:tr>
        <w:trPr/>
        <w:tc>
          <w:tcPr>
            <w:tcW w:w="218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Offsetting of derivative liabilities</w:t>
            </w:r>
          </w:p>
        </w:tc>
        <w:tc>
          <w:tcPr>
            <w:tcW w:w="326" w:type="dxa"/>
            <w:tcBorders/>
            <w:shd w:fill="auto" w:val="clear"/>
            <w:vAlign w:val="center"/>
          </w:tcPr>
          <w:p>
            <w:pPr>
              <w:pStyle w:val="TableContents"/>
              <w:spacing w:before="0" w:after="0"/>
              <w:ind w:left="0" w:right="0" w:hanging="0"/>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Liabilities</w:t>
            </w:r>
          </w:p>
        </w:tc>
        <w:tc>
          <w:tcPr>
            <w:tcW w:w="206" w:type="dxa"/>
            <w:tcBorders/>
            <w:shd w:fill="auto" w:val="clear"/>
            <w:vAlign w:val="center"/>
          </w:tcPr>
          <w:p>
            <w:pPr>
              <w:pStyle w:val="TableContents"/>
              <w:spacing w:before="0" w:after="0"/>
              <w:ind w:left="0" w:right="0" w:hanging="0"/>
              <w:rPr/>
            </w:pPr>
            <w:r>
              <w:rPr/>
              <w:t>​</w:t>
            </w:r>
          </w:p>
        </w:tc>
        <w:tc>
          <w:tcPr>
            <w:tcW w:w="114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Financial Position</w:t>
            </w:r>
          </w:p>
        </w:tc>
        <w:tc>
          <w:tcPr>
            <w:tcW w:w="206" w:type="dxa"/>
            <w:tcBorders/>
            <w:shd w:fill="auto" w:val="clear"/>
            <w:vAlign w:val="center"/>
          </w:tcPr>
          <w:p>
            <w:pPr>
              <w:pStyle w:val="TableContents"/>
              <w:spacing w:before="0" w:after="0"/>
              <w:ind w:left="0" w:right="0" w:hanging="0"/>
              <w:rPr/>
            </w:pPr>
            <w:r>
              <w:rPr/>
              <w:t>​</w:t>
            </w:r>
          </w:p>
        </w:tc>
        <w:tc>
          <w:tcPr>
            <w:tcW w:w="15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of Financial Position</w:t>
            </w:r>
          </w:p>
        </w:tc>
        <w:tc>
          <w:tcPr>
            <w:tcW w:w="206" w:type="dxa"/>
            <w:tcBorders/>
            <w:shd w:fill="auto" w:val="clear"/>
            <w:vAlign w:val="center"/>
          </w:tcPr>
          <w:p>
            <w:pPr>
              <w:pStyle w:val="TableContents"/>
              <w:spacing w:before="0" w:after="0"/>
              <w:ind w:left="0" w:right="0" w:hanging="0"/>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Instruments</w:t>
            </w:r>
          </w:p>
        </w:tc>
        <w:tc>
          <w:tcPr>
            <w:tcW w:w="242" w:type="dxa"/>
            <w:tcBorders/>
            <w:shd w:fill="auto" w:val="clear"/>
            <w:vAlign w:val="center"/>
          </w:tcPr>
          <w:p>
            <w:pPr>
              <w:pStyle w:val="TableContents"/>
              <w:spacing w:before="0" w:after="0"/>
              <w:ind w:left="0" w:right="0" w:hanging="0"/>
              <w:rPr/>
            </w:pPr>
            <w:r>
              <w:rPr/>
              <w:t>​</w:t>
            </w:r>
          </w:p>
        </w:tc>
        <w:tc>
          <w:tcPr>
            <w:tcW w:w="10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Posted</w:t>
            </w:r>
          </w:p>
        </w:tc>
        <w:tc>
          <w:tcPr>
            <w:tcW w:w="242" w:type="dxa"/>
            <w:tcBorders/>
            <w:shd w:fill="auto" w:val="clear"/>
            <w:vAlign w:val="center"/>
          </w:tcPr>
          <w:p>
            <w:pPr>
              <w:pStyle w:val="TableContents"/>
              <w:spacing w:before="0" w:after="0"/>
              <w:ind w:left="0" w:right="0" w:hanging="0"/>
              <w:rPr/>
            </w:pPr>
            <w:r>
              <w:rPr/>
              <w:t>​</w:t>
            </w:r>
          </w:p>
        </w:tc>
        <w:tc>
          <w:tcPr>
            <w:tcW w:w="9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Net Amount</w:t>
            </w:r>
          </w:p>
        </w:tc>
      </w:tr>
      <w:tr>
        <w:trPr/>
        <w:tc>
          <w:tcPr>
            <w:tcW w:w="21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2023</w:t>
            </w:r>
          </w:p>
        </w:tc>
        <w:tc>
          <w:tcPr>
            <w:tcW w:w="326" w:type="dxa"/>
            <w:tcBorders/>
            <w:shd w:fill="CCEEFF" w:val="clear"/>
            <w:vAlign w:val="center"/>
          </w:tcPr>
          <w:p>
            <w:pPr>
              <w:pStyle w:val="TableContents"/>
              <w:spacing w:before="0" w:after="0"/>
              <w:ind w:left="0" w:right="0" w:hanging="0"/>
              <w:rPr/>
            </w:pPr>
            <w:r>
              <w:rPr/>
              <w:t>​</w:t>
            </w:r>
          </w:p>
        </w:tc>
        <w:tc>
          <w:tcPr>
            <w:tcW w:w="423" w:type="dxa"/>
            <w:tcBorders/>
            <w:shd w:fill="CCEEFF" w:val="clear"/>
            <w:vAlign w:val="center"/>
          </w:tcPr>
          <w:p>
            <w:pPr>
              <w:pStyle w:val="TableContents"/>
              <w:spacing w:before="0" w:after="0"/>
              <w:ind w:left="0" w:right="0" w:hanging="0"/>
              <w:jc w:val="center"/>
              <w:rPr/>
            </w:pPr>
            <w:r>
              <w:rPr/>
              <w:t>​</w:t>
            </w:r>
          </w:p>
        </w:tc>
        <w:tc>
          <w:tcPr>
            <w:tcW w:w="659" w:type="dxa"/>
            <w:tcBorders/>
            <w:shd w:fill="CCEEFF" w:val="clear"/>
            <w:vAlign w:val="center"/>
          </w:tcPr>
          <w:p>
            <w:pPr>
              <w:pStyle w:val="TableContents"/>
              <w:spacing w:before="0" w:after="0"/>
              <w:ind w:left="0" w:right="0" w:hanging="0"/>
              <w:jc w:val="center"/>
              <w:rPr/>
            </w:pPr>
            <w:r>
              <w:rPr/>
              <w:t>​</w:t>
            </w:r>
          </w:p>
        </w:tc>
        <w:tc>
          <w:tcPr>
            <w:tcW w:w="206" w:type="dxa"/>
            <w:tcBorders/>
            <w:shd w:fill="CCEEFF" w:val="clear"/>
            <w:vAlign w:val="center"/>
          </w:tcPr>
          <w:p>
            <w:pPr>
              <w:pStyle w:val="TableContents"/>
              <w:spacing w:before="0" w:after="0"/>
              <w:ind w:left="0" w:right="0" w:hanging="0"/>
              <w:rPr/>
            </w:pPr>
            <w:r>
              <w:rPr/>
              <w:t>​</w:t>
            </w:r>
          </w:p>
        </w:tc>
        <w:tc>
          <w:tcPr>
            <w:tcW w:w="423" w:type="dxa"/>
            <w:tcBorders/>
            <w:shd w:fill="CCEEFF" w:val="clear"/>
            <w:vAlign w:val="center"/>
          </w:tcPr>
          <w:p>
            <w:pPr>
              <w:pStyle w:val="TableContents"/>
              <w:spacing w:before="0" w:after="0"/>
              <w:ind w:left="0" w:right="0" w:hanging="0"/>
              <w:jc w:val="center"/>
              <w:rPr/>
            </w:pPr>
            <w:r>
              <w:rPr/>
              <w:t>​</w:t>
            </w:r>
          </w:p>
        </w:tc>
        <w:tc>
          <w:tcPr>
            <w:tcW w:w="720" w:type="dxa"/>
            <w:tcBorders/>
            <w:shd w:fill="CCEEFF" w:val="clear"/>
            <w:vAlign w:val="center"/>
          </w:tcPr>
          <w:p>
            <w:pPr>
              <w:pStyle w:val="TableContents"/>
              <w:spacing w:before="0" w:after="0"/>
              <w:ind w:left="0" w:right="0" w:hanging="0"/>
              <w:jc w:val="center"/>
              <w:rPr/>
            </w:pPr>
            <w:r>
              <w:rPr/>
              <w:t>​</w:t>
            </w:r>
          </w:p>
        </w:tc>
        <w:tc>
          <w:tcPr>
            <w:tcW w:w="206" w:type="dxa"/>
            <w:tcBorders/>
            <w:shd w:fill="CCEEFF" w:val="clear"/>
            <w:vAlign w:val="center"/>
          </w:tcPr>
          <w:p>
            <w:pPr>
              <w:pStyle w:val="TableContents"/>
              <w:spacing w:before="0" w:after="0"/>
              <w:ind w:left="0" w:right="0" w:hanging="0"/>
              <w:rPr/>
            </w:pPr>
            <w:r>
              <w:rPr/>
              <w:t>​</w:t>
            </w:r>
          </w:p>
        </w:tc>
        <w:tc>
          <w:tcPr>
            <w:tcW w:w="562" w:type="dxa"/>
            <w:tcBorders/>
            <w:shd w:fill="CCEEFF" w:val="clear"/>
            <w:vAlign w:val="center"/>
          </w:tcPr>
          <w:p>
            <w:pPr>
              <w:pStyle w:val="TableContents"/>
              <w:spacing w:before="0" w:after="0"/>
              <w:ind w:left="0" w:right="0" w:hanging="0"/>
              <w:jc w:val="center"/>
              <w:rPr/>
            </w:pPr>
            <w:r>
              <w:rPr/>
              <w:t>​</w:t>
            </w:r>
          </w:p>
        </w:tc>
        <w:tc>
          <w:tcPr>
            <w:tcW w:w="965" w:type="dxa"/>
            <w:tcBorders/>
            <w:shd w:fill="CCEEFF" w:val="clear"/>
            <w:vAlign w:val="center"/>
          </w:tcPr>
          <w:p>
            <w:pPr>
              <w:pStyle w:val="TableContents"/>
              <w:spacing w:before="0" w:after="0"/>
              <w:ind w:left="0" w:right="0" w:hanging="0"/>
              <w:jc w:val="center"/>
              <w:rPr/>
            </w:pPr>
            <w:r>
              <w:rPr/>
              <w:t>​</w:t>
            </w:r>
          </w:p>
        </w:tc>
        <w:tc>
          <w:tcPr>
            <w:tcW w:w="20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jc w:val="center"/>
              <w:rPr/>
            </w:pPr>
            <w:r>
              <w:rPr/>
              <w:t>​</w:t>
            </w:r>
          </w:p>
        </w:tc>
        <w:tc>
          <w:tcPr>
            <w:tcW w:w="585" w:type="dxa"/>
            <w:tcBorders/>
            <w:shd w:fill="CCEEFF" w:val="clear"/>
            <w:vAlign w:val="center"/>
          </w:tcPr>
          <w:p>
            <w:pPr>
              <w:pStyle w:val="TableContents"/>
              <w:spacing w:before="0" w:after="0"/>
              <w:ind w:left="0" w:right="0" w:hanging="0"/>
              <w:jc w:val="center"/>
              <w:rPr/>
            </w:pPr>
            <w:r>
              <w:rPr/>
              <w:t>​</w:t>
            </w:r>
          </w:p>
        </w:tc>
        <w:tc>
          <w:tcPr>
            <w:tcW w:w="242" w:type="dxa"/>
            <w:tcBorders/>
            <w:shd w:fill="CCEEFF" w:val="clear"/>
            <w:vAlign w:val="center"/>
          </w:tcPr>
          <w:p>
            <w:pPr>
              <w:pStyle w:val="TableContents"/>
              <w:spacing w:before="0" w:after="0"/>
              <w:ind w:left="0" w:right="0" w:hanging="0"/>
              <w:rPr/>
            </w:pPr>
            <w:r>
              <w:rPr/>
              <w:t>​</w:t>
            </w:r>
          </w:p>
        </w:tc>
        <w:tc>
          <w:tcPr>
            <w:tcW w:w="365" w:type="dxa"/>
            <w:tcBorders/>
            <w:shd w:fill="CCEEFF" w:val="clear"/>
            <w:vAlign w:val="center"/>
          </w:tcPr>
          <w:p>
            <w:pPr>
              <w:pStyle w:val="TableContents"/>
              <w:spacing w:before="0" w:after="0"/>
              <w:ind w:left="0" w:right="0" w:hanging="0"/>
              <w:jc w:val="center"/>
              <w:rPr/>
            </w:pPr>
            <w:r>
              <w:rPr/>
              <w:t>​</w:t>
            </w:r>
          </w:p>
        </w:tc>
        <w:tc>
          <w:tcPr>
            <w:tcW w:w="645" w:type="dxa"/>
            <w:tcBorders/>
            <w:shd w:fill="CCEEFF" w:val="clear"/>
            <w:vAlign w:val="center"/>
          </w:tcPr>
          <w:p>
            <w:pPr>
              <w:pStyle w:val="TableContents"/>
              <w:spacing w:before="0" w:after="0"/>
              <w:ind w:left="0" w:right="0" w:hanging="0"/>
              <w:jc w:val="center"/>
              <w:rPr/>
            </w:pPr>
            <w:r>
              <w:rPr/>
              <w:t>​</w:t>
            </w:r>
          </w:p>
        </w:tc>
        <w:tc>
          <w:tcPr>
            <w:tcW w:w="242"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jc w:val="center"/>
              <w:rPr/>
            </w:pPr>
            <w:r>
              <w:rPr/>
              <w:t>​</w:t>
            </w:r>
          </w:p>
        </w:tc>
        <w:tc>
          <w:tcPr>
            <w:tcW w:w="629" w:type="dxa"/>
            <w:tcBorders/>
            <w:shd w:fill="CCEEFF" w:val="clear"/>
            <w:vAlign w:val="center"/>
          </w:tcPr>
          <w:p>
            <w:pPr>
              <w:pStyle w:val="TableContents"/>
              <w:spacing w:before="0" w:after="0"/>
              <w:ind w:left="0" w:right="0" w:hanging="0"/>
              <w:jc w:val="center"/>
              <w:rPr/>
            </w:pPr>
            <w:r>
              <w:rPr/>
              <w:t>​</w:t>
            </w:r>
          </w:p>
        </w:tc>
      </w:tr>
      <w:tr>
        <w:trPr/>
        <w:tc>
          <w:tcPr>
            <w:tcW w:w="21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auto" w:val="clear"/>
            <w:vAlign w:val="center"/>
          </w:tcPr>
          <w:p>
            <w:pPr>
              <w:pStyle w:val="TableContents"/>
              <w:spacing w:before="0" w:after="0"/>
              <w:ind w:left="0" w:right="0" w:hanging="0"/>
              <w:rPr/>
            </w:pPr>
            <w:r>
              <w:rPr/>
              <w:t> </w:t>
            </w:r>
          </w:p>
        </w:tc>
        <w:tc>
          <w:tcPr>
            <w:tcW w:w="4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9"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42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0"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562"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65"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shd w:fill="auto" w:val="clear"/>
            <w:vAlign w:val="center"/>
          </w:tcPr>
          <w:p>
            <w:pPr>
              <w:pStyle w:val="TableContents"/>
              <w:spacing w:before="0" w:after="0"/>
              <w:ind w:left="0" w:right="0" w:hanging="0"/>
              <w:jc w:val="right"/>
              <w:rPr/>
            </w:pPr>
            <w:r>
              <w:rPr/>
              <w:t>—</w:t>
            </w:r>
          </w:p>
        </w:tc>
        <w:tc>
          <w:tcPr>
            <w:tcW w:w="242" w:type="dxa"/>
            <w:tcBorders/>
            <w:shd w:fill="auto" w:val="clear"/>
            <w:vAlign w:val="center"/>
          </w:tcPr>
          <w:p>
            <w:pPr>
              <w:pStyle w:val="TableContents"/>
              <w:spacing w:before="0" w:after="0"/>
              <w:ind w:left="0" w:right="0" w:hanging="0"/>
              <w:rPr/>
            </w:pPr>
            <w:r>
              <w:rPr/>
              <w:t>​</w:t>
            </w:r>
          </w:p>
        </w:tc>
        <w:tc>
          <w:tcPr>
            <w:tcW w:w="36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45" w:type="dxa"/>
            <w:tcBorders/>
            <w:shd w:fill="auto" w:val="clear"/>
            <w:vAlign w:val="center"/>
          </w:tcPr>
          <w:p>
            <w:pPr>
              <w:pStyle w:val="TableContents"/>
              <w:spacing w:before="0" w:after="0"/>
              <w:ind w:left="0" w:right="0" w:hanging="0"/>
              <w:jc w:val="right"/>
              <w:rPr/>
            </w:pPr>
            <w:r>
              <w:rPr/>
              <w:t>—</w:t>
            </w:r>
          </w:p>
        </w:tc>
        <w:tc>
          <w:tcPr>
            <w:tcW w:w="242"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auto" w:val="clear"/>
            <w:vAlign w:val="center"/>
          </w:tcPr>
          <w:p>
            <w:pPr>
              <w:pStyle w:val="TableContents"/>
              <w:spacing w:before="0" w:after="0"/>
              <w:ind w:left="0" w:right="0" w:hanging="0"/>
              <w:jc w:val="right"/>
              <w:rPr/>
            </w:pPr>
            <w:r>
              <w:rPr/>
              <w:t>—</w:t>
            </w:r>
          </w:p>
        </w:tc>
      </w:tr>
      <w:tr>
        <w:trPr/>
        <w:tc>
          <w:tcPr>
            <w:tcW w:w="218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23" w:type="dxa"/>
            <w:tcBorders/>
            <w:shd w:fill="CCEEFF" w:val="clear"/>
            <w:vAlign w:val="center"/>
          </w:tcPr>
          <w:p>
            <w:pPr>
              <w:pStyle w:val="TableContents"/>
              <w:spacing w:before="0" w:after="0"/>
              <w:ind w:left="0" w:right="0" w:hanging="0"/>
              <w:rPr/>
            </w:pPr>
            <w:r>
              <w:rPr/>
              <w:t>​</w:t>
            </w:r>
          </w:p>
        </w:tc>
        <w:tc>
          <w:tcPr>
            <w:tcW w:w="659"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423"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562" w:type="dxa"/>
            <w:tcBorders/>
            <w:shd w:fill="CCEEFF" w:val="clear"/>
            <w:vAlign w:val="center"/>
          </w:tcPr>
          <w:p>
            <w:pPr>
              <w:pStyle w:val="TableContents"/>
              <w:spacing w:before="0" w:after="0"/>
              <w:ind w:left="0" w:right="0" w:hanging="0"/>
              <w:rPr/>
            </w:pPr>
            <w:r>
              <w:rPr/>
              <w:t>​</w:t>
            </w:r>
          </w:p>
        </w:tc>
        <w:tc>
          <w:tcPr>
            <w:tcW w:w="965"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w:t>
            </w:r>
          </w:p>
        </w:tc>
        <w:tc>
          <w:tcPr>
            <w:tcW w:w="585"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365" w:type="dxa"/>
            <w:tcBorders/>
            <w:shd w:fill="CCEEFF" w:val="clear"/>
            <w:vAlign w:val="center"/>
          </w:tcPr>
          <w:p>
            <w:pPr>
              <w:pStyle w:val="TableContents"/>
              <w:spacing w:before="0" w:after="0"/>
              <w:ind w:left="0" w:right="0" w:hanging="0"/>
              <w:rPr/>
            </w:pPr>
            <w:r>
              <w:rPr/>
              <w:t>​</w:t>
            </w:r>
          </w:p>
        </w:tc>
        <w:tc>
          <w:tcPr>
            <w:tcW w:w="645"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rPr/>
            </w:pPr>
            <w:r>
              <w:rPr/>
              <w:t>​</w:t>
            </w:r>
          </w:p>
        </w:tc>
      </w:tr>
      <w:tr>
        <w:trPr/>
        <w:tc>
          <w:tcPr>
            <w:tcW w:w="21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2022</w:t>
            </w:r>
          </w:p>
        </w:tc>
        <w:tc>
          <w:tcPr>
            <w:tcW w:w="326" w:type="dxa"/>
            <w:tcBorders/>
            <w:shd w:fill="auto" w:val="clear"/>
            <w:vAlign w:val="center"/>
          </w:tcPr>
          <w:p>
            <w:pPr>
              <w:pStyle w:val="TableContents"/>
              <w:spacing w:before="0" w:after="0"/>
              <w:ind w:left="0" w:right="0" w:hanging="0"/>
              <w:rPr/>
            </w:pPr>
            <w:r>
              <w:rPr/>
              <w:t>​</w:t>
            </w:r>
          </w:p>
        </w:tc>
        <w:tc>
          <w:tcPr>
            <w:tcW w:w="423" w:type="dxa"/>
            <w:tcBorders/>
            <w:shd w:fill="auto" w:val="clear"/>
            <w:vAlign w:val="center"/>
          </w:tcPr>
          <w:p>
            <w:pPr>
              <w:pStyle w:val="TableContents"/>
              <w:spacing w:before="0" w:after="0"/>
              <w:ind w:left="0" w:right="0" w:hanging="0"/>
              <w:rPr/>
            </w:pPr>
            <w:r>
              <w:rPr/>
              <w:t>​</w:t>
            </w:r>
          </w:p>
        </w:tc>
        <w:tc>
          <w:tcPr>
            <w:tcW w:w="65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423"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562" w:type="dxa"/>
            <w:tcBorders/>
            <w:shd w:fill="auto" w:val="clear"/>
            <w:vAlign w:val="center"/>
          </w:tcPr>
          <w:p>
            <w:pPr>
              <w:pStyle w:val="TableContents"/>
              <w:spacing w:before="0" w:after="0"/>
              <w:ind w:left="0" w:right="0" w:hanging="0"/>
              <w:rPr/>
            </w:pPr>
            <w:r>
              <w:rPr/>
              <w:t>​</w:t>
            </w:r>
          </w:p>
        </w:tc>
        <w:tc>
          <w:tcPr>
            <w:tcW w:w="965"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585"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365"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rPr/>
            </w:pPr>
            <w:r>
              <w:rPr/>
              <w:t>​</w:t>
            </w:r>
          </w:p>
        </w:tc>
      </w:tr>
      <w:tr>
        <w:trPr/>
        <w:tc>
          <w:tcPr>
            <w:tcW w:w="21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spacing w:before="0" w:after="0"/>
              <w:ind w:left="0" w:right="0" w:hanging="0"/>
              <w:rPr/>
            </w:pPr>
            <w:r>
              <w:rPr/>
              <w:t>​</w:t>
            </w:r>
          </w:p>
        </w:tc>
        <w:tc>
          <w:tcPr>
            <w:tcW w:w="4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9"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42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0"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562"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65"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85" w:type="dxa"/>
            <w:tcBorders/>
            <w:shd w:fill="CCEEFF" w:val="clear"/>
            <w:vAlign w:val="center"/>
          </w:tcPr>
          <w:p>
            <w:pPr>
              <w:pStyle w:val="TableContents"/>
              <w:spacing w:before="0" w:after="0"/>
              <w:ind w:left="0" w:right="0" w:hanging="0"/>
              <w:jc w:val="right"/>
              <w:rPr/>
            </w:pPr>
            <w:r>
              <w:rPr/>
              <w:t>—</w:t>
            </w:r>
          </w:p>
        </w:tc>
        <w:tc>
          <w:tcPr>
            <w:tcW w:w="242" w:type="dxa"/>
            <w:tcBorders/>
            <w:shd w:fill="CCEEFF" w:val="clear"/>
            <w:vAlign w:val="center"/>
          </w:tcPr>
          <w:p>
            <w:pPr>
              <w:pStyle w:val="TableContents"/>
              <w:spacing w:before="0" w:after="0"/>
              <w:ind w:left="0" w:right="0" w:hanging="0"/>
              <w:rPr/>
            </w:pPr>
            <w:r>
              <w:rPr/>
              <w:t>​</w:t>
            </w:r>
          </w:p>
        </w:tc>
        <w:tc>
          <w:tcPr>
            <w:tcW w:w="36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45" w:type="dxa"/>
            <w:tcBorders/>
            <w:shd w:fill="CCEEFF" w:val="clear"/>
            <w:vAlign w:val="center"/>
          </w:tcPr>
          <w:p>
            <w:pPr>
              <w:pStyle w:val="TableContents"/>
              <w:spacing w:before="0" w:after="0"/>
              <w:ind w:left="0" w:right="0" w:hanging="0"/>
              <w:jc w:val="right"/>
              <w:rPr/>
            </w:pPr>
            <w:r>
              <w:rPr/>
              <w:t>—</w:t>
            </w:r>
          </w:p>
        </w:tc>
        <w:tc>
          <w:tcPr>
            <w:tcW w:w="242" w:type="dxa"/>
            <w:tcBorders/>
            <w:shd w:fill="CCEEFF" w:val="clear"/>
            <w:vAlign w:val="center"/>
          </w:tcPr>
          <w:p>
            <w:pPr>
              <w:pStyle w:val="TableContents"/>
              <w:spacing w:before="0" w:after="0"/>
              <w:ind w:left="0" w:right="0" w:hanging="0"/>
              <w:rPr/>
            </w:pPr>
            <w:r>
              <w:rPr/>
              <w:t>​</w:t>
            </w:r>
          </w:p>
        </w:tc>
        <w:tc>
          <w:tcPr>
            <w:tcW w:w="28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Credit-Risk–Related Contingent Features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interest rate swap agreements with certain of its derivative counterparties that contain a provision where if the Company either defaults or fails to maintain its status as a well or adequately capitalized institution, then the Company could be required to terminate the contracts or post additional collateral.   At March 31, 2023, the Company had no derivatives in a net liability position related to these agreements. The Company has minimum collateral posting thresholds with certain of its derivative counterparties and has posted collateral of securities with a carrying value of $2.9 million and cash of $680,000 to secure interest rate swap agreements at March 31, 2023. The Company had posted cash collateral of $115,000 for TBA trades with counterparties at that date.  In certain cases, the Company will have posted excess collateral, compared to total exposure due to initial margin requirements or day-to-day rate volatility.</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bookmarkStart w:id="2896" w:name="Tc_a4blqIDLZ0mbeHviNVmIVw_6_8"/>
      <w:bookmarkStart w:id="2897" w:name="Tc_xqfeQbFpekKlAnX_UToCmw_6_4"/>
      <w:bookmarkStart w:id="2898" w:name="Tc_nWy7rzFVA0O9NOteT3Gtsg_6_0"/>
      <w:bookmarkStart w:id="2899" w:name="Tc_CqPYFjtfAU2R2BoLXECIHw_5_8"/>
      <w:bookmarkStart w:id="2900" w:name="Tc_RJhncKuIKEeWrhjWrpn83w_5_4"/>
      <w:bookmarkStart w:id="2901" w:name="Tc_QvtV5UEGPk6faDtBMr9leA_5_0"/>
      <w:bookmarkStart w:id="2902" w:name="Tc_b8-ihv9r40OeuATNwmP1aw_4_6"/>
      <w:bookmarkStart w:id="2903" w:name="Tc_E7MBlO7VO0O2KaUBg08Rig_4_2"/>
      <w:bookmarkStart w:id="2904" w:name="Tc_vpSIoOvT606LY5OkHufthg_4_0"/>
      <w:bookmarkStart w:id="2905" w:name="Tc_mI0pnQ4pP0SMlMmpjamwwg_3_6"/>
      <w:bookmarkStart w:id="2906" w:name="Tc_fJv49SurbEip5P6_MQyGuA_3_2"/>
      <w:bookmarkStart w:id="2907" w:name="Tc_9G_ITc_10E6wncqUAgXd4w_3_0"/>
      <w:bookmarkStart w:id="2908" w:name="Tc_ItznWgbQMUaJClk17bX2dQ_2_6"/>
      <w:bookmarkStart w:id="2909" w:name="Tc_g0PR-fAWxEW-CEX4sTsgCg_2_2"/>
      <w:bookmarkStart w:id="2910" w:name="Tc_F7z2tGu5JkqeDGhAiVy8uA_2_0"/>
      <w:bookmarkStart w:id="2911" w:name="Tc_gGKSCH3p8EK8zU-xPjU7SA_1_6"/>
      <w:bookmarkStart w:id="2912" w:name="Tc_-K5T3r8EpUCtxc3li4uuPA_1_2"/>
      <w:bookmarkStart w:id="2913" w:name="_2b8237ec_5142_413c_85d3_96228bc41786"/>
      <w:bookmarkStart w:id="2914" w:name="Tc_U3y0qYbVPE2wEa5JNZfCNA_5_5"/>
      <w:bookmarkStart w:id="2915" w:name="Tc_omAIOhuhG0OJWSdwQOv_nA_5_2"/>
      <w:bookmarkStart w:id="2916" w:name="Tc_L1R0w4UcekW1w4sPJYCEmg_5_0"/>
      <w:bookmarkStart w:id="2917" w:name="Tc_i_U1mWIUcku_zn6uJXhw8g_4_0"/>
      <w:bookmarkStart w:id="2918" w:name="Tc_u89YQzgzq026PG1OwhwoJg_3_5"/>
      <w:bookmarkStart w:id="2919" w:name="Tc_Wr2sR3F3iE61EbnZP2R9mg_3_2"/>
      <w:bookmarkStart w:id="2920" w:name="Tc_75yoqgbQD0yZXRuxi0-mbA_3_0"/>
      <w:bookmarkStart w:id="2921" w:name="Tc_o2XNLt7MQku8NbGFqksPKQ_2_5"/>
      <w:bookmarkStart w:id="2922" w:name="Tc_Ed0hiHvQ_UWl9sRpcmcCsA_2_2"/>
      <w:bookmarkStart w:id="2923" w:name="Tc_cEjDNdcIb0yWPsM8qkC2oA_2_0"/>
      <w:bookmarkStart w:id="2924" w:name="Tc_0pVLJJVDcE2eFDPe1-Q95w_1_5"/>
      <w:bookmarkStart w:id="2925" w:name="Tc_mVNymuj9OEKSNioHoTIq-w_1_2"/>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r>
        <w:rPr>
          <w:rFonts w:ascii="Times New Roman;Times;serif" w:hAnsi="Times New Roman;Times;serif"/>
          <w:b/>
          <w:sz w:val="20"/>
        </w:rPr>
        <w:t>NOTE 7 – LEASES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operating leases for retail bank and home lending branches, loan production offices, and certain equipment. The Company’s leases have remaining lease terms of 12 months to seven years and three months, some of which include options to extend the leases for up to five years.</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The components of lease cost (included in occupancy expense on the Consolidated Statements of Income) are as follows for the three months ended March 31, 2023 and 2022:</w:t>
      </w:r>
    </w:p>
    <w:p>
      <w:pPr>
        <w:pStyle w:val="TextBody"/>
        <w:spacing w:before="0" w:after="0"/>
        <w:ind w:left="0" w:right="0" w:hanging="0"/>
        <w:rPr/>
      </w:pPr>
      <w:r>
        <w:rPr/>
        <w:t>​</w:t>
      </w:r>
    </w:p>
    <w:tbl>
      <w:tblPr>
        <w:tblW w:w="6578" w:type="dxa"/>
        <w:jc w:val="left"/>
        <w:tblInd w:w="0" w:type="dxa"/>
        <w:tblCellMar>
          <w:top w:w="0" w:type="dxa"/>
          <w:left w:w="0" w:type="dxa"/>
          <w:bottom w:w="0" w:type="dxa"/>
          <w:right w:w="0" w:type="dxa"/>
        </w:tblCellMar>
      </w:tblPr>
      <w:tblGrid>
        <w:gridCol w:w="1801"/>
        <w:gridCol w:w="506"/>
        <w:gridCol w:w="619"/>
        <w:gridCol w:w="1241"/>
        <w:gridCol w:w="506"/>
        <w:gridCol w:w="544"/>
        <w:gridCol w:w="1361"/>
      </w:tblGrid>
      <w:tr>
        <w:trPr/>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143635" cy="175260"/>
                      <wp:effectExtent l="0" t="0" r="0" b="0"/>
                      <wp:wrapNone/>
                      <wp:docPr id="531" name="Frame531"/>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321310" cy="175260"/>
                      <wp:effectExtent l="0" t="0" r="0" b="0"/>
                      <wp:wrapNone/>
                      <wp:docPr id="532" name="Frame532"/>
                      <a:graphic xmlns:a="http://schemas.openxmlformats.org/drawingml/2006/main">
                        <a:graphicData uri="http://schemas.microsoft.com/office/word/2010/wordprocessingShape">
                          <wps:wsp>
                            <wps:cNvSpPr txBox="1"/>
                            <wps:spPr>
                              <a:xfrm>
                                <a:off x="0" y="0"/>
                                <a:ext cx="321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393065" cy="175260"/>
                      <wp:effectExtent l="0" t="0" r="0" b="0"/>
                      <wp:wrapNone/>
                      <wp:docPr id="533" name="Frame533"/>
                      <a:graphic xmlns:a="http://schemas.openxmlformats.org/drawingml/2006/main">
                        <a:graphicData uri="http://schemas.microsoft.com/office/word/2010/wordprocessingShape">
                          <wps:wsp>
                            <wps:cNvSpPr txBox="1"/>
                            <wps:spPr>
                              <a:xfrm>
                                <a:off x="0" y="0"/>
                                <a:ext cx="393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788035" cy="175260"/>
                      <wp:effectExtent l="0" t="0" r="0" b="0"/>
                      <wp:wrapNone/>
                      <wp:docPr id="534" name="Frame534"/>
                      <a:graphic xmlns:a="http://schemas.openxmlformats.org/drawingml/2006/main">
                        <a:graphicData uri="http://schemas.microsoft.com/office/word/2010/wordprocessingShape">
                          <wps:wsp>
                            <wps:cNvSpPr txBox="1"/>
                            <wps:spPr>
                              <a:xfrm>
                                <a:off x="0" y="0"/>
                                <a:ext cx="788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21310" cy="175260"/>
                      <wp:effectExtent l="0" t="0" r="0" b="0"/>
                      <wp:wrapNone/>
                      <wp:docPr id="535" name="Frame535"/>
                      <a:graphic xmlns:a="http://schemas.openxmlformats.org/drawingml/2006/main">
                        <a:graphicData uri="http://schemas.microsoft.com/office/word/2010/wordprocessingShape">
                          <wps:wsp>
                            <wps:cNvSpPr txBox="1"/>
                            <wps:spPr>
                              <a:xfrm>
                                <a:off x="0" y="0"/>
                                <a:ext cx="321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345440" cy="175260"/>
                      <wp:effectExtent l="0" t="0" r="0" b="0"/>
                      <wp:wrapNone/>
                      <wp:docPr id="536" name="Frame536"/>
                      <a:graphic xmlns:a="http://schemas.openxmlformats.org/drawingml/2006/main">
                        <a:graphicData uri="http://schemas.microsoft.com/office/word/2010/wordprocessingShape">
                          <wps:wsp>
                            <wps:cNvSpPr txBox="1"/>
                            <wps:spPr>
                              <a:xfrm>
                                <a:off x="0" y="0"/>
                                <a:ext cx="345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864235" cy="175260"/>
                      <wp:effectExtent l="0" t="0" r="0" b="0"/>
                      <wp:wrapNone/>
                      <wp:docPr id="537" name="Frame537"/>
                      <a:graphic xmlns:a="http://schemas.openxmlformats.org/drawingml/2006/main">
                        <a:graphicData uri="http://schemas.microsoft.com/office/word/2010/wordprocessingShape">
                          <wps:wsp>
                            <wps:cNvSpPr txBox="1"/>
                            <wps:spPr>
                              <a:xfrm>
                                <a:off x="0" y="0"/>
                                <a:ext cx="864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01" w:type="dxa"/>
            <w:tcBorders/>
            <w:shd w:fill="auto" w:val="clear"/>
            <w:vAlign w:val="center"/>
          </w:tcPr>
          <w:p>
            <w:pPr>
              <w:pStyle w:val="TableContents"/>
              <w:spacing w:before="0" w:after="1"/>
              <w:ind w:left="0" w:right="0" w:hanging="0"/>
              <w:rPr/>
            </w:pPr>
            <w:r>
              <w:rPr/>
              <w:t>​</w:t>
            </w:r>
          </w:p>
        </w:tc>
        <w:tc>
          <w:tcPr>
            <w:tcW w:w="506" w:type="dxa"/>
            <w:tcBorders/>
            <w:shd w:fill="auto" w:val="clear"/>
            <w:vAlign w:val="center"/>
          </w:tcPr>
          <w:p>
            <w:pPr>
              <w:pStyle w:val="TableContents"/>
              <w:spacing w:before="0" w:after="1"/>
              <w:ind w:left="0" w:right="0" w:hanging="0"/>
              <w:rPr/>
            </w:pPr>
            <w:r>
              <w:rPr/>
              <w:t>​</w:t>
            </w:r>
          </w:p>
        </w:tc>
        <w:tc>
          <w:tcPr>
            <w:tcW w:w="1860"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c>
          <w:tcPr>
            <w:tcW w:w="506" w:type="dxa"/>
            <w:tcBorders/>
            <w:shd w:fill="auto" w:val="clear"/>
            <w:vAlign w:val="center"/>
          </w:tcPr>
          <w:p>
            <w:pPr>
              <w:pStyle w:val="TableContents"/>
              <w:spacing w:before="0" w:after="1"/>
              <w:ind w:left="0" w:right="0" w:hanging="0"/>
              <w:rPr/>
            </w:pPr>
            <w:r>
              <w:rPr/>
              <w:t>​</w:t>
            </w:r>
          </w:p>
        </w:tc>
        <w:tc>
          <w:tcPr>
            <w:tcW w:w="1905"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r>
      <w:tr>
        <w:trPr/>
        <w:tc>
          <w:tcPr>
            <w:tcW w:w="18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cost:</w:t>
            </w:r>
          </w:p>
        </w:tc>
        <w:tc>
          <w:tcPr>
            <w:tcW w:w="506" w:type="dxa"/>
            <w:tcBorders/>
            <w:shd w:fill="auto" w:val="clear"/>
            <w:vAlign w:val="center"/>
          </w:tcPr>
          <w:p>
            <w:pPr>
              <w:pStyle w:val="TableContents"/>
              <w:spacing w:before="0" w:after="1"/>
              <w:ind w:left="0" w:right="0" w:hanging="0"/>
              <w:rPr/>
            </w:pPr>
            <w:r>
              <w:rPr/>
              <w:t>       </w:t>
            </w:r>
          </w:p>
        </w:tc>
        <w:tc>
          <w:tcPr>
            <w:tcW w:w="18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2023</w:t>
            </w:r>
          </w:p>
        </w:tc>
        <w:tc>
          <w:tcPr>
            <w:tcW w:w="506" w:type="dxa"/>
            <w:tcBorders/>
            <w:shd w:fill="auto" w:val="clear"/>
            <w:vAlign w:val="center"/>
          </w:tcPr>
          <w:p>
            <w:pPr>
              <w:pStyle w:val="TableContents"/>
              <w:spacing w:before="0" w:after="1"/>
              <w:ind w:left="0" w:right="0" w:hanging="0"/>
              <w:rPr/>
            </w:pPr>
            <w:r>
              <w:rPr/>
              <w:t>       </w:t>
            </w:r>
          </w:p>
        </w:tc>
        <w:tc>
          <w:tcPr>
            <w:tcW w:w="19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2022</w:t>
            </w:r>
          </w:p>
        </w:tc>
      </w:tr>
      <w:tr>
        <w:trPr/>
        <w:tc>
          <w:tcPr>
            <w:tcW w:w="18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cost</w:t>
            </w:r>
          </w:p>
        </w:tc>
        <w:tc>
          <w:tcPr>
            <w:tcW w:w="506" w:type="dxa"/>
            <w:tcBorders/>
            <w:shd w:fill="CCEEFF" w:val="clear"/>
            <w:vAlign w:val="center"/>
          </w:tcPr>
          <w:p>
            <w:pPr>
              <w:pStyle w:val="TableContents"/>
              <w:spacing w:before="0" w:after="1"/>
              <w:ind w:left="0" w:right="0" w:hanging="0"/>
              <w:rPr/>
            </w:pPr>
            <w:r>
              <w:rPr/>
              <w:t>​</w:t>
            </w:r>
          </w:p>
        </w:tc>
        <w:tc>
          <w:tcPr>
            <w:tcW w:w="6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506" w:type="dxa"/>
            <w:tcBorders/>
            <w:shd w:fill="CCEEFF" w:val="clear"/>
            <w:vAlign w:val="center"/>
          </w:tcPr>
          <w:p>
            <w:pPr>
              <w:pStyle w:val="TableContents"/>
              <w:spacing w:before="0" w:after="1"/>
              <w:ind w:left="0" w:right="0" w:hanging="0"/>
              <w:rPr/>
            </w:pPr>
            <w:r>
              <w:rPr/>
              <w:t>​</w:t>
            </w:r>
          </w:p>
        </w:tc>
        <w:tc>
          <w:tcPr>
            <w:tcW w:w="54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18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lease cost</w:t>
            </w:r>
          </w:p>
        </w:tc>
        <w:tc>
          <w:tcPr>
            <w:tcW w:w="506" w:type="dxa"/>
            <w:tcBorders/>
            <w:shd w:fill="auto" w:val="clear"/>
            <w:vAlign w:val="center"/>
          </w:tcPr>
          <w:p>
            <w:pPr>
              <w:pStyle w:val="TableContents"/>
              <w:spacing w:before="0" w:after="1"/>
              <w:ind w:left="0" w:right="0" w:hanging="0"/>
              <w:rPr/>
            </w:pPr>
            <w:r>
              <w:rPr/>
              <w:t>​</w:t>
            </w:r>
          </w:p>
        </w:tc>
        <w:tc>
          <w:tcPr>
            <w:tcW w:w="61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506" w:type="dxa"/>
            <w:tcBorders/>
            <w:shd w:fill="auto" w:val="clear"/>
            <w:vAlign w:val="center"/>
          </w:tcPr>
          <w:p>
            <w:pPr>
              <w:pStyle w:val="TableContents"/>
              <w:spacing w:before="0" w:after="1"/>
              <w:ind w:left="0" w:right="0" w:hanging="0"/>
              <w:rPr/>
            </w:pPr>
            <w:r>
              <w:rPr/>
              <w:t>​</w:t>
            </w:r>
          </w:p>
        </w:tc>
        <w:tc>
          <w:tcPr>
            <w:tcW w:w="54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3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8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cost</w:t>
            </w:r>
          </w:p>
        </w:tc>
        <w:tc>
          <w:tcPr>
            <w:tcW w:w="506" w:type="dxa"/>
            <w:tcBorders/>
            <w:shd w:fill="CCEEFF" w:val="clear"/>
            <w:vAlign w:val="center"/>
          </w:tcPr>
          <w:p>
            <w:pPr>
              <w:pStyle w:val="TableContents"/>
              <w:spacing w:before="0" w:after="1"/>
              <w:ind w:left="0" w:right="0" w:hanging="0"/>
              <w:rPr/>
            </w:pPr>
            <w:r>
              <w:rPr/>
              <w:t>​</w:t>
            </w:r>
          </w:p>
        </w:tc>
        <w:tc>
          <w:tcPr>
            <w:tcW w:w="61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506" w:type="dxa"/>
            <w:tcBorders/>
            <w:shd w:fill="CCEEFF" w:val="clear"/>
            <w:vAlign w:val="center"/>
          </w:tcPr>
          <w:p>
            <w:pPr>
              <w:pStyle w:val="TableContents"/>
              <w:spacing w:before="0" w:after="1"/>
              <w:ind w:left="0" w:right="0" w:hanging="0"/>
              <w:rPr/>
            </w:pPr>
            <w:r>
              <w:rPr/>
              <w:t>​</w:t>
            </w:r>
          </w:p>
        </w:tc>
        <w:tc>
          <w:tcPr>
            <w:tcW w:w="54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6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344</w:t>
            </w:r>
          </w:p>
        </w:tc>
      </w:tr>
    </w:tbl>
    <w:p>
      <w:pPr>
        <w:pStyle w:val="TextBody"/>
        <w:spacing w:before="0" w:after="0"/>
        <w:ind w:left="0" w:right="0" w:hanging="0"/>
        <w:rPr/>
      </w:pPr>
      <w:r>
        <w:rPr/>
        <w:t>​</w:t>
      </w:r>
    </w:p>
    <w:p>
      <w:pPr>
        <w:pStyle w:val="TextBody"/>
        <w:spacing w:before="240" w:after="120"/>
        <w:ind w:left="0" w:right="0" w:hanging="0"/>
        <w:jc w:val="both"/>
        <w:rPr>
          <w:rFonts w:ascii="Times New Roman;Times;serif" w:hAnsi="Times New Roman;Times;serif"/>
          <w:sz w:val="20"/>
        </w:rPr>
      </w:pPr>
      <w:r>
        <w:rPr>
          <w:rFonts w:ascii="Times New Roman;Times;serif" w:hAnsi="Times New Roman;Times;serif"/>
          <w:sz w:val="20"/>
        </w:rPr>
        <w:t>The following tables provide supplemental information related to operating leases at or for the three months ended March 31, 2023 and 2022:</w:t>
      </w:r>
    </w:p>
    <w:p>
      <w:pPr>
        <w:pStyle w:val="TextBody"/>
        <w:spacing w:before="0" w:after="0"/>
        <w:ind w:left="0" w:right="0" w:hanging="0"/>
        <w:rPr/>
      </w:pPr>
      <w:r>
        <w:rPr/>
        <w:t>​</w:t>
      </w:r>
    </w:p>
    <w:tbl>
      <w:tblPr>
        <w:tblW w:w="9052" w:type="dxa"/>
        <w:jc w:val="left"/>
        <w:tblInd w:w="0" w:type="dxa"/>
        <w:tblCellMar>
          <w:top w:w="0" w:type="dxa"/>
          <w:left w:w="0" w:type="dxa"/>
          <w:bottom w:w="0" w:type="dxa"/>
          <w:right w:w="0" w:type="dxa"/>
        </w:tblCellMar>
      </w:tblPr>
      <w:tblGrid>
        <w:gridCol w:w="4726"/>
        <w:gridCol w:w="326"/>
        <w:gridCol w:w="318"/>
        <w:gridCol w:w="703"/>
        <w:gridCol w:w="794"/>
        <w:gridCol w:w="326"/>
        <w:gridCol w:w="314"/>
        <w:gridCol w:w="694"/>
        <w:gridCol w:w="851"/>
      </w:tblGrid>
      <w:tr>
        <w:trPr/>
        <w:tc>
          <w:tcPr>
            <w:tcW w:w="4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001010" cy="175260"/>
                      <wp:effectExtent l="0" t="0" r="0" b="0"/>
                      <wp:wrapNone/>
                      <wp:docPr id="538" name="Frame538"/>
                      <a:graphic xmlns:a="http://schemas.openxmlformats.org/drawingml/2006/main">
                        <a:graphicData uri="http://schemas.microsoft.com/office/word/2010/wordprocessingShape">
                          <wps:wsp>
                            <wps:cNvSpPr txBox="1"/>
                            <wps:spPr>
                              <a:xfrm>
                                <a:off x="0" y="0"/>
                                <a:ext cx="300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1930" cy="175260"/>
                      <wp:effectExtent l="0" t="0" r="0" b="0"/>
                      <wp:wrapNone/>
                      <wp:docPr id="540" name="Frame540"/>
                      <a:graphic xmlns:a="http://schemas.openxmlformats.org/drawingml/2006/main">
                        <a:graphicData uri="http://schemas.microsoft.com/office/word/2010/wordprocessingShape">
                          <wps:wsp>
                            <wps:cNvSpPr txBox="1"/>
                            <wps:spPr>
                              <a:xfrm>
                                <a:off x="0" y="0"/>
                                <a:ext cx="201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46405" cy="175260"/>
                      <wp:effectExtent l="0" t="0" r="0" b="0"/>
                      <wp:wrapNone/>
                      <wp:docPr id="541" name="Frame541"/>
                      <a:graphic xmlns:a="http://schemas.openxmlformats.org/drawingml/2006/main">
                        <a:graphicData uri="http://schemas.microsoft.com/office/word/2010/wordprocessingShape">
                          <wps:wsp>
                            <wps:cNvSpPr txBox="1"/>
                            <wps:spPr>
                              <a:xfrm>
                                <a:off x="0" y="0"/>
                                <a:ext cx="446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04190" cy="175260"/>
                      <wp:effectExtent l="0" t="0" r="0" b="0"/>
                      <wp:wrapNone/>
                      <wp:docPr id="542" name="Frame542"/>
                      <a:graphic xmlns:a="http://schemas.openxmlformats.org/drawingml/2006/main">
                        <a:graphicData uri="http://schemas.microsoft.com/office/word/2010/wordprocessingShape">
                          <wps:wsp>
                            <wps:cNvSpPr txBox="1"/>
                            <wps:spPr>
                              <a:xfrm>
                                <a:off x="0" y="0"/>
                                <a:ext cx="504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99390" cy="175260"/>
                      <wp:effectExtent l="0" t="0" r="0" b="0"/>
                      <wp:wrapNone/>
                      <wp:docPr id="544" name="Frame544"/>
                      <a:graphic xmlns:a="http://schemas.openxmlformats.org/drawingml/2006/main">
                        <a:graphicData uri="http://schemas.microsoft.com/office/word/2010/wordprocessingShape">
                          <wps:wsp>
                            <wps:cNvSpPr txBox="1"/>
                            <wps:spPr>
                              <a:xfrm>
                                <a:off x="0" y="0"/>
                                <a:ext cx="199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40690" cy="175260"/>
                      <wp:effectExtent l="0" t="0" r="0" b="0"/>
                      <wp:wrapNone/>
                      <wp:docPr id="545" name="Frame545"/>
                      <a:graphic xmlns:a="http://schemas.openxmlformats.org/drawingml/2006/main">
                        <a:graphicData uri="http://schemas.microsoft.com/office/word/2010/wordprocessingShape">
                          <wps:wsp>
                            <wps:cNvSpPr txBox="1"/>
                            <wps:spPr>
                              <a:xfrm>
                                <a:off x="0" y="0"/>
                                <a:ext cx="440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540385" cy="175260"/>
                      <wp:effectExtent l="0" t="0" r="0" b="0"/>
                      <wp:wrapNone/>
                      <wp:docPr id="546" name="Frame546"/>
                      <a:graphic xmlns:a="http://schemas.openxmlformats.org/drawingml/2006/main">
                        <a:graphicData uri="http://schemas.microsoft.com/office/word/2010/wordprocessingShape">
                          <wps:wsp>
                            <wps:cNvSpPr txBox="1"/>
                            <wps:spPr>
                              <a:xfrm>
                                <a:off x="0" y="0"/>
                                <a:ext cx="540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5" w:type="dxa"/>
            <w:gridSpan w:val="3"/>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At or For the </w:t>
            </w:r>
          </w:p>
        </w:tc>
        <w:tc>
          <w:tcPr>
            <w:tcW w:w="326" w:type="dxa"/>
            <w:tcBorders/>
            <w:shd w:fill="auto" w:val="clear"/>
            <w:vAlign w:val="center"/>
          </w:tcPr>
          <w:p>
            <w:pPr>
              <w:pStyle w:val="TableContents"/>
              <w:spacing w:before="0" w:after="0"/>
              <w:ind w:left="0" w:right="0" w:hanging="0"/>
              <w:jc w:val="center"/>
              <w:rPr/>
            </w:pPr>
            <w:r>
              <w:rPr/>
              <w:t>​</w:t>
            </w:r>
          </w:p>
        </w:tc>
        <w:tc>
          <w:tcPr>
            <w:tcW w:w="1859" w:type="dxa"/>
            <w:gridSpan w:val="3"/>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At or For the </w:t>
            </w:r>
          </w:p>
        </w:tc>
      </w:tr>
      <w:tr>
        <w:trPr/>
        <w:tc>
          <w:tcPr>
            <w:tcW w:w="4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Cash paid for amounts included in the </w:t>
            </w:r>
          </w:p>
        </w:tc>
        <w:tc>
          <w:tcPr>
            <w:tcW w:w="326" w:type="dxa"/>
            <w:tcBorders/>
            <w:shd w:fill="auto" w:val="clear"/>
            <w:vAlign w:val="center"/>
          </w:tcPr>
          <w:p>
            <w:pPr>
              <w:pStyle w:val="TableContents"/>
              <w:spacing w:before="0" w:after="0"/>
              <w:ind w:left="0" w:right="0" w:hanging="0"/>
              <w:rPr/>
            </w:pPr>
            <w:r>
              <w:rPr/>
              <w:t>​</w:t>
            </w:r>
          </w:p>
        </w:tc>
        <w:tc>
          <w:tcPr>
            <w:tcW w:w="1815" w:type="dxa"/>
            <w:gridSpan w:val="3"/>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w:t>
            </w:r>
          </w:p>
        </w:tc>
        <w:tc>
          <w:tcPr>
            <w:tcW w:w="326" w:type="dxa"/>
            <w:tcBorders/>
            <w:shd w:fill="auto" w:val="clear"/>
            <w:vAlign w:val="center"/>
          </w:tcPr>
          <w:p>
            <w:pPr>
              <w:pStyle w:val="TableContents"/>
              <w:spacing w:before="0" w:after="0"/>
              <w:ind w:left="0" w:right="0" w:hanging="0"/>
              <w:jc w:val="center"/>
              <w:rPr/>
            </w:pPr>
            <w:r>
              <w:rPr/>
              <w:t>​</w:t>
            </w:r>
          </w:p>
        </w:tc>
        <w:tc>
          <w:tcPr>
            <w:tcW w:w="1859" w:type="dxa"/>
            <w:gridSpan w:val="3"/>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w:t>
            </w:r>
          </w:p>
        </w:tc>
      </w:tr>
      <w:tr>
        <w:trPr/>
        <w:tc>
          <w:tcPr>
            <w:tcW w:w="4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measurement of lease liabilities:</w:t>
            </w:r>
          </w:p>
        </w:tc>
        <w:tc>
          <w:tcPr>
            <w:tcW w:w="326" w:type="dxa"/>
            <w:tcBorders/>
            <w:shd w:fill="auto" w:val="clear"/>
            <w:vAlign w:val="center"/>
          </w:tcPr>
          <w:p>
            <w:pPr>
              <w:pStyle w:val="TableContents"/>
              <w:spacing w:before="0" w:after="0"/>
              <w:ind w:left="0" w:right="0" w:hanging="0"/>
              <w:rPr/>
            </w:pPr>
            <w:r>
              <w:rPr/>
              <w:t>    </w:t>
            </w:r>
          </w:p>
        </w:tc>
        <w:tc>
          <w:tcPr>
            <w:tcW w:w="181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c>
          <w:tcPr>
            <w:tcW w:w="326" w:type="dxa"/>
            <w:tcBorders/>
            <w:shd w:fill="auto" w:val="clear"/>
            <w:vAlign w:val="center"/>
          </w:tcPr>
          <w:p>
            <w:pPr>
              <w:pStyle w:val="TableContents"/>
              <w:spacing w:before="0" w:after="0"/>
              <w:ind w:left="0" w:right="0" w:hanging="0"/>
              <w:rPr/>
            </w:pPr>
            <w:r>
              <w:rPr/>
              <w:t>    </w:t>
            </w:r>
          </w:p>
        </w:tc>
        <w:tc>
          <w:tcPr>
            <w:tcW w:w="185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2022</w:t>
            </w:r>
          </w:p>
        </w:tc>
      </w:tr>
      <w:tr>
        <w:trPr/>
        <w:tc>
          <w:tcPr>
            <w:tcW w:w="47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shd w:fill="CCEEFF" w:val="clear"/>
            <w:vAlign w:val="center"/>
          </w:tcPr>
          <w:p>
            <w:pPr>
              <w:pStyle w:val="TableContents"/>
              <w:spacing w:before="0" w:after="0"/>
              <w:ind w:left="0" w:right="0" w:hanging="0"/>
              <w:rPr/>
            </w:pPr>
            <w:r>
              <w:rPr/>
              <w:t>​</w:t>
            </w:r>
          </w:p>
        </w:tc>
        <w:tc>
          <w:tcPr>
            <w:tcW w:w="3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79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851" w:type="dxa"/>
            <w:tcBorders/>
            <w:shd w:fill="CCEEFF" w:val="clear"/>
            <w:vAlign w:val="center"/>
          </w:tcPr>
          <w:p>
            <w:pPr>
              <w:pStyle w:val="TableContents"/>
              <w:spacing w:before="0" w:after="0"/>
              <w:ind w:left="0" w:right="0" w:hanging="0"/>
              <w:rPr/>
            </w:pPr>
            <w:r>
              <w:rPr/>
              <w:t>​</w:t>
            </w:r>
          </w:p>
        </w:tc>
      </w:tr>
      <w:tr>
        <w:trPr/>
        <w:tc>
          <w:tcPr>
            <w:tcW w:w="47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remaining lease term- operating leases</w:t>
            </w:r>
          </w:p>
        </w:tc>
        <w:tc>
          <w:tcPr>
            <w:tcW w:w="326" w:type="dxa"/>
            <w:tcBorders/>
            <w:shd w:fill="auto" w:val="clear"/>
            <w:vAlign w:val="center"/>
          </w:tcPr>
          <w:p>
            <w:pPr>
              <w:pStyle w:val="TableContents"/>
              <w:spacing w:before="0" w:after="0"/>
              <w:ind w:left="0" w:right="0" w:hanging="0"/>
              <w:rPr/>
            </w:pPr>
            <w:r>
              <w:rPr/>
              <w:t>​</w:t>
            </w:r>
          </w:p>
        </w:tc>
        <w:tc>
          <w:tcPr>
            <w:tcW w:w="318" w:type="dxa"/>
            <w:tcBorders/>
            <w:shd w:fill="auto" w:val="clear"/>
            <w:vAlign w:val="center"/>
          </w:tcPr>
          <w:p>
            <w:pPr>
              <w:pStyle w:val="TableContents"/>
              <w:spacing w:before="0" w:after="0"/>
              <w:ind w:left="0" w:right="0" w:hanging="0"/>
              <w:rPr/>
            </w:pPr>
            <w:r>
              <w:rPr/>
              <w:t>​</w:t>
            </w:r>
          </w:p>
        </w:tc>
        <w:tc>
          <w:tcPr>
            <w:tcW w:w="70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79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 </w:t>
            </w:r>
          </w:p>
        </w:tc>
        <w:tc>
          <w:tcPr>
            <w:tcW w:w="6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r>
      <w:tr>
        <w:trPr/>
        <w:tc>
          <w:tcPr>
            <w:tcW w:w="47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discount rate- operating leases</w:t>
            </w:r>
          </w:p>
        </w:tc>
        <w:tc>
          <w:tcPr>
            <w:tcW w:w="326" w:type="dxa"/>
            <w:tcBorders/>
            <w:shd w:fill="CCEEFF" w:val="clear"/>
            <w:vAlign w:val="center"/>
          </w:tcPr>
          <w:p>
            <w:pPr>
              <w:pStyle w:val="TableContents"/>
              <w:spacing w:before="0" w:after="0"/>
              <w:ind w:left="0" w:right="0" w:hanging="0"/>
              <w:rPr/>
            </w:pPr>
            <w:r>
              <w:rPr/>
              <w:t>​</w:t>
            </w:r>
          </w:p>
        </w:tc>
        <w:tc>
          <w:tcPr>
            <w:tcW w:w="318" w:type="dxa"/>
            <w:tcBorders/>
            <w:shd w:fill="CCEEFF" w:val="clear"/>
            <w:vAlign w:val="center"/>
          </w:tcPr>
          <w:p>
            <w:pPr>
              <w:pStyle w:val="TableContents"/>
              <w:spacing w:before="0" w:after="0"/>
              <w:ind w:left="0" w:right="0" w:hanging="0"/>
              <w:rPr/>
            </w:pPr>
            <w:r>
              <w:rPr/>
              <w:t>​</w:t>
            </w:r>
          </w:p>
        </w:tc>
        <w:tc>
          <w:tcPr>
            <w:tcW w:w="7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79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 </w:t>
            </w:r>
          </w:p>
        </w:tc>
        <w:tc>
          <w:tcPr>
            <w:tcW w:w="6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leases typically do not contain a discount rate implicit in the lease contract.  As an alternative, the discount rate used in determining the lease liability for each individual lease was the FHLB of Des Moines’ fixed-advance rate.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both"/>
        <w:rPr>
          <w:rFonts w:ascii="Times New Roman;Times;serif" w:hAnsi="Times New Roman;Times;serif"/>
          <w:sz w:val="20"/>
        </w:rPr>
      </w:pPr>
      <w:bookmarkStart w:id="2926" w:name="Tc_OKyG_2NXhkmHHSX3w1v58Q_9_2"/>
      <w:bookmarkStart w:id="2927" w:name="Tc_jRv_pVCqq0CtEdVqoAnzOg_9_0"/>
      <w:bookmarkStart w:id="2928" w:name="Tc_BDonslvDc0WHB8u5KPQOwA_8_0"/>
      <w:bookmarkStart w:id="2929" w:name="Tc_GnX0mSO9TEq9oGOfV6mNGg_7_0"/>
      <w:bookmarkStart w:id="2930" w:name="Tc_rmjOd6S_MkWZE9z4vTc5Wg_6_0"/>
      <w:bookmarkStart w:id="2931" w:name="Tc_U17LgflwSU2FyVzV4ugoYg_5_0"/>
      <w:bookmarkStart w:id="2932" w:name="Tc_CtQ3RbFcsE6RvQq8l7p7PQ_4_0"/>
      <w:bookmarkStart w:id="2933" w:name="Tc_IDKiGXAepEO-yMj0y2WF0g_3_0"/>
      <w:bookmarkStart w:id="2934" w:name="Tc_UgPmpkGY8UmpiQ-2zIIxtg_2_0"/>
      <w:bookmarkStart w:id="2935" w:name="Tc_BQx_g5du8UCzYjXsl8UPfQ_1_2"/>
      <w:bookmarkStart w:id="2936" w:name="Tc_PdgSxt-crEq0RzxtUfM-Qw_1_0"/>
      <w:bookmarkEnd w:id="2926"/>
      <w:bookmarkEnd w:id="2927"/>
      <w:bookmarkEnd w:id="2928"/>
      <w:bookmarkEnd w:id="2929"/>
      <w:bookmarkEnd w:id="2930"/>
      <w:bookmarkEnd w:id="2931"/>
      <w:bookmarkEnd w:id="2932"/>
      <w:bookmarkEnd w:id="2933"/>
      <w:bookmarkEnd w:id="2934"/>
      <w:bookmarkEnd w:id="2935"/>
      <w:bookmarkEnd w:id="2936"/>
      <w:r>
        <w:rPr>
          <w:rFonts w:ascii="Times New Roman;Times;serif" w:hAnsi="Times New Roman;Times;serif"/>
          <w:sz w:val="20"/>
        </w:rPr>
        <w:t>Maturities of operating lease liabilities at March 31, 2023 for future periods are as follows:</w:t>
      </w:r>
    </w:p>
    <w:p>
      <w:pPr>
        <w:pStyle w:val="TextBody"/>
        <w:spacing w:before="0" w:after="0"/>
        <w:ind w:left="0" w:right="0" w:hanging="0"/>
        <w:rPr/>
      </w:pPr>
      <w:r>
        <w:rPr/>
        <w:t>​</w:t>
      </w:r>
    </w:p>
    <w:tbl>
      <w:tblPr>
        <w:tblW w:w="2879" w:type="dxa"/>
        <w:jc w:val="left"/>
        <w:tblInd w:w="0" w:type="dxa"/>
        <w:tblCellMar>
          <w:top w:w="0" w:type="dxa"/>
          <w:left w:w="0" w:type="dxa"/>
          <w:bottom w:w="0" w:type="dxa"/>
          <w:right w:w="0" w:type="dxa"/>
        </w:tblCellMar>
      </w:tblPr>
      <w:tblGrid>
        <w:gridCol w:w="1846"/>
        <w:gridCol w:w="146"/>
        <w:gridCol w:w="211"/>
        <w:gridCol w:w="676"/>
      </w:tblGrid>
      <w:tr>
        <w:trPr/>
        <w:tc>
          <w:tcPr>
            <w:tcW w:w="1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172210" cy="175260"/>
                      <wp:effectExtent l="0" t="0" r="0" b="0"/>
                      <wp:wrapNone/>
                      <wp:docPr id="547" name="Frame547"/>
                      <a:graphic xmlns:a="http://schemas.openxmlformats.org/drawingml/2006/main">
                        <a:graphicData uri="http://schemas.microsoft.com/office/word/2010/wordprocessingShape">
                          <wps:wsp>
                            <wps:cNvSpPr txBox="1"/>
                            <wps:spPr>
                              <a:xfrm>
                                <a:off x="0" y="0"/>
                                <a:ext cx="1172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92710" cy="175260"/>
                      <wp:effectExtent l="0" t="0" r="0" b="0"/>
                      <wp:wrapNone/>
                      <wp:docPr id="548" name="Frame54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9" name="Frame5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29260" cy="175260"/>
                      <wp:effectExtent l="0" t="0" r="0" b="0"/>
                      <wp:wrapNone/>
                      <wp:docPr id="550" name="Frame55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14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r>
      <w:tr>
        <w:trPr/>
        <w:tc>
          <w:tcPr>
            <w:tcW w:w="18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4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1,829</w:t>
            </w:r>
          </w:p>
        </w:tc>
      </w:tr>
      <w:tr>
        <w:trPr/>
        <w:tc>
          <w:tcPr>
            <w:tcW w:w="1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4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1,523</w:t>
            </w:r>
          </w:p>
        </w:tc>
      </w:tr>
      <w:tr>
        <w:trPr/>
        <w:tc>
          <w:tcPr>
            <w:tcW w:w="18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4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1,370</w:t>
            </w:r>
          </w:p>
        </w:tc>
      </w:tr>
      <w:tr>
        <w:trPr/>
        <w:tc>
          <w:tcPr>
            <w:tcW w:w="1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18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4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r>
      <w:tr>
        <w:trPr/>
        <w:tc>
          <w:tcPr>
            <w:tcW w:w="1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payments</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8,512</w:t>
            </w:r>
          </w:p>
        </w:tc>
      </w:tr>
      <w:tr>
        <w:trPr/>
        <w:tc>
          <w:tcPr>
            <w:tcW w:w="18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imputed interest</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(861)</w:t>
            </w:r>
          </w:p>
        </w:tc>
      </w:tr>
      <w:tr>
        <w:trPr/>
        <w:tc>
          <w:tcPr>
            <w:tcW w:w="1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7,651</w:t>
            </w:r>
          </w:p>
        </w:tc>
      </w:tr>
    </w:tbl>
    <w:p>
      <w:pPr>
        <w:pStyle w:val="TextBody"/>
        <w:spacing w:before="0" w:after="200"/>
        <w:ind w:left="0" w:right="0" w:hanging="0"/>
        <w:jc w:val="both"/>
        <w:rPr/>
      </w:pPr>
      <w:r>
        <w:rPr/>
        <w:t>​</w:t>
      </w:r>
    </w:p>
    <w:p>
      <w:pPr>
        <w:pStyle w:val="TextBody"/>
        <w:spacing w:before="0" w:after="0"/>
        <w:ind w:left="0" w:right="0" w:hanging="0"/>
        <w:jc w:val="both"/>
        <w:rPr/>
      </w:pPr>
      <w:r>
        <w:rPr/>
        <w:t>​</w:t>
      </w:r>
    </w:p>
    <w:p>
      <w:pPr>
        <w:pStyle w:val="TextBody"/>
        <w:spacing w:before="0" w:after="200"/>
        <w:ind w:left="0" w:right="0" w:hanging="0"/>
        <w:rPr>
          <w:rFonts w:ascii="Times New Roman;Times;serif" w:hAnsi="Times New Roman;Times;serif"/>
          <w:b/>
          <w:sz w:val="20"/>
        </w:rPr>
      </w:pPr>
      <w:bookmarkStart w:id="2937" w:name="Tc_ZSAngKAjtE6t2PFyiTNsPw_9_6"/>
      <w:bookmarkStart w:id="2938" w:name="Tc_XGqxzwLVBU6eI2ZgkHbOPQ_9_5"/>
      <w:bookmarkStart w:id="2939" w:name="Tc_B3I46qSV-E6h2bDgZ_BqUw_9_2"/>
      <w:bookmarkStart w:id="2940" w:name="Tc_PRbahqIqdEmRK0TRsvWaGA_9_0"/>
      <w:bookmarkStart w:id="2941" w:name="Tc_LubkEb0MpkG0MPVqhRHj9g_8_6"/>
      <w:bookmarkStart w:id="2942" w:name="Tc_DpSXmzfl7kuzBZy6BBz6YQ_8_3"/>
      <w:bookmarkStart w:id="2943" w:name="Tc_LIH9ZUdX8k-tvHYSY0f0qQ_8_0"/>
      <w:bookmarkStart w:id="2944" w:name="Tc_wAkNJRoASUWnrSRd2E4hCA_7_6"/>
      <w:bookmarkStart w:id="2945" w:name="Tc_7hy_cCNIeEmNZPslZ2IVnQ_7_3"/>
      <w:bookmarkStart w:id="2946" w:name="Tc_-3N-HEVQEUmlPD2IGIxF4Q_7_0"/>
      <w:bookmarkStart w:id="2947" w:name="Tc_yXzgzPDlVEyA3qWAQbBx3w_6_6"/>
      <w:bookmarkStart w:id="2948" w:name="Tc_-pn7ybfMvE61rKUwo2LVBw_6_3"/>
      <w:bookmarkStart w:id="2949" w:name="Tc_dBPH0FxbB0a1UmCO90_tXg_6_0"/>
      <w:bookmarkStart w:id="2950" w:name="Tc_aIpKpo29KkqDL9aEakoCVQ_5_6"/>
      <w:bookmarkStart w:id="2951" w:name="Tc_r0PXM6FaCUWQxZiy-q42Sw_5_3"/>
      <w:bookmarkStart w:id="2952" w:name="Tc_tHUlKgxVyEqKl7T3HHwc_g_5_0"/>
      <w:bookmarkStart w:id="2953" w:name="Tc_SGqjZfc1zEajdXvZYJ2ICQ_4_6"/>
      <w:bookmarkStart w:id="2954" w:name="Tc__hzFjOG9C0W03wudHG35Nw_4_5"/>
      <w:bookmarkStart w:id="2955" w:name="Tc_BvoWETIZSEK1glI6IhdGsA_4_2"/>
      <w:bookmarkStart w:id="2956" w:name="Tc_0yDSjYi4aEmikdUzib7EoA_4_0"/>
      <w:bookmarkStart w:id="2957" w:name="Tc_Hmf8oTy4MkO6VwWfkYJYlA_3_5"/>
      <w:bookmarkStart w:id="2958" w:name="Tc_SmeseNDD_kSwi_tfPJ1mVQ_3_2"/>
      <w:bookmarkStart w:id="2959" w:name="Tc_D5XwAj78jEaj1S_aF9YukQ_2_2"/>
      <w:bookmarkStart w:id="2960" w:name="Tc_Qn2k5Py2s0yhWSOdWdjXYg_1_2"/>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r>
        <w:rPr>
          <w:rFonts w:ascii="Times New Roman;Times;serif" w:hAnsi="Times New Roman;Times;serif"/>
          <w:b/>
          <w:sz w:val="20"/>
        </w:rPr>
        <w:t>NOTE 8 – OTHER REAL ESTATE OWNED (“OREO”)</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presents the activity related to OREO at or for the three months ended March 31, 2023 and 2022:</w:t>
      </w:r>
    </w:p>
    <w:p>
      <w:pPr>
        <w:pStyle w:val="TextBody"/>
        <w:spacing w:before="0" w:after="0"/>
        <w:ind w:left="0" w:right="0" w:hanging="0"/>
        <w:rPr/>
      </w:pPr>
      <w:r>
        <w:rPr/>
        <w:t>​</w:t>
      </w:r>
    </w:p>
    <w:tbl>
      <w:tblPr>
        <w:tblW w:w="6730" w:type="dxa"/>
        <w:jc w:val="left"/>
        <w:tblInd w:w="0" w:type="dxa"/>
        <w:tblCellMar>
          <w:top w:w="0" w:type="dxa"/>
          <w:left w:w="0" w:type="dxa"/>
          <w:bottom w:w="0" w:type="dxa"/>
          <w:right w:w="0" w:type="dxa"/>
        </w:tblCellMar>
      </w:tblPr>
      <w:tblGrid>
        <w:gridCol w:w="3436"/>
        <w:gridCol w:w="326"/>
        <w:gridCol w:w="446"/>
        <w:gridCol w:w="891"/>
        <w:gridCol w:w="230"/>
        <w:gridCol w:w="446"/>
        <w:gridCol w:w="955"/>
      </w:tblGrid>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46" w:type="dxa"/>
            <w:tcBorders/>
            <w:shd w:fill="auto" w:val="clear"/>
            <w:vAlign w:val="center"/>
          </w:tcPr>
          <w:p>
            <w:pPr>
              <w:pStyle w:val="TableContents"/>
              <w:spacing w:before="0" w:after="1"/>
              <w:ind w:left="0" w:right="0" w:hanging="0"/>
              <w:rPr/>
            </w:pPr>
            <w:r>
              <w:rPr/>
              <w:t>​</w:t>
            </w:r>
          </w:p>
        </w:tc>
        <w:tc>
          <w:tcPr>
            <w:tcW w:w="891"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446" w:type="dxa"/>
            <w:tcBorders/>
            <w:shd w:fill="auto" w:val="clear"/>
            <w:vAlign w:val="center"/>
          </w:tcPr>
          <w:p>
            <w:pPr>
              <w:pStyle w:val="TableContents"/>
              <w:spacing w:before="0" w:after="1"/>
              <w:ind w:left="0" w:right="0" w:hanging="0"/>
              <w:rPr/>
            </w:pPr>
            <w:r>
              <w:rPr/>
              <w:t>​</w:t>
            </w:r>
          </w:p>
        </w:tc>
        <w:tc>
          <w:tcPr>
            <w:tcW w:w="955" w:type="dxa"/>
            <w:tcBorders/>
            <w:shd w:fill="auto" w:val="clear"/>
            <w:vAlign w:val="center"/>
          </w:tcPr>
          <w:p>
            <w:pPr>
              <w:pStyle w:val="TableContents"/>
              <w:spacing w:before="0" w:after="1"/>
              <w:ind w:left="0" w:right="0" w:hanging="0"/>
              <w:rPr/>
            </w:pPr>
            <w:r>
              <w:rPr/>
              <w:t>​</w: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68" w:type="dxa"/>
            <w:gridSpan w:val="5"/>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At or For the Three Months Ended </w: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6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34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3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230" w:type="dxa"/>
            <w:tcBorders/>
            <w:shd w:fill="auto" w:val="clear"/>
            <w:vAlign w:val="center"/>
          </w:tcPr>
          <w:p>
            <w:pPr>
              <w:pStyle w:val="TableContents"/>
              <w:spacing w:before="0" w:after="1"/>
              <w:ind w:left="0" w:right="0" w:hanging="0"/>
              <w:jc w:val="center"/>
              <w:rPr/>
            </w:pPr>
            <w:r>
              <w:rPr/>
              <w:t>​</w:t>
            </w:r>
          </w:p>
        </w:tc>
        <w:tc>
          <w:tcPr>
            <w:tcW w:w="14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spacing w:before="0" w:after="1"/>
              <w:ind w:left="0" w:right="0" w:hanging="0"/>
              <w:rPr/>
            </w:pPr>
            <w:r>
              <w:rPr/>
              <w:t>​</w:t>
            </w:r>
          </w:p>
        </w:tc>
        <w:tc>
          <w:tcPr>
            <w:tcW w:w="4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230" w:type="dxa"/>
            <w:tcBorders/>
            <w:shd w:fill="CCEEFF" w:val="clear"/>
            <w:vAlign w:val="center"/>
          </w:tcPr>
          <w:p>
            <w:pPr>
              <w:pStyle w:val="TableContents"/>
              <w:spacing w:before="0" w:after="1"/>
              <w:ind w:left="0" w:right="0" w:hanging="0"/>
              <w:jc w:val="right"/>
              <w:rPr/>
            </w:pPr>
            <w:r>
              <w:rPr/>
              <w:t>​</w:t>
            </w:r>
          </w:p>
        </w:tc>
        <w:tc>
          <w:tcPr>
            <w:tcW w:w="4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spacing w:before="0" w:after="1"/>
              <w:ind w:left="0" w:right="0" w:hanging="0"/>
              <w:jc w:val="right"/>
              <w:rPr/>
            </w:pPr>
            <w:r>
              <w:rPr/>
              <w:t>—</w:t>
            </w:r>
          </w:p>
        </w:tc>
      </w:tr>
      <w:tr>
        <w:trPr/>
        <w:tc>
          <w:tcPr>
            <w:tcW w:w="34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Loans transferred to OREO</w:t>
            </w:r>
          </w:p>
        </w:tc>
        <w:tc>
          <w:tcPr>
            <w:tcW w:w="326" w:type="dxa"/>
            <w:tcBorders/>
            <w:shd w:fill="auto" w:val="clear"/>
            <w:vAlign w:val="center"/>
          </w:tcPr>
          <w:p>
            <w:pPr>
              <w:pStyle w:val="TableContents"/>
              <w:spacing w:before="0" w:after="1"/>
              <w:ind w:left="0" w:right="0" w:hanging="0"/>
              <w:rPr/>
            </w:pPr>
            <w:r>
              <w:rPr/>
              <w:t>​</w:t>
            </w:r>
          </w:p>
        </w:tc>
        <w:tc>
          <w:tcPr>
            <w:tcW w:w="446" w:type="dxa"/>
            <w:tcBorders/>
            <w:shd w:fill="auto" w:val="clear"/>
            <w:vAlign w:val="center"/>
          </w:tcPr>
          <w:p>
            <w:pPr>
              <w:pStyle w:val="TableContents"/>
              <w:spacing w:before="0" w:after="1"/>
              <w:ind w:left="0" w:right="0" w:hanging="0"/>
              <w:rPr/>
            </w:pPr>
            <w:r>
              <w:rPr/>
              <w:t> </w:t>
            </w:r>
          </w:p>
        </w:tc>
        <w:tc>
          <w:tcPr>
            <w:tcW w:w="891" w:type="dxa"/>
            <w:tcBorders/>
            <w:shd w:fill="auto" w:val="clear"/>
            <w:vAlign w:val="center"/>
          </w:tcPr>
          <w:p>
            <w:pPr>
              <w:pStyle w:val="TableContents"/>
              <w:spacing w:before="0" w:after="1"/>
              <w:ind w:left="0" w:right="0" w:hanging="0"/>
              <w:jc w:val="right"/>
              <w:rPr/>
            </w:pPr>
            <w:r>
              <w:rPr/>
              <w:t>—</w:t>
            </w:r>
          </w:p>
        </w:tc>
        <w:tc>
          <w:tcPr>
            <w:tcW w:w="230" w:type="dxa"/>
            <w:tcBorders/>
            <w:shd w:fill="auto" w:val="clear"/>
            <w:vAlign w:val="center"/>
          </w:tcPr>
          <w:p>
            <w:pPr>
              <w:pStyle w:val="TableContents"/>
              <w:spacing w:before="0" w:after="1"/>
              <w:ind w:left="0" w:right="0" w:hanging="0"/>
              <w:jc w:val="right"/>
              <w:rPr/>
            </w:pPr>
            <w:r>
              <w:rPr/>
              <w:t>​</w:t>
            </w:r>
          </w:p>
        </w:tc>
        <w:tc>
          <w:tcPr>
            <w:tcW w:w="446" w:type="dxa"/>
            <w:tcBorders/>
            <w:shd w:fill="auto" w:val="clear"/>
            <w:vAlign w:val="center"/>
          </w:tcPr>
          <w:p>
            <w:pPr>
              <w:pStyle w:val="TableContents"/>
              <w:spacing w:before="0" w:after="1"/>
              <w:ind w:left="0" w:right="0" w:hanging="0"/>
              <w:rPr/>
            </w:pPr>
            <w:r>
              <w:rPr/>
              <w:t> </w:t>
            </w:r>
          </w:p>
        </w:tc>
        <w:tc>
          <w:tcPr>
            <w:tcW w:w="955" w:type="dxa"/>
            <w:tcBorders/>
            <w:shd w:fill="auto" w:val="clear"/>
            <w:vAlign w:val="center"/>
          </w:tcPr>
          <w:p>
            <w:pPr>
              <w:pStyle w:val="TableContents"/>
              <w:spacing w:before="0" w:after="1"/>
              <w:ind w:left="0" w:right="0" w:hanging="0"/>
              <w:jc w:val="right"/>
              <w:rPr/>
            </w:pPr>
            <w:r>
              <w:rPr/>
              <w:t>—</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Closed retail branch transferred to OREO</w:t>
            </w:r>
          </w:p>
        </w:tc>
        <w:tc>
          <w:tcPr>
            <w:tcW w:w="326" w:type="dxa"/>
            <w:tcBorders/>
            <w:shd w:fill="CCEEFF" w:val="clear"/>
            <w:vAlign w:val="center"/>
          </w:tcPr>
          <w:p>
            <w:pPr>
              <w:pStyle w:val="TableContents"/>
              <w:spacing w:before="0" w:after="1"/>
              <w:ind w:left="0" w:right="0" w:hanging="0"/>
              <w:rPr/>
            </w:pPr>
            <w:r>
              <w:rPr/>
              <w:t>​</w:t>
            </w:r>
          </w:p>
        </w:tc>
        <w:tc>
          <w:tcPr>
            <w:tcW w:w="446" w:type="dxa"/>
            <w:tcBorders/>
            <w:shd w:fill="CCEEFF" w:val="clear"/>
            <w:vAlign w:val="center"/>
          </w:tcPr>
          <w:p>
            <w:pPr>
              <w:pStyle w:val="TableContents"/>
              <w:spacing w:before="0" w:after="1"/>
              <w:ind w:left="0" w:right="0" w:hanging="0"/>
              <w:rPr/>
            </w:pPr>
            <w:r>
              <w:rPr/>
              <w:t> </w:t>
            </w:r>
          </w:p>
        </w:tc>
        <w:tc>
          <w:tcPr>
            <w:tcW w:w="891" w:type="dxa"/>
            <w:tcBorders/>
            <w:shd w:fill="CCEEFF" w:val="clear"/>
            <w:vAlign w:val="center"/>
          </w:tcPr>
          <w:p>
            <w:pPr>
              <w:pStyle w:val="TableContents"/>
              <w:spacing w:before="0" w:after="1"/>
              <w:ind w:left="0" w:right="0" w:hanging="0"/>
              <w:jc w:val="right"/>
              <w:rPr/>
            </w:pPr>
            <w:r>
              <w:rPr/>
              <w:t>—</w:t>
            </w:r>
          </w:p>
        </w:tc>
        <w:tc>
          <w:tcPr>
            <w:tcW w:w="230" w:type="dxa"/>
            <w:tcBorders/>
            <w:shd w:fill="CCEEFF" w:val="clear"/>
            <w:vAlign w:val="center"/>
          </w:tcPr>
          <w:p>
            <w:pPr>
              <w:pStyle w:val="TableContents"/>
              <w:spacing w:before="0" w:after="1"/>
              <w:ind w:left="0" w:right="0" w:hanging="0"/>
              <w:jc w:val="right"/>
              <w:rPr/>
            </w:pPr>
            <w:r>
              <w:rPr/>
              <w:t>​</w:t>
            </w:r>
          </w:p>
        </w:tc>
        <w:tc>
          <w:tcPr>
            <w:tcW w:w="446" w:type="dxa"/>
            <w:tcBorders/>
            <w:shd w:fill="CCEEFF" w:val="clear"/>
            <w:vAlign w:val="center"/>
          </w:tcPr>
          <w:p>
            <w:pPr>
              <w:pStyle w:val="TableContents"/>
              <w:spacing w:before="0" w:after="1"/>
              <w:ind w:left="0" w:right="0" w:hanging="0"/>
              <w:rPr/>
            </w:pPr>
            <w:r>
              <w:rPr/>
              <w:t> </w:t>
            </w:r>
          </w:p>
        </w:tc>
        <w:tc>
          <w:tcPr>
            <w:tcW w:w="955" w:type="dxa"/>
            <w:tcBorders/>
            <w:shd w:fill="CCEEFF" w:val="clear"/>
            <w:vAlign w:val="center"/>
          </w:tcPr>
          <w:p>
            <w:pPr>
              <w:pStyle w:val="TableContents"/>
              <w:spacing w:before="0" w:after="1"/>
              <w:ind w:left="0" w:right="0" w:hanging="0"/>
              <w:jc w:val="right"/>
              <w:rPr/>
            </w:pPr>
            <w:r>
              <w:rPr/>
              <w:t>—</w:t>
            </w:r>
          </w:p>
        </w:tc>
      </w:tr>
      <w:tr>
        <w:trPr/>
        <w:tc>
          <w:tcPr>
            <w:tcW w:w="34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proceeds from sale of OREO</w:t>
            </w:r>
          </w:p>
        </w:tc>
        <w:tc>
          <w:tcPr>
            <w:tcW w:w="326" w:type="dxa"/>
            <w:tcBorders/>
            <w:shd w:fill="auto" w:val="clear"/>
            <w:vAlign w:val="center"/>
          </w:tcPr>
          <w:p>
            <w:pPr>
              <w:pStyle w:val="TableContents"/>
              <w:spacing w:before="0" w:after="1"/>
              <w:ind w:left="0" w:right="0" w:hanging="0"/>
              <w:rPr/>
            </w:pPr>
            <w:r>
              <w:rPr/>
              <w:t>​</w:t>
            </w:r>
          </w:p>
        </w:tc>
        <w:tc>
          <w:tcPr>
            <w:tcW w:w="446" w:type="dxa"/>
            <w:tcBorders/>
            <w:shd w:fill="auto" w:val="clear"/>
            <w:vAlign w:val="center"/>
          </w:tcPr>
          <w:p>
            <w:pPr>
              <w:pStyle w:val="TableContents"/>
              <w:spacing w:before="0" w:after="1"/>
              <w:ind w:left="0" w:right="0" w:hanging="0"/>
              <w:rPr/>
            </w:pPr>
            <w:r>
              <w:rPr/>
              <w:t> </w:t>
            </w:r>
          </w:p>
        </w:tc>
        <w:tc>
          <w:tcPr>
            <w:tcW w:w="891" w:type="dxa"/>
            <w:tcBorders/>
            <w:shd w:fill="auto" w:val="clear"/>
            <w:vAlign w:val="center"/>
          </w:tcPr>
          <w:p>
            <w:pPr>
              <w:pStyle w:val="TableContents"/>
              <w:spacing w:before="0" w:after="1"/>
              <w:ind w:left="0" w:right="0" w:hanging="0"/>
              <w:jc w:val="right"/>
              <w:rPr/>
            </w:pPr>
            <w:r>
              <w:rPr/>
              <w:t>—</w:t>
            </w:r>
          </w:p>
        </w:tc>
        <w:tc>
          <w:tcPr>
            <w:tcW w:w="230" w:type="dxa"/>
            <w:tcBorders/>
            <w:shd w:fill="auto" w:val="clear"/>
            <w:vAlign w:val="center"/>
          </w:tcPr>
          <w:p>
            <w:pPr>
              <w:pStyle w:val="TableContents"/>
              <w:spacing w:before="0" w:after="1"/>
              <w:ind w:left="0" w:right="0" w:hanging="0"/>
              <w:jc w:val="right"/>
              <w:rPr/>
            </w:pPr>
            <w:r>
              <w:rPr/>
              <w:t>​</w:t>
            </w:r>
          </w:p>
        </w:tc>
        <w:tc>
          <w:tcPr>
            <w:tcW w:w="446" w:type="dxa"/>
            <w:tcBorders/>
            <w:shd w:fill="auto" w:val="clear"/>
            <w:vAlign w:val="center"/>
          </w:tcPr>
          <w:p>
            <w:pPr>
              <w:pStyle w:val="TableContents"/>
              <w:spacing w:before="0" w:after="1"/>
              <w:ind w:left="0" w:right="0" w:hanging="0"/>
              <w:rPr/>
            </w:pPr>
            <w:r>
              <w:rPr/>
              <w:t> </w:t>
            </w:r>
          </w:p>
        </w:tc>
        <w:tc>
          <w:tcPr>
            <w:tcW w:w="955" w:type="dxa"/>
            <w:tcBorders/>
            <w:shd w:fill="auto" w:val="clear"/>
            <w:vAlign w:val="center"/>
          </w:tcPr>
          <w:p>
            <w:pPr>
              <w:pStyle w:val="TableContents"/>
              <w:spacing w:before="0" w:after="1"/>
              <w:ind w:left="0" w:right="0" w:hanging="0"/>
              <w:jc w:val="right"/>
              <w:rPr/>
            </w:pPr>
            <w:r>
              <w:rPr/>
              <w:t>—</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on sale of OREO</w:t>
            </w:r>
          </w:p>
        </w:tc>
        <w:tc>
          <w:tcPr>
            <w:tcW w:w="326" w:type="dxa"/>
            <w:tcBorders/>
            <w:shd w:fill="CCEEFF" w:val="clear"/>
            <w:vAlign w:val="center"/>
          </w:tcPr>
          <w:p>
            <w:pPr>
              <w:pStyle w:val="TableContents"/>
              <w:spacing w:before="0" w:after="1"/>
              <w:ind w:left="0" w:right="0" w:hanging="0"/>
              <w:rPr/>
            </w:pPr>
            <w:r>
              <w:rPr/>
              <w:t>​</w:t>
            </w:r>
          </w:p>
        </w:tc>
        <w:tc>
          <w:tcPr>
            <w:tcW w:w="44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30" w:type="dxa"/>
            <w:tcBorders/>
            <w:shd w:fill="CCEEFF" w:val="clear"/>
            <w:vAlign w:val="center"/>
          </w:tcPr>
          <w:p>
            <w:pPr>
              <w:pStyle w:val="TableContents"/>
              <w:spacing w:before="0" w:after="1"/>
              <w:ind w:left="0" w:right="0" w:hanging="0"/>
              <w:jc w:val="right"/>
              <w:rPr/>
            </w:pPr>
            <w:r>
              <w:rPr/>
              <w:t>​</w:t>
            </w:r>
          </w:p>
        </w:tc>
        <w:tc>
          <w:tcPr>
            <w:tcW w:w="44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5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4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balance</w:t>
            </w:r>
          </w:p>
        </w:tc>
        <w:tc>
          <w:tcPr>
            <w:tcW w:w="326" w:type="dxa"/>
            <w:tcBorders/>
            <w:shd w:fill="auto" w:val="clear"/>
            <w:vAlign w:val="center"/>
          </w:tcPr>
          <w:p>
            <w:pPr>
              <w:pStyle w:val="TableContents"/>
              <w:spacing w:before="0" w:after="1"/>
              <w:ind w:left="0" w:right="0" w:hanging="0"/>
              <w:rPr/>
            </w:pPr>
            <w:r>
              <w:rPr/>
              <w:t>​</w:t>
            </w:r>
          </w:p>
        </w:tc>
        <w:tc>
          <w:tcPr>
            <w:tcW w:w="44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230" w:type="dxa"/>
            <w:tcBorders/>
            <w:shd w:fill="auto" w:val="clear"/>
            <w:vAlign w:val="center"/>
          </w:tcPr>
          <w:p>
            <w:pPr>
              <w:pStyle w:val="TableContents"/>
              <w:spacing w:before="0" w:after="1"/>
              <w:ind w:left="0" w:right="0" w:hanging="0"/>
              <w:jc w:val="right"/>
              <w:rPr/>
            </w:pPr>
            <w:r>
              <w:rPr/>
              <w:t>​</w:t>
            </w:r>
          </w:p>
        </w:tc>
        <w:tc>
          <w:tcPr>
            <w:tcW w:w="44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auto" w:val="clear"/>
            <w:tcMar>
              <w:bottom w:w="28" w:type="dxa"/>
            </w:tcMar>
            <w:vAlign w:val="center"/>
          </w:tcPr>
          <w:p>
            <w:pPr>
              <w:pStyle w:val="TableContents"/>
              <w:spacing w:before="0" w:after="1"/>
              <w:ind w:left="0" w:right="60" w:hanging="0"/>
              <w:jc w:val="right"/>
              <w:rPr/>
            </w:pPr>
            <w:r>
              <w:rPr/>
              <w:t>—</w:t>
            </w:r>
          </w:p>
        </w:tc>
      </w:tr>
    </w:tbl>
    <w:p>
      <w:pPr>
        <w:pStyle w:val="TextBody"/>
        <w:spacing w:before="0" w:after="0"/>
        <w:ind w:left="0" w:right="0" w:hanging="0"/>
        <w:rPr/>
      </w:pPr>
      <w:r>
        <w:rPr/>
        <w:t>​</w:t>
      </w:r>
    </w:p>
    <w:p>
      <w:pPr>
        <w:pStyle w:val="TextBody"/>
        <w:spacing w:before="240" w:after="200"/>
        <w:ind w:left="0" w:right="0" w:hanging="0"/>
        <w:jc w:val="both"/>
        <w:rPr>
          <w:rFonts w:ascii="Times New Roman;Times;serif" w:hAnsi="Times New Roman;Times;serif"/>
          <w:sz w:val="20"/>
        </w:rPr>
      </w:pPr>
      <w:r>
        <w:rPr>
          <w:rFonts w:ascii="Times New Roman;Times;serif" w:hAnsi="Times New Roman;Times;serif"/>
          <w:sz w:val="20"/>
        </w:rPr>
        <w:t>There was one OREO property (a closed branch in Centralia) at March 31, 2023 and none at March 31, 2022.  There were no OREO holding costs for the three months ended March 31, 2023 or 2022.</w:t>
      </w:r>
    </w:p>
    <w:p>
      <w:pPr>
        <w:pStyle w:val="TextBody"/>
        <w:spacing w:before="240" w:after="240"/>
        <w:ind w:left="0" w:right="0" w:hanging="0"/>
        <w:jc w:val="both"/>
        <w:rPr>
          <w:rFonts w:ascii="Times New Roman;Times;serif" w:hAnsi="Times New Roman;Times;serif"/>
          <w:sz w:val="20"/>
        </w:rPr>
      </w:pPr>
      <w:r>
        <w:rPr>
          <w:rFonts w:ascii="Times New Roman;Times;serif" w:hAnsi="Times New Roman;Times;serif"/>
          <w:sz w:val="20"/>
        </w:rPr>
        <w:t>There were $416,000 and $511,000 in portfolio mortgage loans collateralized by residential real estate property in the process of foreclosure at March 31, 2023 and at December 31, 2022, respectively.</w:t>
      </w:r>
    </w:p>
    <w:p>
      <w:pPr>
        <w:pStyle w:val="TextBody"/>
        <w:spacing w:before="0" w:after="200"/>
        <w:ind w:left="0" w:right="0" w:hanging="0"/>
        <w:rPr>
          <w:rFonts w:ascii="Times New Roman;Times;serif" w:hAnsi="Times New Roman;Times;serif"/>
          <w:b/>
          <w:sz w:val="20"/>
        </w:rPr>
      </w:pPr>
      <w:bookmarkStart w:id="2961" w:name="Tc_x3sNeN1ykE6-xCjlXuqCkQ_11_5"/>
      <w:bookmarkStart w:id="2962" w:name="Tc_Zn1PoJybvUmBIWdcynJzyQ_11_2"/>
      <w:bookmarkStart w:id="2963" w:name="Tc_Tvth8mJaFU-eoGGP-_SthQ_11_0"/>
      <w:bookmarkStart w:id="2964" w:name="Tc_2MtJXDbTu0WunleioDuLMA_10_0"/>
      <w:bookmarkStart w:id="2965" w:name="Tc_rDV1kDsX8EatCvhOuhHGKw_9_0"/>
      <w:bookmarkStart w:id="2966" w:name="Tc_DYQh9kEg40OOVoRj0cquoQ_8_0"/>
      <w:bookmarkStart w:id="2967" w:name="Tc_xusQXFajhkKZCBpHVNgvfQ_7_0"/>
      <w:bookmarkStart w:id="2968" w:name="Tc_zzfNxoBUNUyeQQbqgNDzbA_6_0"/>
      <w:bookmarkStart w:id="2969" w:name="Tc_Xsl8naVE9kqPM6t9LDLHTw_5_0"/>
      <w:bookmarkStart w:id="2970" w:name="Tc_cJ9RqoVgUEe8fJVgD7q6KA_4_0"/>
      <w:bookmarkStart w:id="2971" w:name="Tc_b2beDl15-E2MJtpH3LMdUQ_3_5"/>
      <w:bookmarkStart w:id="2972" w:name="Tc_WDrhcb1YiEqLtUAE6cyIIw_3_2"/>
      <w:bookmarkStart w:id="2973" w:name="Tc_JWrQe2BIyE69PQsru8szbQ_3_0"/>
      <w:bookmarkStart w:id="2974" w:name="Tc_Yivt7fmnTU-7ZqnnWX5jrQ_2_5"/>
      <w:bookmarkStart w:id="2975" w:name="Tc_oF23xCRn8kGD5Bj3sslidg_2_2"/>
      <w:bookmarkStart w:id="2976" w:name="Tc_2ydWPY7Q40SzeEKJt41Bqw_1_5"/>
      <w:bookmarkStart w:id="2977" w:name="Tc_iBhTrSepWUmGd0bmyO7Beg_1_2"/>
      <w:bookmarkStart w:id="2978" w:name="_1b06c979_1562_43c0_a273_74fe86bd653c"/>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r>
        <w:rPr>
          <w:rFonts w:ascii="Times New Roman;Times;serif" w:hAnsi="Times New Roman;Times;serif"/>
          <w:b/>
          <w:sz w:val="20"/>
        </w:rPr>
        <w:t>NOTE 9 – DEPOSITS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Deposits are summarized as follows at the dates indicated:</w:t>
      </w:r>
    </w:p>
    <w:p>
      <w:pPr>
        <w:pStyle w:val="TextBody"/>
        <w:spacing w:before="0" w:after="0"/>
        <w:ind w:left="0" w:right="0" w:hanging="0"/>
        <w:rPr/>
      </w:pPr>
      <w:r>
        <w:rPr/>
        <w:t>​</w:t>
      </w:r>
    </w:p>
    <w:tbl>
      <w:tblPr>
        <w:tblW w:w="7555" w:type="dxa"/>
        <w:jc w:val="left"/>
        <w:tblInd w:w="0" w:type="dxa"/>
        <w:tblCellMar>
          <w:top w:w="0" w:type="dxa"/>
          <w:left w:w="0" w:type="dxa"/>
          <w:bottom w:w="0" w:type="dxa"/>
          <w:right w:w="0" w:type="dxa"/>
        </w:tblCellMar>
      </w:tblPr>
      <w:tblGrid>
        <w:gridCol w:w="4456"/>
        <w:gridCol w:w="326"/>
        <w:gridCol w:w="211"/>
        <w:gridCol w:w="931"/>
        <w:gridCol w:w="326"/>
        <w:gridCol w:w="220"/>
        <w:gridCol w:w="1085"/>
      </w:tblGrid>
      <w:tr>
        <w:trPr/>
        <w:tc>
          <w:tcPr>
            <w:tcW w:w="4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829560" cy="175260"/>
                      <wp:effectExtent l="0" t="0" r="0" b="0"/>
                      <wp:wrapNone/>
                      <wp:docPr id="551" name="Frame551"/>
                      <a:graphic xmlns:a="http://schemas.openxmlformats.org/drawingml/2006/main">
                        <a:graphicData uri="http://schemas.microsoft.com/office/word/2010/wordprocessingShape">
                          <wps:wsp>
                            <wps:cNvSpPr txBox="1"/>
                            <wps:spPr>
                              <a:xfrm>
                                <a:off x="0" y="0"/>
                                <a:ext cx="2829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52" name="Frame5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985" cy="175260"/>
                      <wp:effectExtent l="0" t="0" r="0" b="0"/>
                      <wp:wrapNone/>
                      <wp:docPr id="553" name="Frame5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591185" cy="175260"/>
                      <wp:effectExtent l="0" t="0" r="0" b="0"/>
                      <wp:wrapNone/>
                      <wp:docPr id="554" name="Frame55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9700" cy="175260"/>
                      <wp:effectExtent l="0" t="0" r="0" b="0"/>
                      <wp:wrapNone/>
                      <wp:docPr id="556" name="Frame556"/>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88975" cy="175260"/>
                      <wp:effectExtent l="0" t="0" r="0" b="0"/>
                      <wp:wrapNone/>
                      <wp:docPr id="557" name="Frame557"/>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jc w:val="center"/>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Noninterest-bearing checking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719,856</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537,938</w:t>
            </w:r>
          </w:p>
        </w:tc>
      </w:tr>
      <w:tr>
        <w:trPr/>
        <w:tc>
          <w:tcPr>
            <w:tcW w:w="445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Interest-bearing checking </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183,888</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10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135,127</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Savings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188,510</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134,358</w:t>
            </w:r>
          </w:p>
        </w:tc>
      </w:tr>
      <w:tr>
        <w:trPr/>
        <w:tc>
          <w:tcPr>
            <w:tcW w:w="445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Money market </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549,542</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10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574,290</w:t>
            </w:r>
          </w:p>
        </w:tc>
      </w:tr>
      <w:tr>
        <w:trPr/>
        <w:tc>
          <w:tcPr>
            <w:tcW w:w="445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Certificates of deposit less than $100,000 </w:t>
            </w:r>
            <w:r>
              <w:rPr>
                <w:rFonts w:ascii="Times New Roman;Times;serif" w:hAnsi="Times New Roman;Times;serif"/>
                <w:sz w:val="15"/>
              </w:rPr>
              <w:t>(3)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409,236</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440,785</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Certificates of deposit of $100,000 through $250,000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270,476</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10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195,447</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Certificates of deposit of $250,000 and over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94,699</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93,560</w:t>
            </w:r>
          </w:p>
        </w:tc>
      </w:tr>
      <w:tr>
        <w:trPr/>
        <w:tc>
          <w:tcPr>
            <w:tcW w:w="445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Escrow accounts related to mortgages serviced </w:t>
            </w:r>
            <w:r>
              <w:rPr>
                <w:rFonts w:ascii="Times New Roman;Times;serif" w:hAnsi="Times New Roman;Times;serif"/>
                <w:sz w:val="15"/>
              </w:rPr>
              <w:t>(4)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27,066</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16,236</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2,443,273</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2,127,741</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________________________</w:t>
      </w:r>
    </w:p>
    <w:tbl>
      <w:tblPr>
        <w:tblW w:w="9977" w:type="dxa"/>
        <w:jc w:val="left"/>
        <w:tblInd w:w="0" w:type="dxa"/>
        <w:tblCellMar>
          <w:top w:w="0" w:type="dxa"/>
          <w:left w:w="0" w:type="dxa"/>
          <w:bottom w:w="0" w:type="dxa"/>
          <w:right w:w="0" w:type="dxa"/>
        </w:tblCellMar>
      </w:tblPr>
      <w:tblGrid>
        <w:gridCol w:w="346"/>
        <w:gridCol w:w="963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63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Includes $2.6</w:t>
            </w:r>
            <w:r>
              <w:rPr>
                <w:caps w:val="false"/>
                <w:smallCaps w:val="false"/>
              </w:rPr>
              <w:t xml:space="preserve"> </w:t>
            </w:r>
            <w:r>
              <w:rPr>
                <w:rFonts w:ascii="Times New Roman;Times;serif" w:hAnsi="Times New Roman;Times;serif"/>
                <w:b w:val="false"/>
                <w:i w:val="false"/>
                <w:caps w:val="false"/>
                <w:smallCaps w:val="false"/>
                <w:sz w:val="20"/>
              </w:rPr>
              <w:t>million and $2.3</w:t>
            </w:r>
            <w:r>
              <w:rPr>
                <w:caps w:val="false"/>
                <w:smallCaps w:val="false"/>
              </w:rPr>
              <w:t xml:space="preserve"> </w:t>
            </w:r>
            <w:r>
              <w:rPr>
                <w:rFonts w:ascii="Times New Roman;Times;serif" w:hAnsi="Times New Roman;Times;serif"/>
                <w:b w:val="false"/>
                <w:i w:val="false"/>
                <w:caps w:val="false"/>
                <w:smallCaps w:val="false"/>
                <w:sz w:val="20"/>
              </w:rPr>
              <w:t>million of brokered deposits at March 31, 2023 and December 31, 2022, respectively.</w:t>
            </w:r>
          </w:p>
        </w:tc>
      </w:tr>
    </w:tbl>
    <w:tbl>
      <w:tblPr>
        <w:tblW w:w="10187" w:type="dxa"/>
        <w:jc w:val="left"/>
        <w:tblInd w:w="0" w:type="dxa"/>
        <w:tblCellMar>
          <w:top w:w="0" w:type="dxa"/>
          <w:left w:w="0" w:type="dxa"/>
          <w:bottom w:w="0" w:type="dxa"/>
          <w:right w:w="0" w:type="dxa"/>
        </w:tblCellMar>
      </w:tblPr>
      <w:tblGrid>
        <w:gridCol w:w="346"/>
        <w:gridCol w:w="984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4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Includes $50.3</w:t>
            </w:r>
            <w:r>
              <w:rPr>
                <w:caps w:val="false"/>
                <w:smallCaps w:val="false"/>
              </w:rPr>
              <w:t xml:space="preserve"> </w:t>
            </w:r>
            <w:r>
              <w:rPr>
                <w:rFonts w:ascii="Times New Roman;Times;serif" w:hAnsi="Times New Roman;Times;serif"/>
                <w:b w:val="false"/>
                <w:i w:val="false"/>
                <w:caps w:val="false"/>
                <w:smallCaps w:val="false"/>
                <w:sz w:val="20"/>
              </w:rPr>
              <w:t>million and $59.7</w:t>
            </w:r>
            <w:r>
              <w:rPr>
                <w:caps w:val="false"/>
                <w:smallCaps w:val="false"/>
              </w:rPr>
              <w:t xml:space="preserve"> </w:t>
            </w:r>
            <w:r>
              <w:rPr>
                <w:rFonts w:ascii="Times New Roman;Times;serif" w:hAnsi="Times New Roman;Times;serif"/>
                <w:b w:val="false"/>
                <w:i w:val="false"/>
                <w:caps w:val="false"/>
                <w:smallCaps w:val="false"/>
                <w:sz w:val="20"/>
              </w:rPr>
              <w:t>million of brokered deposits at March 31, 2023 and December 31, 2022, respectively.</w:t>
            </w:r>
          </w:p>
        </w:tc>
      </w:tr>
    </w:tbl>
    <w:tbl>
      <w:tblPr>
        <w:tblW w:w="10205" w:type="dxa"/>
        <w:jc w:val="left"/>
        <w:tblInd w:w="0" w:type="dxa"/>
        <w:tblCellMar>
          <w:top w:w="0" w:type="dxa"/>
          <w:left w:w="0" w:type="dxa"/>
          <w:bottom w:w="0" w:type="dxa"/>
          <w:right w:w="0" w:type="dxa"/>
        </w:tblCellMar>
      </w:tblPr>
      <w:tblGrid>
        <w:gridCol w:w="344"/>
        <w:gridCol w:w="9861"/>
      </w:tblGrid>
      <w:tr>
        <w:trPr/>
        <w:tc>
          <w:tcPr>
            <w:tcW w:w="3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6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Includes $266.1</w:t>
            </w:r>
            <w:r>
              <w:rPr>
                <w:caps w:val="false"/>
                <w:smallCaps w:val="false"/>
              </w:rPr>
              <w:t xml:space="preserve"> </w:t>
            </w:r>
            <w:r>
              <w:rPr>
                <w:rFonts w:ascii="Times New Roman;Times;serif" w:hAnsi="Times New Roman;Times;serif"/>
                <w:b w:val="false"/>
                <w:i w:val="false"/>
                <w:caps w:val="false"/>
                <w:smallCaps w:val="false"/>
                <w:sz w:val="20"/>
              </w:rPr>
              <w:t>million and $332.0</w:t>
            </w:r>
            <w:r>
              <w:rPr>
                <w:caps w:val="false"/>
                <w:smallCaps w:val="false"/>
              </w:rPr>
              <w:t xml:space="preserve"> </w:t>
            </w:r>
            <w:r>
              <w:rPr>
                <w:rFonts w:ascii="Times New Roman;Times;serif" w:hAnsi="Times New Roman;Times;serif"/>
                <w:b w:val="false"/>
                <w:i w:val="false"/>
                <w:caps w:val="false"/>
                <w:smallCaps w:val="false"/>
                <w:sz w:val="20"/>
              </w:rPr>
              <w:t>million of brokered deposits at March 31, 2023 and December 31, 2022, respectively.</w:t>
            </w:r>
          </w:p>
        </w:tc>
      </w:tr>
    </w:tbl>
    <w:tbl>
      <w:tblPr>
        <w:tblW w:w="2927" w:type="dxa"/>
        <w:jc w:val="left"/>
        <w:tblInd w:w="0" w:type="dxa"/>
        <w:tblCellMar>
          <w:top w:w="0" w:type="dxa"/>
          <w:left w:w="0" w:type="dxa"/>
          <w:bottom w:w="0" w:type="dxa"/>
          <w:right w:w="0" w:type="dxa"/>
        </w:tblCellMar>
      </w:tblPr>
      <w:tblGrid>
        <w:gridCol w:w="346"/>
        <w:gridCol w:w="258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25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 accounts.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2979" w:name="Tc_4OMiP5kvRk6Po-FrHZBBlA_7_5"/>
      <w:bookmarkStart w:id="2980" w:name="Tc_NwIz3n3USE69UVLy6ucspQ_7_2"/>
      <w:bookmarkStart w:id="2981" w:name="Tc_Zp57PhBYaUK0Hi3b3NKWfg_7_0"/>
      <w:bookmarkStart w:id="2982" w:name="Tc_AwhB2QGPAEiHMC_UI40-WQ_6_0"/>
      <w:bookmarkStart w:id="2983" w:name="Tc_VCBrxUNk0kCQGaGq5XTJ4A_5_0"/>
      <w:bookmarkStart w:id="2984" w:name="Tc_RaBuFPW04E2CBTl6AZctbA_4_5"/>
      <w:bookmarkStart w:id="2985" w:name="Tc_ShkcGvmPo06U2DQBGtQbpg_4_2"/>
      <w:bookmarkStart w:id="2986" w:name="Tc__XJPLe9VrkuG5msfuT3Jqg_4_0"/>
      <w:bookmarkStart w:id="2987" w:name="Tc_QjOvuQphNEuli83AZeBHrw_3_5"/>
      <w:bookmarkStart w:id="2988" w:name="Tc_OV0x0xyW1EKfFF5YNisj0A_3_2"/>
      <w:bookmarkStart w:id="2989" w:name="Tc_bwGG3X0Bg0SlM4HnVS8nBw_2_2"/>
      <w:bookmarkStart w:id="2990" w:name="Tc_RNibXoLx6EiRMaksjBo39A_1_2"/>
      <w:bookmarkStart w:id="2991" w:name="Tc_MVfUq1iayUmlf4d8jMFsog_7_2"/>
      <w:bookmarkStart w:id="2992" w:name="Tc_lmQvL0WFk0-DDd_s1pJYIg_7_0"/>
      <w:bookmarkStart w:id="2993" w:name="Tc_JCYxKBg33UqX1k_LaEXJcg_6_0"/>
      <w:bookmarkStart w:id="2994" w:name="Tc_acO8ALxMi0KGn-AGW2v2LA_5_0"/>
      <w:bookmarkStart w:id="2995" w:name="Tc_y90i9hzNy0OM_VkUVR51YQ_4_0"/>
      <w:bookmarkStart w:id="2996" w:name="Tc_ge4bihtruU29jkHmSd1Z0Q_3_0"/>
      <w:bookmarkStart w:id="2997" w:name="Tc_FjJ2TW4TbEe9bEOyKiDDiw_2_0"/>
      <w:bookmarkStart w:id="2998" w:name="Tc_M653ZS6uK0q6V292AuyWuw_1_2"/>
      <w:bookmarkStart w:id="2999" w:name="Tc_cK39_VAFx0u5rt1diEhF5A_1_0"/>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r>
        <w:rPr>
          <w:rFonts w:ascii="Times New Roman;Times;serif" w:hAnsi="Times New Roman;Times;serif"/>
          <w:sz w:val="20"/>
        </w:rPr>
        <w:t>Scheduled maturities of time deposits at March 31, 2023 for future periods ending are as follows:</w:t>
      </w:r>
    </w:p>
    <w:p>
      <w:pPr>
        <w:pStyle w:val="TextBody"/>
        <w:spacing w:before="0" w:after="0"/>
        <w:ind w:left="0" w:right="0" w:hanging="0"/>
        <w:rPr/>
      </w:pPr>
      <w:r>
        <w:rPr/>
        <w:t>​</w:t>
      </w:r>
    </w:p>
    <w:tbl>
      <w:tblPr>
        <w:tblW w:w="2767" w:type="dxa"/>
        <w:jc w:val="left"/>
        <w:tblInd w:w="0" w:type="dxa"/>
        <w:tblCellMar>
          <w:top w:w="0" w:type="dxa"/>
          <w:left w:w="0" w:type="dxa"/>
          <w:bottom w:w="0" w:type="dxa"/>
          <w:right w:w="0" w:type="dxa"/>
        </w:tblCellMar>
      </w:tblPr>
      <w:tblGrid>
        <w:gridCol w:w="1561"/>
        <w:gridCol w:w="109"/>
        <w:gridCol w:w="211"/>
        <w:gridCol w:w="886"/>
      </w:tblGrid>
      <w:tr>
        <w:trPr/>
        <w:tc>
          <w:tcPr>
            <w:tcW w:w="1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991235" cy="175260"/>
                      <wp:effectExtent l="0" t="0" r="0" b="0"/>
                      <wp:wrapNone/>
                      <wp:docPr id="558" name="Frame558"/>
                      <a:graphic xmlns:a="http://schemas.openxmlformats.org/drawingml/2006/main">
                        <a:graphicData uri="http://schemas.microsoft.com/office/word/2010/wordprocessingShape">
                          <wps:wsp>
                            <wps:cNvSpPr txBox="1"/>
                            <wps:spPr>
                              <a:xfrm>
                                <a:off x="0" y="0"/>
                                <a:ext cx="991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215" cy="175260"/>
                      <wp:effectExtent l="0" t="0" r="0" b="0"/>
                      <wp:wrapNone/>
                      <wp:docPr id="559" name="Frame5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33985" cy="175260"/>
                      <wp:effectExtent l="0" t="0" r="0" b="0"/>
                      <wp:wrapNone/>
                      <wp:docPr id="560" name="Frame5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562610" cy="175260"/>
                      <wp:effectExtent l="0" t="0" r="0" b="0"/>
                      <wp:wrapNone/>
                      <wp:docPr id="561" name="Frame561"/>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Maturing in 2023</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391,502</w:t>
            </w:r>
          </w:p>
        </w:tc>
      </w:tr>
      <w:tr>
        <w:trPr/>
        <w:tc>
          <w:tcPr>
            <w:tcW w:w="1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Maturing in 2024</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207,339</w:t>
            </w:r>
          </w:p>
        </w:tc>
      </w:tr>
      <w:tr>
        <w:trPr/>
        <w:tc>
          <w:tcPr>
            <w:tcW w:w="1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Maturing in 2025</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109,287</w:t>
            </w:r>
          </w:p>
        </w:tc>
      </w:tr>
      <w:tr>
        <w:trPr/>
        <w:tc>
          <w:tcPr>
            <w:tcW w:w="1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Maturing in 2026</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45,771</w:t>
            </w:r>
          </w:p>
        </w:tc>
      </w:tr>
      <w:tr>
        <w:trPr/>
        <w:tc>
          <w:tcPr>
            <w:tcW w:w="1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Maturing in 2027</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19,927</w:t>
            </w:r>
          </w:p>
        </w:tc>
      </w:tr>
      <w:tr>
        <w:trPr/>
        <w:tc>
          <w:tcPr>
            <w:tcW w:w="1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r>
      <w:tr>
        <w:trPr/>
        <w:tc>
          <w:tcPr>
            <w:tcW w:w="1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774,411</w:t>
            </w:r>
          </w:p>
        </w:tc>
      </w:tr>
    </w:tbl>
    <w:p>
      <w:pPr>
        <w:pStyle w:val="TextBody"/>
        <w:spacing w:before="0" w:after="200"/>
        <w:ind w:left="0" w:right="0" w:hanging="0"/>
        <w:jc w:val="both"/>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Interest expense by deposit category for the periods indicated is as follows:</w:t>
      </w:r>
    </w:p>
    <w:p>
      <w:pPr>
        <w:pStyle w:val="TextBody"/>
        <w:spacing w:before="0" w:after="0"/>
        <w:ind w:left="0" w:right="0" w:hanging="0"/>
        <w:rPr/>
      </w:pPr>
      <w:r>
        <w:rPr/>
        <w:t>​</w:t>
      </w:r>
    </w:p>
    <w:tbl>
      <w:tblPr>
        <w:tblW w:w="4324" w:type="dxa"/>
        <w:jc w:val="left"/>
        <w:tblInd w:w="0" w:type="dxa"/>
        <w:tblCellMar>
          <w:top w:w="0" w:type="dxa"/>
          <w:left w:w="0" w:type="dxa"/>
          <w:bottom w:w="0" w:type="dxa"/>
          <w:right w:w="0" w:type="dxa"/>
        </w:tblCellMar>
      </w:tblPr>
      <w:tblGrid>
        <w:gridCol w:w="2311"/>
        <w:gridCol w:w="109"/>
        <w:gridCol w:w="226"/>
        <w:gridCol w:w="612"/>
        <w:gridCol w:w="116"/>
        <w:gridCol w:w="226"/>
        <w:gridCol w:w="724"/>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467485" cy="175260"/>
                      <wp:effectExtent l="0" t="0" r="0" b="0"/>
                      <wp:wrapNone/>
                      <wp:docPr id="562" name="Frame562"/>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9215" cy="175260"/>
                      <wp:effectExtent l="0" t="0" r="0" b="0"/>
                      <wp:wrapNone/>
                      <wp:docPr id="563" name="Frame56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43510" cy="175260"/>
                      <wp:effectExtent l="0" t="0" r="0" b="0"/>
                      <wp:wrapNone/>
                      <wp:docPr id="564" name="Frame564"/>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88620" cy="175260"/>
                      <wp:effectExtent l="0" t="0" r="0" b="0"/>
                      <wp:wrapNone/>
                      <wp:docPr id="565" name="Frame565"/>
                      <a:graphic xmlns:a="http://schemas.openxmlformats.org/drawingml/2006/main">
                        <a:graphicData uri="http://schemas.microsoft.com/office/word/2010/wordprocessingShape">
                          <wps:wsp>
                            <wps:cNvSpPr txBox="1"/>
                            <wps:spPr>
                              <a:xfrm>
                                <a:off x="0" y="0"/>
                                <a:ext cx="388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73660" cy="175260"/>
                      <wp:effectExtent l="0" t="0" r="0" b="0"/>
                      <wp:wrapNone/>
                      <wp:docPr id="566" name="Frame566"/>
                      <a:graphic xmlns:a="http://schemas.openxmlformats.org/drawingml/2006/main">
                        <a:graphicData uri="http://schemas.microsoft.com/office/word/2010/wordprocessingShape">
                          <wps:wsp>
                            <wps:cNvSpPr txBox="1"/>
                            <wps:spPr>
                              <a:xfrm>
                                <a:off x="0" y="0"/>
                                <a:ext cx="73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43510" cy="175260"/>
                      <wp:effectExtent l="0" t="0" r="0" b="0"/>
                      <wp:wrapNone/>
                      <wp:docPr id="567" name="Frame567"/>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459740" cy="175260"/>
                      <wp:effectExtent l="0" t="0" r="0" b="0"/>
                      <wp:wrapNone/>
                      <wp:docPr id="568" name="Frame568"/>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04"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r>
      <w:tr>
        <w:trPr/>
        <w:tc>
          <w:tcPr>
            <w:tcW w:w="23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0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23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3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16" w:type="dxa"/>
            <w:tcBorders/>
            <w:shd w:fill="auto" w:val="clear"/>
            <w:vAlign w:val="center"/>
          </w:tcPr>
          <w:p>
            <w:pPr>
              <w:pStyle w:val="TableContents"/>
              <w:spacing w:before="0" w:after="0"/>
              <w:ind w:left="0" w:right="0" w:hanging="0"/>
              <w:jc w:val="center"/>
              <w:rPr/>
            </w:pPr>
            <w:r>
              <w:rPr/>
              <w:t>​</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Interest-bearing checking</w:t>
            </w:r>
          </w:p>
        </w:tc>
        <w:tc>
          <w:tcPr>
            <w:tcW w:w="109"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16" w:type="dxa"/>
            <w:tcBorders/>
            <w:shd w:fill="CCEEFF" w:val="clear"/>
            <w:vAlign w:val="center"/>
          </w:tcPr>
          <w:p>
            <w:pPr>
              <w:pStyle w:val="TableContents"/>
              <w:spacing w:before="0" w:after="0"/>
              <w:ind w:left="0" w:right="0" w:hanging="0"/>
              <w:jc w:val="right"/>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Savings and money market</w:t>
            </w:r>
          </w:p>
        </w:tc>
        <w:tc>
          <w:tcPr>
            <w:tcW w:w="109"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6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116" w:type="dxa"/>
            <w:tcBorders/>
            <w:shd w:fill="auto" w:val="clear"/>
            <w:vAlign w:val="center"/>
          </w:tcPr>
          <w:p>
            <w:pPr>
              <w:pStyle w:val="TableContents"/>
              <w:spacing w:before="0" w:after="0"/>
              <w:ind w:left="0" w:right="0" w:hanging="0"/>
              <w:jc w:val="right"/>
              <w:rPr/>
            </w:pPr>
            <w:r>
              <w:rPr/>
              <w:t>​</w:t>
            </w:r>
          </w:p>
        </w:tc>
        <w:tc>
          <w:tcPr>
            <w:tcW w:w="226" w:type="dxa"/>
            <w:tcBorders/>
            <w:shd w:fill="auto" w:val="clear"/>
            <w:vAlign w:val="center"/>
          </w:tcPr>
          <w:p>
            <w:pPr>
              <w:pStyle w:val="TableContents"/>
              <w:spacing w:before="0" w:after="0"/>
              <w:ind w:left="0" w:right="0" w:hanging="0"/>
              <w:rPr/>
            </w:pPr>
            <w:r>
              <w:rPr/>
              <w:t> </w:t>
            </w:r>
          </w:p>
        </w:tc>
        <w:tc>
          <w:tcPr>
            <w:tcW w:w="7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Certificates of deposit</w:t>
            </w:r>
          </w:p>
        </w:tc>
        <w:tc>
          <w:tcPr>
            <w:tcW w:w="109"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5,328</w:t>
            </w:r>
          </w:p>
        </w:tc>
        <w:tc>
          <w:tcPr>
            <w:tcW w:w="116" w:type="dxa"/>
            <w:tcBorders/>
            <w:shd w:fill="CCEEFF" w:val="clear"/>
            <w:vAlign w:val="center"/>
          </w:tcPr>
          <w:p>
            <w:pPr>
              <w:pStyle w:val="TableContents"/>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6,624</w:t>
            </w:r>
          </w:p>
        </w:tc>
        <w:tc>
          <w:tcPr>
            <w:tcW w:w="116" w:type="dxa"/>
            <w:tcBorders/>
            <w:shd w:fill="auto" w:val="clear"/>
            <w:vAlign w:val="center"/>
          </w:tcPr>
          <w:p>
            <w:pPr>
              <w:pStyle w:val="TableContents"/>
              <w:spacing w:before="0" w:after="0"/>
              <w:ind w:left="0" w:right="0" w:hanging="0"/>
              <w:jc w:val="right"/>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1,285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00"/>
        <w:ind w:left="0" w:right="0" w:hanging="0"/>
        <w:jc w:val="both"/>
        <w:rPr/>
      </w:pPr>
      <w:r>
        <w:rPr/>
        <w:t>​</w:t>
      </w:r>
    </w:p>
    <w:p>
      <w:pPr>
        <w:pStyle w:val="TextBody"/>
        <w:spacing w:before="0" w:after="200"/>
        <w:ind w:left="0" w:right="0" w:hanging="0"/>
        <w:rPr>
          <w:rFonts w:ascii="Times New Roman;Times;serif" w:hAnsi="Times New Roman;Times;serif"/>
          <w:b/>
          <w:sz w:val="20"/>
        </w:rPr>
      </w:pPr>
      <w:bookmarkStart w:id="3000" w:name="Tc_vKcq8dkYt06jlp7VAbz4fQ_14_5"/>
      <w:bookmarkStart w:id="3001" w:name="Tc_HnEscGDidE-S_R490kHQLw_14_2"/>
      <w:bookmarkStart w:id="3002" w:name="Tc_0xVx0LkWykuF1Um6D9xthQ_14_0"/>
      <w:bookmarkStart w:id="3003" w:name="Tc_yA-Vj-U6nUWmDny8df24rg_13_0"/>
      <w:bookmarkStart w:id="3004" w:name="Tc_e5XwiamPGE2TanH586BHYw_12_0"/>
      <w:bookmarkStart w:id="3005" w:name="Tc_F3Pdh3DLVE-nJgJzYFKulQ_11_0"/>
      <w:bookmarkStart w:id="3006" w:name="Tc_34u0J2H2sUC4Qi3wIxEaAg_10_0"/>
      <w:bookmarkStart w:id="3007" w:name="Tc_o8jRww2RT0yXUEIAk2OYBQ_9_0"/>
      <w:bookmarkStart w:id="3008" w:name="Tc_shHAxbqVUU2yy9t51OwqQA_8_0"/>
      <w:bookmarkStart w:id="3009" w:name="Tc_agdw3Hke1Eiit79Z9mi91A_7_0"/>
      <w:bookmarkStart w:id="3010" w:name="Tc_yBQNeWPfpUaAkh1yRZRJUg_6_0"/>
      <w:bookmarkStart w:id="3011" w:name="Tc_-IT1n1baCUKXxvDeFv1IwA_5_0"/>
      <w:bookmarkStart w:id="3012" w:name="Tc_LQ2Pv8UsOEGXTpZmMKuTCA_4_0"/>
      <w:bookmarkStart w:id="3013" w:name="Tc_52OOXcY3vU-Vq00udqiftA_3_5"/>
      <w:bookmarkStart w:id="3014" w:name="Tc_zTOkJf_fQk20Hq15y2-cmQ_3_2"/>
      <w:bookmarkStart w:id="3015" w:name="Tc_JvMkAYNSekm1uZ6c6eH6Ow_3_0"/>
      <w:bookmarkStart w:id="3016" w:name="Tc__7DoZMnwQEaWU_4wIhETpw_2_5"/>
      <w:bookmarkStart w:id="3017" w:name="Tc__z-HYSITDkCfDUiIhi4lSA_2_2"/>
      <w:bookmarkStart w:id="3018" w:name="Tc_7W704T8AAEyaISWn9u9QeQ_2_0"/>
      <w:bookmarkStart w:id="3019" w:name="Tc_GkwSJbKEGkCuQWc63nUKLw_1_5"/>
      <w:bookmarkStart w:id="3020" w:name="Tc_gVOXLCaS9Ue6Xo-71_-HfQ_1_2"/>
      <w:bookmarkStart w:id="3021" w:name="Tc_qzqDdB0i9kOBWbhqT7D4OA_1_0"/>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r>
        <w:rPr>
          <w:rFonts w:ascii="Times New Roman;Times;serif" w:hAnsi="Times New Roman;Times;serif"/>
          <w:b/>
          <w:sz w:val="20"/>
        </w:rPr>
        <w:t>NOTE 10 – COMMITMENTS AND CONTINGENCIES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Commitments </w:t>
      </w:r>
      <w:r>
        <w:rPr>
          <w:rFonts w:ascii="Times New Roman;Times;serif" w:hAnsi="Times New Roman;Times;serif"/>
          <w:sz w:val="20"/>
        </w:rPr>
        <w:t>– The Company is party to financial instruments with off-balance sheet risk in the normal course of business to meet the financing needs of its customers. These financial instruments include commitments to extend credit. These instruments involve, to varying degrees, elements of credit risk in excess of the amount recognized on the Consolidated Balance Sheets.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provides a summary of the Company’s commitments at the dates indicated:</w:t>
      </w:r>
    </w:p>
    <w:p>
      <w:pPr>
        <w:pStyle w:val="TextBody"/>
        <w:spacing w:before="0" w:after="0"/>
        <w:ind w:left="0" w:right="0" w:hanging="0"/>
        <w:rPr/>
      </w:pPr>
      <w:r>
        <w:rPr/>
        <w:t>​</w:t>
      </w:r>
    </w:p>
    <w:tbl>
      <w:tblPr>
        <w:tblW w:w="7390" w:type="dxa"/>
        <w:jc w:val="left"/>
        <w:tblInd w:w="0" w:type="dxa"/>
        <w:tblCellMar>
          <w:top w:w="0" w:type="dxa"/>
          <w:left w:w="0" w:type="dxa"/>
          <w:bottom w:w="0" w:type="dxa"/>
          <w:right w:w="0" w:type="dxa"/>
        </w:tblCellMar>
      </w:tblPr>
      <w:tblGrid>
        <w:gridCol w:w="4441"/>
        <w:gridCol w:w="326"/>
        <w:gridCol w:w="211"/>
        <w:gridCol w:w="781"/>
        <w:gridCol w:w="326"/>
        <w:gridCol w:w="250"/>
        <w:gridCol w:w="1055"/>
      </w:tblGrid>
      <w:tr>
        <w:trPr/>
        <w:tc>
          <w:tcPr>
            <w:tcW w:w="4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820035" cy="175260"/>
                      <wp:effectExtent l="0" t="0" r="0" b="0"/>
                      <wp:wrapNone/>
                      <wp:docPr id="569" name="Frame569"/>
                      <a:graphic xmlns:a="http://schemas.openxmlformats.org/drawingml/2006/main">
                        <a:graphicData uri="http://schemas.microsoft.com/office/word/2010/wordprocessingShape">
                          <wps:wsp>
                            <wps:cNvSpPr txBox="1"/>
                            <wps:spPr>
                              <a:xfrm>
                                <a:off x="0" y="0"/>
                                <a:ext cx="2820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70" name="Frame5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3985" cy="175260"/>
                      <wp:effectExtent l="0" t="0" r="0" b="0"/>
                      <wp:wrapNone/>
                      <wp:docPr id="571" name="Frame5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95935" cy="175260"/>
                      <wp:effectExtent l="0" t="0" r="0" b="0"/>
                      <wp:wrapNone/>
                      <wp:docPr id="572" name="Frame57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3" name="Frame5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58750" cy="175260"/>
                      <wp:effectExtent l="0" t="0" r="0" b="0"/>
                      <wp:wrapNone/>
                      <wp:docPr id="574" name="Frame574"/>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69925" cy="175260"/>
                      <wp:effectExtent l="0" t="0" r="0" b="0"/>
                      <wp:wrapNone/>
                      <wp:docPr id="575" name="Frame575"/>
                      <a:graphic xmlns:a="http://schemas.openxmlformats.org/drawingml/2006/main">
                        <a:graphicData uri="http://schemas.microsoft.com/office/word/2010/wordprocessingShape">
                          <wps:wsp>
                            <wps:cNvSpPr txBox="1"/>
                            <wps:spPr>
                              <a:xfrm>
                                <a:off x="0" y="0"/>
                                <a:ext cx="669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COMMITMENTS TO EXTEND CREDIT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REAL ESTATE LOANS</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jc w:val="center"/>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2,258</w:t>
            </w:r>
          </w:p>
        </w:tc>
        <w:tc>
          <w:tcPr>
            <w:tcW w:w="326"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Construction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186,425</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 </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201,708</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One-to-four-family (includes locks for saleable loans)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38,252</w:t>
            </w:r>
          </w:p>
        </w:tc>
        <w:tc>
          <w:tcPr>
            <w:tcW w:w="326"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pPr>
            <w:r>
              <w:rPr/>
              <w:t> </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10,713</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Home equity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96,985</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 </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77,566</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c>
          <w:tcPr>
            <w:tcW w:w="326" w:type="dxa"/>
            <w:tcBorders/>
            <w:shd w:fill="CCEEFF" w:val="clear"/>
            <w:vAlign w:val="center"/>
          </w:tcPr>
          <w:p>
            <w:pPr>
              <w:pStyle w:val="TableContents"/>
              <w:spacing w:before="0" w:after="0"/>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real estate loans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326,930</w:t>
            </w:r>
          </w:p>
        </w:tc>
        <w:tc>
          <w:tcPr>
            <w:tcW w:w="326" w:type="dxa"/>
            <w:tcBorders/>
            <w:shd w:fill="auto" w:val="clear"/>
            <w:vAlign w:val="center"/>
          </w:tcPr>
          <w:p>
            <w:pPr>
              <w:pStyle w:val="TableContents"/>
              <w:spacing w:before="0" w:after="0"/>
              <w:ind w:left="0" w:right="0" w:hanging="0"/>
              <w:rPr/>
            </w:pPr>
            <w:r>
              <w:rPr/>
              <w:t>​</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294,246</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CONSUMER LOANS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39,024</w:t>
            </w:r>
          </w:p>
        </w:tc>
        <w:tc>
          <w:tcPr>
            <w:tcW w:w="326" w:type="dxa"/>
            <w:tcBorders/>
            <w:shd w:fill="CCEEFF" w:val="clear"/>
            <w:vAlign w:val="center"/>
          </w:tcPr>
          <w:p>
            <w:pPr>
              <w:pStyle w:val="TableContents"/>
              <w:spacing w:before="0" w:after="0"/>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39,406</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COMMERCIAL BUSINESS LOANS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 </w:t>
            </w:r>
          </w:p>
        </w:tc>
        <w:tc>
          <w:tcPr>
            <w:tcW w:w="1055" w:type="dxa"/>
            <w:tcBorders/>
            <w:shd w:fill="auto" w:val="clear"/>
            <w:vAlign w:val="center"/>
          </w:tcPr>
          <w:p>
            <w:pPr>
              <w:pStyle w:val="TableContents"/>
              <w:spacing w:before="0" w:after="0"/>
              <w:ind w:left="0" w:right="0" w:hanging="0"/>
              <w:jc w:val="right"/>
              <w:rPr/>
            </w:pPr>
            <w:r>
              <w:rPr/>
              <w:t>  </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and industrial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170,476</w:t>
            </w:r>
          </w:p>
        </w:tc>
        <w:tc>
          <w:tcPr>
            <w:tcW w:w="326"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pPr>
            <w:r>
              <w:rPr/>
              <w:t> </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150,109</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Warehouse lending</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67,965</w:t>
            </w:r>
          </w:p>
        </w:tc>
        <w:tc>
          <w:tcPr>
            <w:tcW w:w="326" w:type="dxa"/>
            <w:tcBorders/>
            <w:shd w:fill="auto" w:val="clear"/>
            <w:vAlign w:val="center"/>
          </w:tcPr>
          <w:p>
            <w:pPr>
              <w:pStyle w:val="TableContents"/>
              <w:spacing w:before="0" w:after="0"/>
              <w:ind w:left="0" w:right="0" w:hanging="0"/>
              <w:rPr/>
            </w:pPr>
            <w:r>
              <w:rPr/>
              <w:t>​</w:t>
            </w:r>
          </w:p>
        </w:tc>
        <w:tc>
          <w:tcPr>
            <w:tcW w:w="25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64,781</w:t>
            </w:r>
          </w:p>
        </w:tc>
      </w:tr>
      <w:tr>
        <w:trPr/>
        <w:tc>
          <w:tcPr>
            <w:tcW w:w="44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commercial business loans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238,441</w:t>
            </w:r>
          </w:p>
        </w:tc>
        <w:tc>
          <w:tcPr>
            <w:tcW w:w="326" w:type="dxa"/>
            <w:tcBorders/>
            <w:shd w:fill="CCEEFF" w:val="clear"/>
            <w:vAlign w:val="center"/>
          </w:tcPr>
          <w:p>
            <w:pPr>
              <w:pStyle w:val="TableContents"/>
              <w:spacing w:before="0" w:after="0"/>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214,890</w:t>
            </w:r>
          </w:p>
        </w:tc>
      </w:tr>
      <w:tr>
        <w:trPr/>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commitments to extend credit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604,395</w:t>
            </w:r>
          </w:p>
        </w:tc>
        <w:tc>
          <w:tcPr>
            <w:tcW w:w="326" w:type="dxa"/>
            <w:tcBorders/>
            <w:shd w:fill="auto" w:val="clear"/>
            <w:vAlign w:val="center"/>
          </w:tcPr>
          <w:p>
            <w:pPr>
              <w:pStyle w:val="TableContents"/>
              <w:spacing w:before="0" w:after="0"/>
              <w:ind w:left="0" w:right="0" w:hanging="0"/>
              <w:rPr/>
            </w:pPr>
            <w:r>
              <w:rPr/>
              <w:t>​</w:t>
            </w:r>
          </w:p>
        </w:tc>
        <w:tc>
          <w:tcPr>
            <w:tcW w:w="25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548,542</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Commitments to extend credit are agreements to lend to a customer as long as there is no violation of any condition established in the contract. Since many of the commitments are expected to expire without being drawn upon, the amount of the total commitments does not necessarily represent future cash requirements. The Company evaluates each customer’s creditworthiness on a case-by-case basis. The amount of collateral obtained, if deemed necessary by the Company upon an extension of credit, is based on management’s credit evaluation of the party. Collateral held varies, but may include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accounts receivable, inventory, property and equipment, residential real estate, and income-producing commercial properties.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Unfunded commitments under commercial lines of credit, revolving credit lines, and overdraft protection agreements are commitments for possible future extensions of credit to existing customers. These lines of credit usually do not contain a specified maturity date and ultimately may not be drawn upon to the total extent to which the Company is committed. The Company’s ACL - unfunded loan commitments at March 31, 2023 and December 31, 2022 was $2.3 million and $2.5 million, respectively.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also sells one-to-four-family loans to the FHLB of Des Moines that require a limited level of recourse if the loans default and exceed a certain loss exposure. Specific to that recourse, the FHLB of Des Moines established a first loss account (“FLA”) related to the loans and required a credit enhancement (“CE”) obligation by the Bank to be utilized after the FLA is used. Based on loans sold through March 31, 2023, total loans sold to the FHLB were $10.1 million with the FLA totaling $581,000 and the CE obligation at $389,000 or 3.9% of the loans outstanding. Management has established a holdback of 10% of the outstanding CE, or $39,000, which is a part of the off-balance sheet holdback for loans sold. At both March 31, 2023 and December 31, 2022, there were no loans sold to the FHLB of Des Moines that were greater than 30 days past their contractual payment due date.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Contingent liabilities for loans held for sale </w:t>
      </w:r>
      <w:r>
        <w:rPr>
          <w:rFonts w:ascii="Times New Roman;Times;serif" w:hAnsi="Times New Roman;Times;serif"/>
          <w:sz w:val="20"/>
        </w:rPr>
        <w:t>– In the ordinary course of business, loans are sold with limited recourse against the Company and may have 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may be required to either repurchase the loan or indemnify the investor for losses sustained. If there are no such defects, the Company has no commitment to repurchase the loan. The Company has recorded a holdback reserve of $2.1 million and $2.3 million to cover loss exposure related to these guarantees for one-to-four-family loans sold into the secondary market at March 31, 2023 and December 31, 2022, respectively, which is included in “Other liabilities” on the Consolidated Balance Sheets.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entered into a severance agreement with its Chief Executive Officer (“CEO”). The severance agreement, subject to certain requirements, generally includes a lump sum payment to the CEO equal to 24 months of base compensation in the event his employment is involuntarily terminated, other than for cause or the executive terminates his employment with good reason, as defined in the severance agreement.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entered into change of control agreements with its Chief Financial Officer, Chief Lending Officer, Chief Credit Officer, Chief Risk Officer, Chief Human Resources Officer, Senior Vice President Compliance Officer, Executive Vice President of Retail Banking and Marketing, and the Executive Vice President of Home Lending. The change of control agreements, subject to certain requirements, generally remain in effect until canceled by either party upon at least 24 months prior written notice. Under the change of control agreements, the executive generally will be entitled to a change of control payment from the Company if the executive is involuntarily terminated within six months preceding or 12 months after a change in control (as defined in the change of control agreements). In such an event, the executives would each be entitled to receive a cash payment in an amount equal to 12 months of their then current salary, subject to certain requirements in the change of control agreements.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As a result of the nature of our activities, the Company is subject to various pending and threatened legal actions, which arise in the ordinary course of business. From time to time, subordination liens may create litigation which requires us to defend our lien rights. In the opinion of management, liabilities arising from these claims, if any, will not have a material effect on our financial position. The Company had no material pending legal actions at March 31, 2023.</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11 – FAIR VALUE MEASUREMENTS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determines fair value based on the requirements established in Accounting Standards Codification (“ASC”) </w:t>
      </w:r>
      <w:r>
        <w:rPr>
          <w:rFonts w:ascii="Times New Roman;Times;serif" w:hAnsi="Times New Roman;Times;serif"/>
          <w:i/>
          <w:sz w:val="20"/>
        </w:rPr>
        <w:t>Topic 820</w:t>
      </w:r>
      <w:r>
        <w:rPr>
          <w:rFonts w:ascii="Times New Roman;Times;serif" w:hAnsi="Times New Roman;Times;serif"/>
          <w:sz w:val="20"/>
        </w:rPr>
        <w:t xml:space="preserve">, </w:t>
      </w:r>
      <w:r>
        <w:rPr>
          <w:rFonts w:ascii="Times New Roman;Times;serif" w:hAnsi="Times New Roman;Times;serif"/>
          <w:i/>
          <w:sz w:val="20"/>
        </w:rPr>
        <w:t>Fair Value Measurements,</w:t>
      </w:r>
      <w:r>
        <w:rPr>
          <w:rFonts w:ascii="Times New Roman;Times;serif" w:hAnsi="Times New Roman;Times;serif"/>
          <w:sz w:val="20"/>
        </w:rPr>
        <w:t xml:space="preserve"> which provides a framework for measuring fair value in accordance with U.S. GAAP and requires an entity to maximize the use of observable inputs and minimize the use of unobservable inputs when measuring fair value.  ASC </w:t>
      </w:r>
      <w:r>
        <w:rPr>
          <w:rFonts w:ascii="Times New Roman;Times;serif" w:hAnsi="Times New Roman;Times;serif"/>
          <w:i/>
          <w:sz w:val="20"/>
        </w:rPr>
        <w:t>Topic 820</w:t>
      </w:r>
      <w:r>
        <w:rPr>
          <w:rFonts w:ascii="Times New Roman;Times;serif" w:hAnsi="Times New Roman;Times;serif"/>
          <w:sz w:val="20"/>
        </w:rPr>
        <w:t xml:space="preserve"> defines fair value as the exit price, or the price that would be received for an asset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or paid to transfer a liability, in the principal or most advantageous market for the asset or liability in an orderly transaction between market participants on the measurement date under current market conditions.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definitions describe the levels of inputs that may be used to measure fair value: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 Inputs to the valuation methodology are quoted prices (unadjusted) for identical assets or liabilities in active markets.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 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 Inputs to the valuation methodology are unobservable and significant to the fair value measurement.</w:t>
      </w:r>
    </w:p>
    <w:p>
      <w:pPr>
        <w:pStyle w:val="TextBody"/>
        <w:spacing w:before="0" w:after="20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methods were used to estimate the fair value of certain assets and liabilities on a recurring and nonrecurring basis: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Securities </w:t>
      </w:r>
      <w:r>
        <w:rPr>
          <w:rFonts w:ascii="Times New Roman;Times;serif" w:hAnsi="Times New Roman;Times;serif"/>
          <w:sz w:val="20"/>
        </w:rPr>
        <w:t>– The fair value of securities available-for-sale are recorded on a recurring basis. The fair value of investments and mortgage-backed securities are provided by a third-party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2).  Transfers between the fair value hierarchy are determined through the third-party service provider which, from time to time will transfer between levels based on market conditions per the related security. All models and processes used take into account market convention.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Mortgage Loans Held for Sale </w:t>
      </w:r>
      <w:r>
        <w:rPr>
          <w:rFonts w:ascii="Times New Roman;Times;serif" w:hAnsi="Times New Roman;Times;serif"/>
          <w:sz w:val="20"/>
        </w:rPr>
        <w:t>– The fair value of loans held for sale reflects the value of commitments with investors and/or the relative price as delivered into a TBA mortgage-backed security (Level 2).</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Loans Receivable</w:t>
      </w:r>
      <w:r>
        <w:rPr>
          <w:rFonts w:ascii="Times New Roman;Times;serif" w:hAnsi="Times New Roman;Times;serif"/>
          <w:sz w:val="20"/>
          <w:highlight w:val="white"/>
        </w:rPr>
        <w:t xml:space="preserve"> </w:t>
      </w:r>
      <w:r>
        <w:rPr>
          <w:rFonts w:ascii="Times New Roman;Times;serif" w:hAnsi="Times New Roman;Times;serif"/>
          <w:sz w:val="20"/>
        </w:rPr>
        <w:t>–</w:t>
      </w:r>
      <w:r>
        <w:rPr>
          <w:rFonts w:ascii="Times New Roman;Times;serif" w:hAnsi="Times New Roman;Times;serif"/>
          <w:sz w:val="20"/>
          <w:highlight w:val="white"/>
        </w:rPr>
        <w:t xml:space="preserve"> Fair values are estimated for portfolios of loans with similar financial characteristics. Loans are segregated by type, including commercial, real estate and consumer loans. Each loan category is further segregated by fixed and adjustable-rate loans. The fair value of loans is calculated by discounting expected cash flows at rates at which similar loans are currently being made. These amounts are discounted further by embedded probable losses expected to be realized in the portfolio. Certain residential mortgage loans were initially originated for sale and measured at fair value; after origination, the loans were transferred to loans held for investment.  As of March 31, 2023 and December 31, 2022, there were $15.0 million and $14.0 million, respectively, in residential mortgage loans accounted for under the fair value option as they were previously transferred from held for sale, at fair value to loans held for investment.  The aggregate unpaid principal balance of these loans was $16.0 million and $15.6 million as of March 31, 2023 and December 31, 2022, respectively.  Gains and losses from changes in fair value for these loans are reported in earnings as a component of  “Other noninterest income” on the Consolidated Statements of Income.  For the three months ended March 31, 2023, the Company recorded a net increase in fair value of $577,000,  as compared to a net decrease in fair value of $502,000  for the three months ended March 31, 2022.  For loans originated as held for sale and transferred into loans held for investment, the fair value is determined based on quoted secondary market prices for similar loans (Level 2).</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Derivative Instruments </w:t>
      </w:r>
      <w:r>
        <w:rPr>
          <w:rFonts w:ascii="Times New Roman;Times;serif" w:hAnsi="Times New Roman;Times;serif"/>
          <w:sz w:val="20"/>
        </w:rPr>
        <w:t xml:space="preserve">– Fair values for derivative assets and liabilities are measured on a recurring basis.  The primary use of derivative instruments is related to the mortgage banking activities of the Company.  The fair value of the interest rate lock commitments and forward sales commitments are estimated using quoted or published market prices for similar instruments, adjusted for factors such as pull-though rate assumptions based on historical information, where appropriate.  TBA mortgage-backed securities are fair valued on similar contracts in active markets (Level 2), while locks and forwards with customers and investors are fair valued using similar contracts in the market and changes in the market interest rates (Level 2 and 3).  Derivative instruments not related to mortgage banking activities include interest rate swap agreements.  The fair values of interest rate swap agreements are based on valuation models using observable market data as of the measurement date (Level 2).  The Company’s derivatives are traded in an over-the-counter market where quoted market prices are not always available.  Therefore, the fair values of derivatives are determined using quantitative models that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3022" w:name="Tc_c7v5Sy4Pc0mcB1wUTyX2pw_19_11"/>
      <w:bookmarkStart w:id="3023" w:name="Tc_pRHexYMVrkCAm2rrzvDsbw_19_8"/>
      <w:bookmarkStart w:id="3024" w:name="Tc_5ptCzvntN0uJV6gwVkCoNw_19_5"/>
      <w:bookmarkStart w:id="3025" w:name="Tc_isMK-EMLKkSSl68Wv5ZEjw_19_2"/>
      <w:bookmarkStart w:id="3026" w:name="Tc_nXZjm4J2LkCwW7zX2wRx5A_19_0"/>
      <w:bookmarkStart w:id="3027" w:name="Tc_EhEZ7LVwbUK-JLAvNp06lw_18_0"/>
      <w:bookmarkStart w:id="3028" w:name="Tc_3rjrWbIhrk2JECdAZE351g_17_0"/>
      <w:bookmarkStart w:id="3029" w:name="Tc_OHyipvSw-kijYjgrGugV7w_16_11"/>
      <w:bookmarkStart w:id="3030" w:name="Tc_Qt8qgwxxNUGgQo_DhpLH_g_16_8"/>
      <w:bookmarkStart w:id="3031" w:name="Tc_DVSd7Xi0tUmh98lE-cYjOw_16_5"/>
      <w:bookmarkStart w:id="3032" w:name="Tc_w0gZobk9h0aElF49e9F_4Q_16_2"/>
      <w:bookmarkStart w:id="3033" w:name="Tc_04ly6fRKCES2BxbPUgQN-Q_16_0"/>
      <w:bookmarkStart w:id="3034" w:name="Tc_Yp7JAmEb8EiGscPQ6DsRAA_15_0"/>
      <w:bookmarkStart w:id="3035" w:name="Tc_VCTz5GeA2UmNYGPzrtavLw_14_0"/>
      <w:bookmarkStart w:id="3036" w:name="Tc_ISzTgTkgoUSyjqfMhLUi2g_13_11"/>
      <w:bookmarkStart w:id="3037" w:name="Tc_BUL6OyJEHk-abch_jVVEtg_13_8"/>
      <w:bookmarkStart w:id="3038" w:name="Tc_IPft7PWbTESc9qoZM3EY7w_13_5"/>
      <w:bookmarkStart w:id="3039" w:name="Tc_B4TDMexisEu4WJlkbxndWQ_13_2"/>
      <w:bookmarkStart w:id="3040" w:name="Tc_ae5156ffQEKCoQSfuxlgng_13_0"/>
      <w:bookmarkStart w:id="3041" w:name="Tc_4wisMUudJ02L3_u2VH_Reg_12_0"/>
      <w:bookmarkStart w:id="3042" w:name="Tc_G84scImfy0WHvIfq1mfhOQ_11_0"/>
      <w:bookmarkStart w:id="3043" w:name="Tc_tPSG_Hf4VE6ozf18FG3h6g_10_0"/>
      <w:bookmarkStart w:id="3044" w:name="Tc_6JySXrXIWUiL0xGJVEgj9g_9_0"/>
      <w:bookmarkStart w:id="3045" w:name="Tc_traGiZ7-p0maY-KOat6gMg_8_0"/>
      <w:bookmarkStart w:id="3046" w:name="Tc_I6VSEervXkiWVuDzXzVtTQ_7_0"/>
      <w:bookmarkStart w:id="3047" w:name="Tc_FLZe390wt0iHY1Bc9rqGkg_6_0"/>
      <w:bookmarkStart w:id="3048" w:name="Tc_tDABccwfFUmUuaPNmuwRMw_5_0"/>
      <w:bookmarkStart w:id="3049" w:name="Tc_qNmHkbqqAEGTW8fVBvVorw_4_0"/>
      <w:bookmarkStart w:id="3050" w:name="Tc_I_g-Nj2-bUWBB_SESFlUvg_3_11"/>
      <w:bookmarkStart w:id="3051" w:name="Tc_Ibgge97zrUuKDcmg6Azvow_3_8"/>
      <w:bookmarkStart w:id="3052" w:name="Tc_jmL-FD0FAUKxirr4LRIUGg_3_5"/>
      <w:bookmarkStart w:id="3053" w:name="Tc_JsNyNokpokK-pwbT5Sibrg_3_2"/>
      <w:bookmarkStart w:id="3054" w:name="Tc_cz8BMJwcC0WLsPnwgoQ3HA_3_0"/>
      <w:bookmarkStart w:id="3055" w:name="Tc_Mrn5nO_qKEO3nLCp6J944g_2_11"/>
      <w:bookmarkStart w:id="3056" w:name="Tc_t_WF1dWr_06UR5ZCnlf2vw_2_8"/>
      <w:bookmarkStart w:id="3057" w:name="Tc_FMMupUkof0qaqObQhly1cA_2_5"/>
      <w:bookmarkStart w:id="3058" w:name="Tc_11ifYtbGP0qJgeMqP84qsg_2_2"/>
      <w:bookmarkStart w:id="3059" w:name="Tc_3LYnaVprMkKZhtFifY4S0A_2_0"/>
      <w:bookmarkStart w:id="3060" w:name="Tc_nY0GOPYu_E-SkJfq77vAZQ_1_2"/>
      <w:bookmarkStart w:id="3061" w:name="Tc_pVvJTGtcXUqyQ0CU7fEgIg_1_0"/>
      <w:bookmarkStart w:id="3062" w:name="_790e42de_d7b4_4250_88b7_3a7e0531fedd"/>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r>
        <w:rPr>
          <w:rFonts w:ascii="Times New Roman;Times;serif" w:hAnsi="Times New Roman;Times;serif"/>
          <w:sz w:val="20"/>
        </w:rPr>
        <w:t>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market transactions and third-party pricing services.  The fair values of all interest rate swaps are determined from third-party pricing services without adjustment.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highlight w:val="white"/>
        </w:rPr>
        <w:t>Other Real Estate Owned</w:t>
      </w:r>
      <w:r>
        <w:rPr>
          <w:rFonts w:ascii="Times New Roman;Times;serif" w:hAnsi="Times New Roman;Times;serif"/>
          <w:sz w:val="20"/>
          <w:highlight w:val="white"/>
        </w:rPr>
        <w:t> </w:t>
      </w:r>
      <w:r>
        <w:rPr>
          <w:rFonts w:ascii="Times New Roman;Times;serif" w:hAnsi="Times New Roman;Times;serif"/>
          <w:sz w:val="20"/>
        </w:rPr>
        <w:t>–</w:t>
      </w:r>
      <w:r>
        <w:rPr>
          <w:rFonts w:ascii="Times New Roman;Times;serif" w:hAnsi="Times New Roman;Times;serif"/>
          <w:sz w:val="20"/>
          <w:highlight w:val="white"/>
        </w:rPr>
        <w:t> Fair value adjustments to OREO are recorded at the lower of carrying amount of the loan or fair value of the collateral less selling costs. Any write-downs based on the asset’s fair value at the date of acquisition are charged to the ACL for loans. After foreclosure, management periodically performs valuations such that the real estate is carried at the lower of its new cost basis or fair value, net of estimated costs to sell (Level 3).</w:t>
      </w:r>
    </w:p>
    <w:p>
      <w:pPr>
        <w:pStyle w:val="TextBody"/>
        <w:spacing w:before="0" w:after="200"/>
        <w:ind w:left="0" w:right="0" w:hanging="0"/>
        <w:jc w:val="both"/>
        <w:rPr>
          <w:rFonts w:ascii="Times New Roman;Times;serif" w:hAnsi="Times New Roman;Times;serif"/>
          <w:sz w:val="18"/>
        </w:rPr>
      </w:pPr>
      <w:r>
        <w:rPr>
          <w:rFonts w:ascii="Times New Roman;Times;serif" w:hAnsi="Times New Roman;Times;serif"/>
          <w:b/>
          <w:i/>
          <w:sz w:val="20"/>
        </w:rPr>
        <w:t xml:space="preserve">Loans Individually Evaluated </w:t>
      </w:r>
      <w:r>
        <w:rPr>
          <w:rFonts w:ascii="Times New Roman;Times;serif" w:hAnsi="Times New Roman;Times;serif"/>
          <w:sz w:val="18"/>
        </w:rPr>
        <w:t xml:space="preserve">– </w:t>
      </w:r>
      <w:r>
        <w:rPr>
          <w:rFonts w:ascii="Times New Roman;Times;serif" w:hAnsi="Times New Roman;Times;serif"/>
          <w:sz w:val="20"/>
        </w:rPr>
        <w:t>Expected credit losses for loans evaluated individually are measured based on the present value of expected future cash flows discounted at the loan’s original effective interest rate or when the Bank determines that foreclosure is probable, the expected credit loss is measured based on the fair value of the collateral as of the reporting date, less estimated selling costs, as applicable. As a practical expedient, the Bank measures the expected credit loss for a loan using the fair value of the collateral, if repayment is expected to be provided substantially through the operation or sale of the collateral when the borrower is experiencing financial difficulty based on the Bank’s assessment as of the reporting date. In both cases, if the fair value of the collateral is less than the amortized cost basis of the loan, the Bank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will be limited to the amount previously charged-off by the subsequent changes in the expected credit losses for loans evaluated individually are included within the provision for credit losses in the same manner in which the expected credit loss initially was recognized or as a reduction in the provision that would otherwise be reported (Level 3).</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Servicing Rights</w:t>
      </w:r>
      <w:r>
        <w:rPr>
          <w:rFonts w:ascii="Times New Roman;Times;serif" w:hAnsi="Times New Roman;Times;serif"/>
          <w:sz w:val="20"/>
        </w:rPr>
        <w:t> – The fair value of MSR is estimated using net present value of expected cash flows using a third-party model that incorporates assumptions used in the industry to value such rights, adjusted for factors such as weighted average prepayments speeds based on historical information where appropriate (Level 3).</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tables present securities available-for-sale, mortgage loans held for sale, loans receivable, at fair value, and derivative assets and liabilities measured at fair value on a recurring basis at the dates indicated:</w:t>
      </w:r>
    </w:p>
    <w:p>
      <w:pPr>
        <w:pStyle w:val="TextBody"/>
        <w:spacing w:before="0" w:after="0"/>
        <w:ind w:left="0" w:right="0" w:hanging="0"/>
        <w:rPr/>
      </w:pPr>
      <w:r>
        <w:rPr/>
        <w:t>​</w:t>
      </w:r>
    </w:p>
    <w:tbl>
      <w:tblPr>
        <w:tblW w:w="9979" w:type="dxa"/>
        <w:jc w:val="left"/>
        <w:tblInd w:w="0" w:type="dxa"/>
        <w:tblCellMar>
          <w:top w:w="0" w:type="dxa"/>
          <w:left w:w="0" w:type="dxa"/>
          <w:bottom w:w="0" w:type="dxa"/>
          <w:right w:w="0" w:type="dxa"/>
        </w:tblCellMar>
      </w:tblPr>
      <w:tblGrid>
        <w:gridCol w:w="5206"/>
        <w:gridCol w:w="326"/>
        <w:gridCol w:w="272"/>
        <w:gridCol w:w="448"/>
        <w:gridCol w:w="326"/>
        <w:gridCol w:w="211"/>
        <w:gridCol w:w="781"/>
        <w:gridCol w:w="326"/>
        <w:gridCol w:w="235"/>
        <w:gridCol w:w="485"/>
        <w:gridCol w:w="326"/>
        <w:gridCol w:w="211"/>
        <w:gridCol w:w="826"/>
      </w:tblGrid>
      <w:tr>
        <w:trPr/>
        <w:tc>
          <w:tcPr>
            <w:tcW w:w="5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3305810" cy="175260"/>
                      <wp:effectExtent l="0" t="0" r="0" b="0"/>
                      <wp:wrapNone/>
                      <wp:docPr id="576" name="Frame576"/>
                      <a:graphic xmlns:a="http://schemas.openxmlformats.org/drawingml/2006/main">
                        <a:graphicData uri="http://schemas.microsoft.com/office/word/2010/wordprocessingShape">
                          <wps:wsp>
                            <wps:cNvSpPr txBox="1"/>
                            <wps:spPr>
                              <a:xfrm>
                                <a:off x="0" y="0"/>
                                <a:ext cx="3305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7" name="Frame5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72720" cy="175260"/>
                      <wp:effectExtent l="0" t="0" r="0" b="0"/>
                      <wp:wrapNone/>
                      <wp:docPr id="578" name="Frame578"/>
                      <a:graphic xmlns:a="http://schemas.openxmlformats.org/drawingml/2006/main">
                        <a:graphicData uri="http://schemas.microsoft.com/office/word/2010/wordprocessingShape">
                          <wps:wsp>
                            <wps:cNvSpPr txBox="1"/>
                            <wps:spPr>
                              <a:xfrm>
                                <a:off x="0" y="0"/>
                                <a:ext cx="172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84480" cy="175260"/>
                      <wp:effectExtent l="0" t="0" r="0" b="0"/>
                      <wp:wrapNone/>
                      <wp:docPr id="579" name="Frame579"/>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80" name="Frame5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260"/>
                      <wp:effectExtent l="0" t="0" r="0" b="0"/>
                      <wp:wrapNone/>
                      <wp:docPr id="581" name="Frame5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495935" cy="175260"/>
                      <wp:effectExtent l="0" t="0" r="0" b="0"/>
                      <wp:wrapNone/>
                      <wp:docPr id="582" name="Frame58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07010" cy="175260"/>
                      <wp:effectExtent l="0" t="0" r="0" b="0"/>
                      <wp:wrapNone/>
                      <wp:docPr id="583" name="Frame5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49225" cy="175260"/>
                      <wp:effectExtent l="0" t="0" r="0" b="0"/>
                      <wp:wrapNone/>
                      <wp:docPr id="584" name="Frame584"/>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307975" cy="175260"/>
                      <wp:effectExtent l="0" t="0" r="0" b="0"/>
                      <wp:wrapNone/>
                      <wp:docPr id="585" name="Frame585"/>
                      <a:graphic xmlns:a="http://schemas.openxmlformats.org/drawingml/2006/main">
                        <a:graphicData uri="http://schemas.microsoft.com/office/word/2010/wordprocessingShape">
                          <wps:wsp>
                            <wps:cNvSpPr txBox="1"/>
                            <wps:spPr>
                              <a:xfrm>
                                <a:off x="0" y="0"/>
                                <a:ext cx="307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7010" cy="175260"/>
                      <wp:effectExtent l="0" t="0" r="0" b="0"/>
                      <wp:wrapNone/>
                      <wp:docPr id="586" name="Frame5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33985" cy="175260"/>
                      <wp:effectExtent l="0" t="0" r="0" b="0"/>
                      <wp:wrapNone/>
                      <wp:docPr id="587" name="Frame5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524510" cy="175260"/>
                      <wp:effectExtent l="0" t="0" r="0" b="0"/>
                      <wp:wrapNone/>
                      <wp:docPr id="588" name="Frame58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Financial Assets</w:t>
            </w:r>
          </w:p>
        </w:tc>
        <w:tc>
          <w:tcPr>
            <w:tcW w:w="326" w:type="dxa"/>
            <w:tcBorders/>
            <w:shd w:fill="auto" w:val="clear"/>
            <w:vAlign w:val="center"/>
          </w:tcPr>
          <w:p>
            <w:pPr>
              <w:pStyle w:val="TableContents"/>
              <w:spacing w:before="0" w:after="0"/>
              <w:ind w:left="0" w:right="0" w:hanging="0"/>
              <w:rPr/>
            </w:pPr>
            <w:r>
              <w:rPr/>
              <w:t>​</w:t>
            </w:r>
          </w:p>
        </w:tc>
        <w:tc>
          <w:tcPr>
            <w:tcW w:w="4447"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At March 31, 2023</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Securities available-for-sale:</w:t>
            </w:r>
          </w:p>
        </w:tc>
        <w:tc>
          <w:tcPr>
            <w:tcW w:w="326" w:type="dxa"/>
            <w:tcBorders/>
            <w:shd w:fill="auto" w:val="clear"/>
            <w:vAlign w:val="center"/>
          </w:tcPr>
          <w:p>
            <w:pPr>
              <w:pStyle w:val="TableContents"/>
              <w:spacing w:before="0" w:after="0"/>
              <w:ind w:left="0" w:right="0" w:hanging="0"/>
              <w:rPr/>
            </w:pPr>
            <w:r>
              <w:rPr/>
              <w:t>    </w:t>
            </w:r>
          </w:p>
        </w:tc>
        <w:tc>
          <w:tcPr>
            <w:tcW w:w="7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shd w:fill="auto" w:val="clear"/>
            <w:vAlign w:val="center"/>
          </w:tcPr>
          <w:p>
            <w:pPr>
              <w:pStyle w:val="TableContents"/>
              <w:spacing w:before="0" w:after="0"/>
              <w:ind w:left="0" w:right="0" w:hanging="0"/>
              <w:rPr/>
            </w:pPr>
            <w:r>
              <w:rPr/>
              <w:t>    </w:t>
            </w:r>
          </w:p>
        </w:tc>
        <w:tc>
          <w:tcPr>
            <w:tcW w:w="7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shd w:fill="auto" w:val="cle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agency securities</w:t>
            </w:r>
          </w:p>
        </w:tc>
        <w:tc>
          <w:tcPr>
            <w:tcW w:w="326" w:type="dxa"/>
            <w:tcBorders/>
            <w:shd w:fill="CCEEFF" w:val="clear"/>
            <w:vAlign w:val="center"/>
          </w:tcPr>
          <w:p>
            <w:pPr>
              <w:pStyle w:val="TableContents"/>
              <w:spacing w:before="0" w:after="0"/>
              <w:ind w:left="0" w:right="0" w:hanging="0"/>
              <w:rPr/>
            </w:pPr>
            <w:r>
              <w:rPr/>
              <w:t>​</w:t>
            </w:r>
          </w:p>
        </w:tc>
        <w:tc>
          <w:tcPr>
            <w:tcW w:w="27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17,885</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17,885</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auto" w:val="clear"/>
            <w:vAlign w:val="center"/>
          </w:tcPr>
          <w:p>
            <w:pPr>
              <w:pStyle w:val="TableContents"/>
              <w:spacing w:before="0" w:after="0"/>
              <w:ind w:left="0" w:right="0" w:hanging="0"/>
              <w:rPr/>
            </w:pPr>
            <w:r>
              <w:rPr/>
              <w:t>​</w:t>
            </w:r>
          </w:p>
        </w:tc>
        <w:tc>
          <w:tcPr>
            <w:tcW w:w="272"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8,623</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 </w:t>
            </w:r>
          </w:p>
        </w:tc>
        <w:tc>
          <w:tcPr>
            <w:tcW w:w="48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8,623</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bonds</w:t>
            </w:r>
          </w:p>
        </w:tc>
        <w:tc>
          <w:tcPr>
            <w:tcW w:w="326" w:type="dxa"/>
            <w:tcBorders/>
            <w:shd w:fill="CCEEFF" w:val="clear"/>
            <w:vAlign w:val="center"/>
          </w:tcPr>
          <w:p>
            <w:pPr>
              <w:pStyle w:val="TableContents"/>
              <w:spacing w:before="0" w:after="0"/>
              <w:ind w:left="0" w:right="0" w:hanging="0"/>
              <w:rPr/>
            </w:pPr>
            <w:r>
              <w:rPr/>
              <w:t>​</w:t>
            </w:r>
          </w:p>
        </w:tc>
        <w:tc>
          <w:tcPr>
            <w:tcW w:w="272"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123,290</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 </w:t>
            </w:r>
          </w:p>
        </w:tc>
        <w:tc>
          <w:tcPr>
            <w:tcW w:w="48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123,290</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Mortgage-backed securities</w:t>
            </w:r>
          </w:p>
        </w:tc>
        <w:tc>
          <w:tcPr>
            <w:tcW w:w="326" w:type="dxa"/>
            <w:tcBorders/>
            <w:shd w:fill="auto" w:val="clear"/>
            <w:vAlign w:val="center"/>
          </w:tcPr>
          <w:p>
            <w:pPr>
              <w:pStyle w:val="TableContents"/>
              <w:spacing w:before="0" w:after="0"/>
              <w:ind w:left="0" w:right="0" w:hanging="0"/>
              <w:rPr/>
            </w:pPr>
            <w:r>
              <w:rPr/>
              <w:t>​</w:t>
            </w:r>
          </w:p>
        </w:tc>
        <w:tc>
          <w:tcPr>
            <w:tcW w:w="272"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70,087</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 </w:t>
            </w:r>
          </w:p>
        </w:tc>
        <w:tc>
          <w:tcPr>
            <w:tcW w:w="48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70,087</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Small Business Administration securities</w:t>
            </w:r>
          </w:p>
        </w:tc>
        <w:tc>
          <w:tcPr>
            <w:tcW w:w="326" w:type="dxa"/>
            <w:tcBorders/>
            <w:shd w:fill="CCEEFF" w:val="clear"/>
            <w:vAlign w:val="center"/>
          </w:tcPr>
          <w:p>
            <w:pPr>
              <w:pStyle w:val="TableContents"/>
              <w:spacing w:before="0" w:after="0"/>
              <w:ind w:left="0" w:right="0" w:hanging="0"/>
              <w:rPr/>
            </w:pPr>
            <w:r>
              <w:rPr/>
              <w:t>​</w:t>
            </w:r>
          </w:p>
        </w:tc>
        <w:tc>
          <w:tcPr>
            <w:tcW w:w="272"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12,488</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 </w:t>
            </w:r>
          </w:p>
        </w:tc>
        <w:tc>
          <w:tcPr>
            <w:tcW w:w="48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12,488</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 loans held for sale, at fair value</w:t>
            </w:r>
          </w:p>
        </w:tc>
        <w:tc>
          <w:tcPr>
            <w:tcW w:w="326" w:type="dxa"/>
            <w:tcBorders/>
            <w:shd w:fill="auto" w:val="clear"/>
            <w:vAlign w:val="center"/>
          </w:tcPr>
          <w:p>
            <w:pPr>
              <w:pStyle w:val="TableContents"/>
              <w:spacing w:before="0" w:after="0"/>
              <w:ind w:left="0" w:right="0" w:hanging="0"/>
              <w:rPr/>
            </w:pPr>
            <w:r>
              <w:rPr/>
              <w:t>​</w:t>
            </w:r>
          </w:p>
        </w:tc>
        <w:tc>
          <w:tcPr>
            <w:tcW w:w="272"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23,310</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48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23,310</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Loans receivable, at fair value</w:t>
            </w:r>
          </w:p>
        </w:tc>
        <w:tc>
          <w:tcPr>
            <w:tcW w:w="326" w:type="dxa"/>
            <w:tcBorders/>
            <w:shd w:fill="CCEEFF" w:val="clear"/>
            <w:vAlign w:val="center"/>
          </w:tcPr>
          <w:p>
            <w:pPr>
              <w:pStyle w:val="TableContents"/>
              <w:spacing w:before="0" w:after="0"/>
              <w:ind w:left="0" w:right="0" w:hanging="0"/>
              <w:rPr/>
            </w:pPr>
            <w:r>
              <w:rPr/>
              <w:t>​</w:t>
            </w:r>
          </w:p>
        </w:tc>
        <w:tc>
          <w:tcPr>
            <w:tcW w:w="272"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14,960</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48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14,960</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Derivatives:</w:t>
            </w:r>
          </w:p>
        </w:tc>
        <w:tc>
          <w:tcPr>
            <w:tcW w:w="326" w:type="dxa"/>
            <w:tcBorders/>
            <w:shd w:fill="auto" w:val="clear"/>
            <w:vAlign w:val="center"/>
          </w:tcPr>
          <w:p>
            <w:pPr>
              <w:pStyle w:val="TableContents"/>
              <w:spacing w:before="0" w:after="0"/>
              <w:ind w:left="0" w:right="0" w:hanging="0"/>
              <w:rPr/>
            </w:pPr>
            <w:r>
              <w:rPr/>
              <w:t>​</w:t>
            </w:r>
          </w:p>
        </w:tc>
        <w:tc>
          <w:tcPr>
            <w:tcW w:w="272"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48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shd w:fill="CCEEFF" w:val="clear"/>
            <w:vAlign w:val="center"/>
          </w:tcPr>
          <w:p>
            <w:pPr>
              <w:pStyle w:val="TableContents"/>
              <w:spacing w:before="0" w:after="0"/>
              <w:ind w:left="0" w:right="0" w:hanging="0"/>
              <w:rPr/>
            </w:pPr>
            <w:r>
              <w:rPr/>
              <w:t>​</w:t>
            </w:r>
          </w:p>
        </w:tc>
        <w:tc>
          <w:tcPr>
            <w:tcW w:w="272"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4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auto" w:val="clear"/>
            <w:vAlign w:val="center"/>
          </w:tcPr>
          <w:p>
            <w:pPr>
              <w:pStyle w:val="TableContents"/>
              <w:spacing w:before="0" w:after="0"/>
              <w:ind w:left="0" w:right="0" w:hanging="0"/>
              <w:rPr/>
            </w:pPr>
            <w:r>
              <w:rPr/>
              <w:t>​</w:t>
            </w:r>
          </w:p>
        </w:tc>
        <w:tc>
          <w:tcPr>
            <w:tcW w:w="27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c>
          <w:tcPr>
            <w:tcW w:w="326" w:type="dxa"/>
            <w:tcBorders/>
            <w:shd w:fill="auto" w:val="clear"/>
            <w:vAlign w:val="center"/>
          </w:tcPr>
          <w:p>
            <w:pPr>
              <w:pStyle w:val="TableContents"/>
              <w:spacing w:before="0" w:after="0"/>
              <w:ind w:left="0" w:right="0" w:hanging="0"/>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8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measured at fair value</w:t>
            </w:r>
          </w:p>
        </w:tc>
        <w:tc>
          <w:tcPr>
            <w:tcW w:w="326" w:type="dxa"/>
            <w:tcBorders/>
            <w:shd w:fill="CCEEFF" w:val="clear"/>
            <w:vAlign w:val="center"/>
          </w:tcPr>
          <w:p>
            <w:pPr>
              <w:pStyle w:val="TableContents"/>
              <w:spacing w:before="0" w:after="0"/>
              <w:ind w:left="0" w:right="0" w:hanging="0"/>
              <w:rPr/>
            </w:pPr>
            <w:r>
              <w:rPr/>
              <w:t>​</w:t>
            </w:r>
          </w:p>
        </w:tc>
        <w:tc>
          <w:tcPr>
            <w:tcW w:w="27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278,156</w:t>
            </w:r>
          </w:p>
        </w:tc>
        <w:tc>
          <w:tcPr>
            <w:tcW w:w="326" w:type="dxa"/>
            <w:tcBorders/>
            <w:shd w:fill="CCEEFF" w:val="clear"/>
            <w:vAlign w:val="center"/>
          </w:tcPr>
          <w:p>
            <w:pPr>
              <w:pStyle w:val="TableContents"/>
              <w:spacing w:before="0" w:after="0"/>
              <w:ind w:left="0" w:right="0" w:hanging="0"/>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278,721</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auto" w:val="clear"/>
            <w:vAlign w:val="center"/>
          </w:tcPr>
          <w:p>
            <w:pPr>
              <w:pStyle w:val="TableContents"/>
              <w:spacing w:before="0" w:after="0"/>
              <w:ind w:left="0" w:right="0" w:hanging="0"/>
              <w:rPr/>
            </w:pPr>
            <w:r>
              <w:rPr/>
              <w:t>​</w:t>
            </w:r>
          </w:p>
        </w:tc>
        <w:tc>
          <w:tcPr>
            <w:tcW w:w="272"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48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Derivatives:</w:t>
            </w:r>
          </w:p>
        </w:tc>
        <w:tc>
          <w:tcPr>
            <w:tcW w:w="326" w:type="dxa"/>
            <w:tcBorders/>
            <w:shd w:fill="CCEEFF" w:val="clear"/>
            <w:vAlign w:val="center"/>
          </w:tcPr>
          <w:p>
            <w:pPr>
              <w:pStyle w:val="TableContents"/>
              <w:spacing w:before="0" w:after="0"/>
              <w:ind w:left="0" w:right="0" w:hanging="0"/>
              <w:rPr/>
            </w:pPr>
            <w:r>
              <w:rPr/>
              <w:t>​</w:t>
            </w:r>
          </w:p>
        </w:tc>
        <w:tc>
          <w:tcPr>
            <w:tcW w:w="272"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48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auto" w:val="clear"/>
            <w:vAlign w:val="center"/>
          </w:tcPr>
          <w:p>
            <w:pPr>
              <w:pStyle w:val="TableContents"/>
              <w:spacing w:before="0" w:after="0"/>
              <w:ind w:left="0" w:right="0" w:hanging="0"/>
              <w:rPr/>
            </w:pPr>
            <w:r>
              <w:rPr/>
              <w:t>​</w:t>
            </w:r>
          </w:p>
        </w:tc>
        <w:tc>
          <w:tcPr>
            <w:tcW w:w="27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shd w:fill="CCEEFF" w:val="clear"/>
            <w:vAlign w:val="center"/>
          </w:tcPr>
          <w:p>
            <w:pPr>
              <w:pStyle w:val="TableContents"/>
              <w:spacing w:before="0" w:after="0"/>
              <w:ind w:left="0" w:right="0" w:hanging="0"/>
              <w:rPr/>
            </w:pPr>
            <w:r>
              <w:rPr/>
              <w:t>​</w:t>
            </w:r>
          </w:p>
        </w:tc>
        <w:tc>
          <w:tcPr>
            <w:tcW w:w="272"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w:t>
            </w:r>
          </w:p>
        </w:tc>
        <w:tc>
          <w:tcPr>
            <w:tcW w:w="48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shd w:fill="auto" w:val="clear"/>
            <w:vAlign w:val="center"/>
          </w:tcPr>
          <w:p>
            <w:pPr>
              <w:pStyle w:val="TableContents"/>
              <w:spacing w:before="0" w:after="0"/>
              <w:ind w:left="0" w:right="0" w:hanging="0"/>
              <w:rPr/>
            </w:pPr>
            <w:r>
              <w:rPr/>
              <w:t>​</w:t>
            </w:r>
          </w:p>
        </w:tc>
        <w:tc>
          <w:tcPr>
            <w:tcW w:w="27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measured at fair value</w:t>
            </w:r>
          </w:p>
        </w:tc>
        <w:tc>
          <w:tcPr>
            <w:tcW w:w="326" w:type="dxa"/>
            <w:tcBorders/>
            <w:shd w:fill="CCEEFF" w:val="clear"/>
            <w:vAlign w:val="center"/>
          </w:tcPr>
          <w:p>
            <w:pPr>
              <w:pStyle w:val="TableContents"/>
              <w:spacing w:before="0" w:after="0"/>
              <w:ind w:left="0" w:right="0" w:hanging="0"/>
              <w:rPr/>
            </w:pPr>
            <w:r>
              <w:rPr/>
              <w:t>​</w:t>
            </w:r>
          </w:p>
        </w:tc>
        <w:tc>
          <w:tcPr>
            <w:tcW w:w="27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spacing w:before="0" w:after="0"/>
              <w:ind w:left="0" w:right="0" w:hanging="0"/>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3063" w:name="Tc_ScOmbO1IyEqPEv4-NOclmQ_8_12"/>
      <w:bookmarkStart w:id="3064" w:name="Tc_j_FRMx9B-keYEURcH3pEfg_8_9"/>
      <w:bookmarkStart w:id="3065" w:name="Tc_4_MXFFuSTEW3kKWiRWaZBQ_8_6"/>
      <w:bookmarkStart w:id="3066" w:name="Tc_uoW36ceIj0auLvzagKv4FA_8_0"/>
      <w:bookmarkStart w:id="3067" w:name="Tc_lTH8Za-_KUiKA-wEdEE_1Q_7_0"/>
      <w:bookmarkStart w:id="3068" w:name="Tc_v9RIjXqwgkmRyzIgMhEfyg_6_12"/>
      <w:bookmarkStart w:id="3069" w:name="Tc_SZmJMw50PkyZS04pGCXjXA_6_9"/>
      <w:bookmarkStart w:id="3070" w:name="Tc_-ou1tLiAWkG3NcNffaOE8w_6_6"/>
      <w:bookmarkStart w:id="3071" w:name="Tc_ZCGl8lS9MEyGgnjwR0R5FA_6_0"/>
      <w:bookmarkStart w:id="3072" w:name="Tc_HtM7Iq2r8US1hbm6dciKoQ_5_12"/>
      <w:bookmarkStart w:id="3073" w:name="Tc_j0d-GIfofkyLboHDnvrktg_5_9"/>
      <w:bookmarkStart w:id="3074" w:name="Tc_4KucEMHE80y4b2kx4aG2ug_5_6"/>
      <w:bookmarkStart w:id="3075" w:name="Tc_cM3SfqWz2U2CXcfVNvcB6Q_5_0"/>
      <w:bookmarkStart w:id="3076" w:name="Tc_M10ajLcXUUi5qv13bjKb-A_4_0"/>
      <w:bookmarkStart w:id="3077" w:name="Tc_fBWFJOlWIUG-nkWRONhU6w_3_11"/>
      <w:bookmarkStart w:id="3078" w:name="Tc_jjlNMchz6U21GU1j1jbkZQ_3_8"/>
      <w:bookmarkStart w:id="3079" w:name="Tc_25AlSyq96EaXwcDtuvgw4w_3_6"/>
      <w:bookmarkStart w:id="3080" w:name="Tc_3jhZRpXodEq2Fmxa22rAuA_3_4"/>
      <w:bookmarkStart w:id="3081" w:name="Tc_I70i9jYS3UusBE-LTtPi6Q_3_2"/>
      <w:bookmarkStart w:id="3082" w:name="Tc_jrIW-J24L0yM-A9oMhS1IQ_3_0"/>
      <w:bookmarkStart w:id="3083" w:name="Tc_pSJZjT3ifEWcPCoDmfMC7g_2_11"/>
      <w:bookmarkStart w:id="3084" w:name="Tc_z7pund2UlkWmgQo1HV-FPA_2_8"/>
      <w:bookmarkStart w:id="3085" w:name="Tc_QOeTys7Ul0elBZAwyX5DAw_2_4"/>
      <w:bookmarkStart w:id="3086" w:name="Tc_RyvdjVmIMUyBWBWlT23BYw_2_2"/>
      <w:bookmarkStart w:id="3087" w:name="Tc_NdyPZcZNkkK4pkXdeUfwEg_2_0"/>
      <w:bookmarkStart w:id="3088" w:name="Tc_cdb7tUbzmUeuVObkLSdmjw_1_8"/>
      <w:bookmarkStart w:id="3089" w:name="Tc_UrSVV_IWAkiAVCbin6NbTA_1_4"/>
      <w:bookmarkStart w:id="3090" w:name="Tc_thdAWSB8fUWURRLW-vkXqw_1_0"/>
      <w:bookmarkStart w:id="3091" w:name="Tc_VxKZbe0TZEOAl-KD7T7_6g_3_11"/>
      <w:bookmarkStart w:id="3092" w:name="Tc_gG-pKm00Mki05AFRM3vL1w_3_8"/>
      <w:bookmarkStart w:id="3093" w:name="Tc_BhA_ji3c8UyYM9SgI4wmuQ_3_5"/>
      <w:bookmarkStart w:id="3094" w:name="Tc_3wAhEYi-50isEDmG7D780w_3_2"/>
      <w:bookmarkStart w:id="3095" w:name="Tc_3DD7U6b-z0uZ_rjQfqz9mQ_3_0"/>
      <w:bookmarkStart w:id="3096" w:name="Tc_KUSWfOyy802TTjexsiyYvA_2_11"/>
      <w:bookmarkStart w:id="3097" w:name="Tc_lSomaEDgbU26O4Xm77VfjQ_2_8"/>
      <w:bookmarkStart w:id="3098" w:name="Tc_WCmS7prExUCkt4FrD1DzPw_2_5"/>
      <w:bookmarkStart w:id="3099" w:name="Tc_BscDxYyN6kmi4yKg4VwqAg_2_2"/>
      <w:bookmarkStart w:id="3100" w:name="Tc_SfWOccJ_PUeBeHO2rbiwwQ_1_2"/>
      <w:bookmarkStart w:id="3101" w:name="_86a3615c_f8e9_4b88_8602_d83c240a70de"/>
      <w:bookmarkStart w:id="3102" w:name="Tc_RbFh6qFe2UeO_xrb5hdgtA_18_11"/>
      <w:bookmarkStart w:id="3103" w:name="Tc_eTitut8ZQkS6BVha6O_-FQ_18_8"/>
      <w:bookmarkStart w:id="3104" w:name="Tc_ohakiMnEjkO-SphmC-l2-A_18_5"/>
      <w:bookmarkStart w:id="3105" w:name="Tc_3fSA2uG68ECwDXrYQSWJPQ_18_2"/>
      <w:bookmarkStart w:id="3106" w:name="Tc_89RPlKPjVEapXIOO6IkkYA_18_0"/>
      <w:bookmarkStart w:id="3107" w:name="Tc_rHHgxH1bE0eK7XJEiHno9g_17_11"/>
      <w:bookmarkStart w:id="3108" w:name="Tc_LAnzP6jBQUKPQfOcDBZ_lg_17_8"/>
      <w:bookmarkStart w:id="3109" w:name="Tc_ffrB_3p6D02N8AJhx8LAWg_17_5"/>
      <w:bookmarkStart w:id="3110" w:name="Tc_RUwFM9ESY0KSb_itCtdtNg_17_2"/>
      <w:bookmarkStart w:id="3111" w:name="Tc_FVeaNdodN0uOSe7ajPlEog_17_0"/>
      <w:bookmarkStart w:id="3112" w:name="Tc_AcOypc8mlkqXiLAu8K10uw_16_0"/>
      <w:bookmarkStart w:id="3113" w:name="Tc_HXqQRr9X0kWQScGTxoU08w_15_0"/>
      <w:bookmarkStart w:id="3114" w:name="Tc_0pPl2o2A40-Q-JPcclOuEA_14_11"/>
      <w:bookmarkStart w:id="3115" w:name="Tc_T1btG6Dpxke4bUNCt50D9w_14_8"/>
      <w:bookmarkStart w:id="3116" w:name="Tc_83awkYFSDkGkihtmb4-Cqw_14_5"/>
      <w:bookmarkStart w:id="3117" w:name="Tc_vn_smcJSSUSVovIJFG7DZQ_14_2"/>
      <w:bookmarkStart w:id="3118" w:name="Tc_oaSCqKUU3EqgtbfrwruUZA_14_0"/>
      <w:bookmarkStart w:id="3119" w:name="Tc_lao2JcKP40GMhsFD7uPwXA_13_0"/>
      <w:bookmarkStart w:id="3120" w:name="Tc_xLoemLPENUm7SDs8ptlZnA_12_0"/>
      <w:bookmarkStart w:id="3121" w:name="Tc_CgvtRivzG0-WYeZgiMspCQ_11_0"/>
      <w:bookmarkStart w:id="3122" w:name="Tc_xWeU-EMwY0arrUM_yP-0hw_10_0"/>
      <w:bookmarkStart w:id="3123" w:name="Tc_psOtUhg3t0-7RzeXkwPyog_9_0"/>
      <w:bookmarkStart w:id="3124" w:name="Tc_7LE4fn5vvk2_2W5m5yFIsQ_8_0"/>
      <w:bookmarkStart w:id="3125" w:name="Tc_V4D2rNMin0WNrItyXq0DFQ_7_0"/>
      <w:bookmarkStart w:id="3126" w:name="Tc_3EzBuhCl5UOHxe9JWy5KwQ_6_0"/>
      <w:bookmarkStart w:id="3127" w:name="Tc_tK4Pcc4qL0WTQdszqTbJNw_5_0"/>
      <w:bookmarkStart w:id="3128" w:name="Tc_GtIQLm35Qkeeexzondbd2w_4_0"/>
      <w:bookmarkStart w:id="3129" w:name="Tc_AnACPoTEx0evZZmj8oPRuQ_3_11"/>
      <w:bookmarkStart w:id="3130" w:name="Tc_YlauyAbrSE-p1F-DpzR9QA_3_8"/>
      <w:bookmarkStart w:id="3131" w:name="Tc_XkNKEhGLJ0iJzuO4W72izw_3_5"/>
      <w:bookmarkStart w:id="3132" w:name="Tc_s73XcNfcPEy-fJhXGn9yHg_3_2"/>
      <w:bookmarkStart w:id="3133" w:name="Tc_JyNdQ_r14kmslRBERmu8Hg_3_0"/>
      <w:bookmarkStart w:id="3134" w:name="Tc_GT2lIqwKrESDxeBAwjHPwA_2_11"/>
      <w:bookmarkStart w:id="3135" w:name="Tc_CEF4Hidb_0O_n1cwuCYUug_2_8"/>
      <w:bookmarkStart w:id="3136" w:name="Tc_zjUHYwMsH0iwoSCaulP7hQ_2_5"/>
      <w:bookmarkStart w:id="3137" w:name="Tc_mDhoRvz3yEeHY9TztTGNcQ_2_2"/>
      <w:bookmarkStart w:id="3138" w:name="Tc_WM6NTioUbk6nDT9y5cPwag_2_0"/>
      <w:bookmarkStart w:id="3139" w:name="Tc_2TyrQAWXZkWHvccJ6GWmew_1_2"/>
      <w:bookmarkStart w:id="3140" w:name="Tc_BlIY4CCPekCx4J2Q2E4OgA_1_0"/>
      <w:bookmarkStart w:id="3141" w:name="_92264312_7f48_4f20_8e9a_cc41bf4eacfc"/>
      <w:bookmarkStart w:id="3142" w:name="Tc_ScOmbO1IyEqPEv4-NOclmQ_8_12"/>
      <w:bookmarkStart w:id="3143" w:name="Tc_j_FRMx9B-keYEURcH3pEfg_8_9"/>
      <w:bookmarkStart w:id="3144" w:name="Tc_4_MXFFuSTEW3kKWiRWaZBQ_8_6"/>
      <w:bookmarkStart w:id="3145" w:name="Tc_uoW36ceIj0auLvzagKv4FA_8_0"/>
      <w:bookmarkStart w:id="3146" w:name="Tc_lTH8Za-_KUiKA-wEdEE_1Q_7_0"/>
      <w:bookmarkStart w:id="3147" w:name="Tc_v9RIjXqwgkmRyzIgMhEfyg_6_12"/>
      <w:bookmarkStart w:id="3148" w:name="Tc_SZmJMw50PkyZS04pGCXjXA_6_9"/>
      <w:bookmarkStart w:id="3149" w:name="Tc_-ou1tLiAWkG3NcNffaOE8w_6_6"/>
      <w:bookmarkStart w:id="3150" w:name="Tc_ZCGl8lS9MEyGgnjwR0R5FA_6_0"/>
      <w:bookmarkStart w:id="3151" w:name="Tc_HtM7Iq2r8US1hbm6dciKoQ_5_12"/>
      <w:bookmarkStart w:id="3152" w:name="Tc_j0d-GIfofkyLboHDnvrktg_5_9"/>
      <w:bookmarkStart w:id="3153" w:name="Tc_4KucEMHE80y4b2kx4aG2ug_5_6"/>
      <w:bookmarkStart w:id="3154" w:name="Tc_cM3SfqWz2U2CXcfVNvcB6Q_5_0"/>
      <w:bookmarkStart w:id="3155" w:name="Tc_M10ajLcXUUi5qv13bjKb-A_4_0"/>
      <w:bookmarkStart w:id="3156" w:name="Tc_fBWFJOlWIUG-nkWRONhU6w_3_11"/>
      <w:bookmarkStart w:id="3157" w:name="Tc_jjlNMchz6U21GU1j1jbkZQ_3_8"/>
      <w:bookmarkStart w:id="3158" w:name="Tc_25AlSyq96EaXwcDtuvgw4w_3_6"/>
      <w:bookmarkStart w:id="3159" w:name="Tc_3jhZRpXodEq2Fmxa22rAuA_3_4"/>
      <w:bookmarkStart w:id="3160" w:name="Tc_I70i9jYS3UusBE-LTtPi6Q_3_2"/>
      <w:bookmarkStart w:id="3161" w:name="Tc_jrIW-J24L0yM-A9oMhS1IQ_3_0"/>
      <w:bookmarkStart w:id="3162" w:name="Tc_pSJZjT3ifEWcPCoDmfMC7g_2_11"/>
      <w:bookmarkStart w:id="3163" w:name="Tc_z7pund2UlkWmgQo1HV-FPA_2_8"/>
      <w:bookmarkStart w:id="3164" w:name="Tc_QOeTys7Ul0elBZAwyX5DAw_2_4"/>
      <w:bookmarkStart w:id="3165" w:name="Tc_RyvdjVmIMUyBWBWlT23BYw_2_2"/>
      <w:bookmarkStart w:id="3166" w:name="Tc_NdyPZcZNkkK4pkXdeUfwEg_2_0"/>
      <w:bookmarkStart w:id="3167" w:name="Tc_cdb7tUbzmUeuVObkLSdmjw_1_8"/>
      <w:bookmarkStart w:id="3168" w:name="Tc_UrSVV_IWAkiAVCbin6NbTA_1_4"/>
      <w:bookmarkStart w:id="3169" w:name="Tc_thdAWSB8fUWURRLW-vkXqw_1_0"/>
      <w:bookmarkStart w:id="3170" w:name="Tc_VxKZbe0TZEOAl-KD7T7_6g_3_11"/>
      <w:bookmarkStart w:id="3171" w:name="Tc_gG-pKm00Mki05AFRM3vL1w_3_8"/>
      <w:bookmarkStart w:id="3172" w:name="Tc_BhA_ji3c8UyYM9SgI4wmuQ_3_5"/>
      <w:bookmarkStart w:id="3173" w:name="Tc_3wAhEYi-50isEDmG7D780w_3_2"/>
      <w:bookmarkStart w:id="3174" w:name="Tc_3DD7U6b-z0uZ_rjQfqz9mQ_3_0"/>
      <w:bookmarkStart w:id="3175" w:name="Tc_KUSWfOyy802TTjexsiyYvA_2_11"/>
      <w:bookmarkStart w:id="3176" w:name="Tc_lSomaEDgbU26O4Xm77VfjQ_2_8"/>
      <w:bookmarkStart w:id="3177" w:name="Tc_WCmS7prExUCkt4FrD1DzPw_2_5"/>
      <w:bookmarkStart w:id="3178" w:name="Tc_BscDxYyN6kmi4yKg4VwqAg_2_2"/>
      <w:bookmarkStart w:id="3179" w:name="Tc_SfWOccJ_PUeBeHO2rbiwwQ_1_2"/>
      <w:bookmarkStart w:id="3180" w:name="_86a3615c_f8e9_4b88_8602_d83c240a70de"/>
      <w:bookmarkStart w:id="3181" w:name="Tc_RbFh6qFe2UeO_xrb5hdgtA_18_11"/>
      <w:bookmarkStart w:id="3182" w:name="Tc_eTitut8ZQkS6BVha6O_-FQ_18_8"/>
      <w:bookmarkStart w:id="3183" w:name="Tc_ohakiMnEjkO-SphmC-l2-A_18_5"/>
      <w:bookmarkStart w:id="3184" w:name="Tc_3fSA2uG68ECwDXrYQSWJPQ_18_2"/>
      <w:bookmarkStart w:id="3185" w:name="Tc_89RPlKPjVEapXIOO6IkkYA_18_0"/>
      <w:bookmarkStart w:id="3186" w:name="Tc_rHHgxH1bE0eK7XJEiHno9g_17_11"/>
      <w:bookmarkStart w:id="3187" w:name="Tc_LAnzP6jBQUKPQfOcDBZ_lg_17_8"/>
      <w:bookmarkStart w:id="3188" w:name="Tc_ffrB_3p6D02N8AJhx8LAWg_17_5"/>
      <w:bookmarkStart w:id="3189" w:name="Tc_RUwFM9ESY0KSb_itCtdtNg_17_2"/>
      <w:bookmarkStart w:id="3190" w:name="Tc_FVeaNdodN0uOSe7ajPlEog_17_0"/>
      <w:bookmarkStart w:id="3191" w:name="Tc_AcOypc8mlkqXiLAu8K10uw_16_0"/>
      <w:bookmarkStart w:id="3192" w:name="Tc_HXqQRr9X0kWQScGTxoU08w_15_0"/>
      <w:bookmarkStart w:id="3193" w:name="Tc_0pPl2o2A40-Q-JPcclOuEA_14_11"/>
      <w:bookmarkStart w:id="3194" w:name="Tc_T1btG6Dpxke4bUNCt50D9w_14_8"/>
      <w:bookmarkStart w:id="3195" w:name="Tc_83awkYFSDkGkihtmb4-Cqw_14_5"/>
      <w:bookmarkStart w:id="3196" w:name="Tc_vn_smcJSSUSVovIJFG7DZQ_14_2"/>
      <w:bookmarkStart w:id="3197" w:name="Tc_oaSCqKUU3EqgtbfrwruUZA_14_0"/>
      <w:bookmarkStart w:id="3198" w:name="Tc_lao2JcKP40GMhsFD7uPwXA_13_0"/>
      <w:bookmarkStart w:id="3199" w:name="Tc_xLoemLPENUm7SDs8ptlZnA_12_0"/>
      <w:bookmarkStart w:id="3200" w:name="Tc_CgvtRivzG0-WYeZgiMspCQ_11_0"/>
      <w:bookmarkStart w:id="3201" w:name="Tc_xWeU-EMwY0arrUM_yP-0hw_10_0"/>
      <w:bookmarkStart w:id="3202" w:name="Tc_psOtUhg3t0-7RzeXkwPyog_9_0"/>
      <w:bookmarkStart w:id="3203" w:name="Tc_7LE4fn5vvk2_2W5m5yFIsQ_8_0"/>
      <w:bookmarkStart w:id="3204" w:name="Tc_V4D2rNMin0WNrItyXq0DFQ_7_0"/>
      <w:bookmarkStart w:id="3205" w:name="Tc_3EzBuhCl5UOHxe9JWy5KwQ_6_0"/>
      <w:bookmarkStart w:id="3206" w:name="Tc_tK4Pcc4qL0WTQdszqTbJNw_5_0"/>
      <w:bookmarkStart w:id="3207" w:name="Tc_GtIQLm35Qkeeexzondbd2w_4_0"/>
      <w:bookmarkStart w:id="3208" w:name="Tc_AnACPoTEx0evZZmj8oPRuQ_3_11"/>
      <w:bookmarkStart w:id="3209" w:name="Tc_YlauyAbrSE-p1F-DpzR9QA_3_8"/>
      <w:bookmarkStart w:id="3210" w:name="Tc_XkNKEhGLJ0iJzuO4W72izw_3_5"/>
      <w:bookmarkStart w:id="3211" w:name="Tc_s73XcNfcPEy-fJhXGn9yHg_3_2"/>
      <w:bookmarkStart w:id="3212" w:name="Tc_JyNdQ_r14kmslRBERmu8Hg_3_0"/>
      <w:bookmarkStart w:id="3213" w:name="Tc_GT2lIqwKrESDxeBAwjHPwA_2_11"/>
      <w:bookmarkStart w:id="3214" w:name="Tc_CEF4Hidb_0O_n1cwuCYUug_2_8"/>
      <w:bookmarkStart w:id="3215" w:name="Tc_zjUHYwMsH0iwoSCaulP7hQ_2_5"/>
      <w:bookmarkStart w:id="3216" w:name="Tc_mDhoRvz3yEeHY9TztTGNcQ_2_2"/>
      <w:bookmarkStart w:id="3217" w:name="Tc_WM6NTioUbk6nDT9y5cPwag_2_0"/>
      <w:bookmarkStart w:id="3218" w:name="Tc_2TyrQAWXZkWHvccJ6GWmew_1_2"/>
      <w:bookmarkStart w:id="3219" w:name="Tc_BlIY4CCPekCx4J2Q2E4OgA_1_0"/>
      <w:bookmarkStart w:id="3220" w:name="_92264312_7f48_4f20_8e9a_cc41bf4eacfc"/>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p>
    <w:tbl>
      <w:tblPr>
        <w:tblW w:w="9981" w:type="dxa"/>
        <w:jc w:val="left"/>
        <w:tblInd w:w="0" w:type="dxa"/>
        <w:tblCellMar>
          <w:top w:w="0" w:type="dxa"/>
          <w:left w:w="0" w:type="dxa"/>
          <w:bottom w:w="0" w:type="dxa"/>
          <w:right w:w="0" w:type="dxa"/>
        </w:tblCellMar>
      </w:tblPr>
      <w:tblGrid>
        <w:gridCol w:w="5206"/>
        <w:gridCol w:w="326"/>
        <w:gridCol w:w="273"/>
        <w:gridCol w:w="448"/>
        <w:gridCol w:w="326"/>
        <w:gridCol w:w="211"/>
        <w:gridCol w:w="781"/>
        <w:gridCol w:w="326"/>
        <w:gridCol w:w="240"/>
        <w:gridCol w:w="481"/>
        <w:gridCol w:w="326"/>
        <w:gridCol w:w="211"/>
        <w:gridCol w:w="826"/>
      </w:tblGrid>
      <w:tr>
        <w:trPr/>
        <w:tc>
          <w:tcPr>
            <w:tcW w:w="5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3305810" cy="175260"/>
                      <wp:effectExtent l="0" t="0" r="0" b="0"/>
                      <wp:wrapNone/>
                      <wp:docPr id="589" name="Frame589"/>
                      <a:graphic xmlns:a="http://schemas.openxmlformats.org/drawingml/2006/main">
                        <a:graphicData uri="http://schemas.microsoft.com/office/word/2010/wordprocessingShape">
                          <wps:wsp>
                            <wps:cNvSpPr txBox="1"/>
                            <wps:spPr>
                              <a:xfrm>
                                <a:off x="0" y="0"/>
                                <a:ext cx="3305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7010" cy="175260"/>
                      <wp:effectExtent l="0" t="0" r="0" b="0"/>
                      <wp:wrapNone/>
                      <wp:docPr id="590" name="Frame5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73355" cy="175260"/>
                      <wp:effectExtent l="0" t="0" r="0" b="0"/>
                      <wp:wrapNone/>
                      <wp:docPr id="591" name="Frame591"/>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84480" cy="175260"/>
                      <wp:effectExtent l="0" t="0" r="0" b="0"/>
                      <wp:wrapNone/>
                      <wp:docPr id="592" name="Frame592"/>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3" name="Frame5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3985" cy="175260"/>
                      <wp:effectExtent l="0" t="0" r="0" b="0"/>
                      <wp:wrapNone/>
                      <wp:docPr id="594" name="Frame5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495935" cy="175260"/>
                      <wp:effectExtent l="0" t="0" r="0" b="0"/>
                      <wp:wrapNone/>
                      <wp:docPr id="595" name="Frame59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96" name="Frame5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52400" cy="175260"/>
                      <wp:effectExtent l="0" t="0" r="0" b="0"/>
                      <wp:wrapNone/>
                      <wp:docPr id="597" name="Frame597"/>
                      <a:graphic xmlns:a="http://schemas.openxmlformats.org/drawingml/2006/main">
                        <a:graphicData uri="http://schemas.microsoft.com/office/word/2010/wordprocessingShape">
                          <wps:wsp>
                            <wps:cNvSpPr txBox="1"/>
                            <wps:spPr>
                              <a:xfrm>
                                <a:off x="0" y="0"/>
                                <a:ext cx="152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305435" cy="175260"/>
                      <wp:effectExtent l="0" t="0" r="0" b="0"/>
                      <wp:wrapNone/>
                      <wp:docPr id="598" name="Frame598"/>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7010" cy="175260"/>
                      <wp:effectExtent l="0" t="0" r="0" b="0"/>
                      <wp:wrapNone/>
                      <wp:docPr id="599" name="Frame5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33985" cy="175260"/>
                      <wp:effectExtent l="0" t="0" r="0" b="0"/>
                      <wp:wrapNone/>
                      <wp:docPr id="600" name="Frame6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524510" cy="175260"/>
                      <wp:effectExtent l="0" t="0" r="0" b="0"/>
                      <wp:wrapNone/>
                      <wp:docPr id="601" name="Frame601"/>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Financial Assets</w:t>
            </w:r>
          </w:p>
        </w:tc>
        <w:tc>
          <w:tcPr>
            <w:tcW w:w="326" w:type="dxa"/>
            <w:tcBorders/>
            <w:shd w:fill="auto" w:val="clear"/>
            <w:vAlign w:val="center"/>
          </w:tcPr>
          <w:p>
            <w:pPr>
              <w:pStyle w:val="TableContents"/>
              <w:spacing w:before="0" w:after="0"/>
              <w:ind w:left="0" w:right="0" w:hanging="0"/>
              <w:rPr/>
            </w:pPr>
            <w:r>
              <w:rPr/>
              <w:t>​</w:t>
            </w:r>
          </w:p>
        </w:tc>
        <w:tc>
          <w:tcPr>
            <w:tcW w:w="444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At December 31, 2022</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Securities available-for-sale:</w:t>
            </w:r>
          </w:p>
        </w:tc>
        <w:tc>
          <w:tcPr>
            <w:tcW w:w="326" w:type="dxa"/>
            <w:tcBorders/>
            <w:shd w:fill="auto" w:val="clear"/>
            <w:vAlign w:val="center"/>
          </w:tcPr>
          <w:p>
            <w:pPr>
              <w:pStyle w:val="TableContents"/>
              <w:spacing w:before="0" w:after="0"/>
              <w:ind w:left="0" w:right="0" w:hanging="0"/>
              <w:rPr/>
            </w:pPr>
            <w:r>
              <w:rPr/>
              <w:t>    </w:t>
            </w:r>
          </w:p>
        </w:tc>
        <w:tc>
          <w:tcPr>
            <w:tcW w:w="7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shd w:fill="auto" w:val="clear"/>
            <w:vAlign w:val="center"/>
          </w:tcPr>
          <w:p>
            <w:pPr>
              <w:pStyle w:val="TableContents"/>
              <w:spacing w:before="0" w:after="0"/>
              <w:ind w:left="0" w:right="0" w:hanging="0"/>
              <w:rPr/>
            </w:pPr>
            <w:r>
              <w:rPr/>
              <w:t>    </w:t>
            </w:r>
          </w:p>
        </w:tc>
        <w:tc>
          <w:tcPr>
            <w:tcW w:w="7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shd w:fill="auto" w:val="cle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agency securities</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17,288</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17,288</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bonds</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120,602</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120,602</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Mortgage-backed securities</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69,966</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69,966</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Small Business Administration securities</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12,851</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12,851</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Mortgage loans held for sale, at fair value</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Loans receivable, at fair value</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Derivatives:</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9,870</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9,870</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measured at fair value</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273,414</w:t>
            </w:r>
          </w:p>
        </w:tc>
        <w:tc>
          <w:tcPr>
            <w:tcW w:w="326" w:type="dxa"/>
            <w:tcBorders/>
            <w:shd w:fill="auto" w:val="clear"/>
            <w:vAlign w:val="center"/>
          </w:tcPr>
          <w:p>
            <w:pPr>
              <w:pStyle w:val="TableContents"/>
              <w:spacing w:before="0" w:after="0"/>
              <w:ind w:left="0" w:right="0" w:hanging="0"/>
              <w:rPr/>
            </w:pPr>
            <w:r>
              <w:rPr/>
              <w:t>​</w:t>
            </w:r>
          </w:p>
        </w:tc>
        <w:tc>
          <w:tcPr>
            <w:tcW w:w="24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273,521</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pPr>
            <w:r>
              <w:rPr/>
              <w:t>​</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Derivatives:</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5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5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measured at fair value</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financial assets measured at fair value on a nonrecurring basis and the level within the fair value hierarchy at March 31, 2023. There were no financial assets measured at fair value on a nonrecurring basis as of December 31, 2022. </w:t>
      </w:r>
    </w:p>
    <w:p>
      <w:pPr>
        <w:pStyle w:val="TextBody"/>
        <w:spacing w:before="0" w:after="0"/>
        <w:ind w:left="0" w:right="0" w:hanging="0"/>
        <w:rPr/>
      </w:pPr>
      <w:r>
        <w:rPr/>
        <w:t>​</w:t>
      </w:r>
    </w:p>
    <w:tbl>
      <w:tblPr>
        <w:tblW w:w="5166" w:type="dxa"/>
        <w:jc w:val="left"/>
        <w:tblInd w:w="0" w:type="dxa"/>
        <w:tblCellMar>
          <w:top w:w="0" w:type="dxa"/>
          <w:left w:w="0" w:type="dxa"/>
          <w:bottom w:w="0" w:type="dxa"/>
          <w:right w:w="0" w:type="dxa"/>
        </w:tblCellMar>
      </w:tblPr>
      <w:tblGrid>
        <w:gridCol w:w="541"/>
        <w:gridCol w:w="326"/>
        <w:gridCol w:w="273"/>
        <w:gridCol w:w="448"/>
        <w:gridCol w:w="326"/>
        <w:gridCol w:w="273"/>
        <w:gridCol w:w="448"/>
        <w:gridCol w:w="326"/>
        <w:gridCol w:w="211"/>
        <w:gridCol w:w="676"/>
        <w:gridCol w:w="326"/>
        <w:gridCol w:w="211"/>
        <w:gridCol w:w="781"/>
      </w:tblGrid>
      <w:tr>
        <w:trPr/>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343535" cy="175260"/>
                      <wp:effectExtent l="0" t="0" r="0" b="0"/>
                      <wp:wrapNone/>
                      <wp:docPr id="602" name="Frame602"/>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3" name="Frame6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73355" cy="175260"/>
                      <wp:effectExtent l="0" t="0" r="0" b="0"/>
                      <wp:wrapNone/>
                      <wp:docPr id="604" name="Frame604"/>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84480" cy="175260"/>
                      <wp:effectExtent l="0" t="0" r="0" b="0"/>
                      <wp:wrapNone/>
                      <wp:docPr id="605" name="Frame605"/>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6" name="Frame6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73355" cy="175260"/>
                      <wp:effectExtent l="0" t="0" r="0" b="0"/>
                      <wp:wrapNone/>
                      <wp:docPr id="607" name="Frame607"/>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84480" cy="175260"/>
                      <wp:effectExtent l="0" t="0" r="0" b="0"/>
                      <wp:wrapNone/>
                      <wp:docPr id="608" name="Frame608"/>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609" name="Frame6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3985" cy="175260"/>
                      <wp:effectExtent l="0" t="0" r="0" b="0"/>
                      <wp:wrapNone/>
                      <wp:docPr id="610" name="Frame6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429260" cy="175260"/>
                      <wp:effectExtent l="0" t="0" r="0" b="0"/>
                      <wp:wrapNone/>
                      <wp:docPr id="611" name="Frame61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07010" cy="175260"/>
                      <wp:effectExtent l="0" t="0" r="0" b="0"/>
                      <wp:wrapNone/>
                      <wp:docPr id="612" name="Frame6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3985" cy="175260"/>
                      <wp:effectExtent l="0" t="0" r="0" b="0"/>
                      <wp:wrapNone/>
                      <wp:docPr id="613" name="Frame6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495935" cy="175260"/>
                      <wp:effectExtent l="0" t="0" r="0" b="0"/>
                      <wp:wrapNone/>
                      <wp:docPr id="614" name="Frame61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29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r>
      <w:tr>
        <w:trPr/>
        <w:tc>
          <w:tcPr>
            <w:tcW w:w="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shd w:fill="auto" w:val="clear"/>
            <w:vAlign w:val="center"/>
          </w:tcPr>
          <w:p>
            <w:pPr>
              <w:pStyle w:val="TableContents"/>
              <w:spacing w:before="0" w:after="0"/>
              <w:ind w:left="0" w:right="0" w:hanging="0"/>
              <w:rPr/>
            </w:pPr>
            <w:r>
              <w:rPr/>
              <w:t>    </w:t>
            </w:r>
          </w:p>
        </w:tc>
        <w:tc>
          <w:tcPr>
            <w:tcW w:w="7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MSR</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17,599</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17,599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Quantitative Information about Level 3 Fair Value Measurements </w:t>
      </w:r>
      <w:r>
        <w:rPr>
          <w:rFonts w:ascii="Times New Roman;Times;serif" w:hAnsi="Times New Roman;Times;serif"/>
          <w:sz w:val="20"/>
        </w:rPr>
        <w:t>– Shown in the table below is the fair value of financial instruments measured under a Level 3 unobservable input on a recurring and nonrecurring basis at the dates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497"/>
        <w:gridCol w:w="386"/>
        <w:gridCol w:w="1229"/>
        <w:gridCol w:w="386"/>
        <w:gridCol w:w="1477"/>
        <w:gridCol w:w="386"/>
        <w:gridCol w:w="748"/>
        <w:gridCol w:w="386"/>
        <w:gridCol w:w="724"/>
        <w:gridCol w:w="271"/>
        <w:gridCol w:w="386"/>
        <w:gridCol w:w="1009"/>
        <w:gridCol w:w="320"/>
      </w:tblGrid>
      <w:tr>
        <w:trPr/>
        <w:tc>
          <w:tcPr>
            <w:tcW w:w="24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585595" cy="175260"/>
                      <wp:effectExtent l="0" t="0" r="0" b="0"/>
                      <wp:wrapNone/>
                      <wp:docPr id="615" name="Frame615"/>
                      <a:graphic xmlns:a="http://schemas.openxmlformats.org/drawingml/2006/main">
                        <a:graphicData uri="http://schemas.microsoft.com/office/word/2010/wordprocessingShape">
                          <wps:wsp>
                            <wps:cNvSpPr txBox="1"/>
                            <wps:spPr>
                              <a:xfrm>
                                <a:off x="0" y="0"/>
                                <a:ext cx="1585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45110" cy="175260"/>
                      <wp:effectExtent l="0" t="0" r="0" b="0"/>
                      <wp:wrapNone/>
                      <wp:docPr id="616" name="Frame616"/>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780415" cy="175260"/>
                      <wp:effectExtent l="0" t="0" r="0" b="0"/>
                      <wp:wrapNone/>
                      <wp:docPr id="617" name="Frame617"/>
                      <a:graphic xmlns:a="http://schemas.openxmlformats.org/drawingml/2006/main">
                        <a:graphicData uri="http://schemas.microsoft.com/office/word/2010/wordprocessingShape">
                          <wps:wsp>
                            <wps:cNvSpPr txBox="1"/>
                            <wps:spPr>
                              <a:xfrm>
                                <a:off x="0" y="0"/>
                                <a:ext cx="7804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45110" cy="175260"/>
                      <wp:effectExtent l="0" t="0" r="0" b="0"/>
                      <wp:wrapNone/>
                      <wp:docPr id="618" name="Frame618"/>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937895" cy="175260"/>
                      <wp:effectExtent l="0" t="0" r="0" b="0"/>
                      <wp:wrapNone/>
                      <wp:docPr id="619" name="Frame619"/>
                      <a:graphic xmlns:a="http://schemas.openxmlformats.org/drawingml/2006/main">
                        <a:graphicData uri="http://schemas.microsoft.com/office/word/2010/wordprocessingShape">
                          <wps:wsp>
                            <wps:cNvSpPr txBox="1"/>
                            <wps:spPr>
                              <a:xfrm>
                                <a:off x="0" y="0"/>
                                <a:ext cx="937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45110" cy="175260"/>
                      <wp:effectExtent l="0" t="0" r="0" b="0"/>
                      <wp:wrapNone/>
                      <wp:docPr id="620" name="Frame620"/>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474980" cy="175260"/>
                      <wp:effectExtent l="0" t="0" r="0" b="0"/>
                      <wp:wrapNone/>
                      <wp:docPr id="621" name="Frame621"/>
                      <a:graphic xmlns:a="http://schemas.openxmlformats.org/drawingml/2006/main">
                        <a:graphicData uri="http://schemas.microsoft.com/office/word/2010/wordprocessingShape">
                          <wps:wsp>
                            <wps:cNvSpPr txBox="1"/>
                            <wps:spPr>
                              <a:xfrm>
                                <a:off x="0" y="0"/>
                                <a:ext cx="4749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45110" cy="175260"/>
                      <wp:effectExtent l="0" t="0" r="0" b="0"/>
                      <wp:wrapNone/>
                      <wp:docPr id="622" name="Frame622"/>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459740" cy="175260"/>
                      <wp:effectExtent l="0" t="0" r="0" b="0"/>
                      <wp:wrapNone/>
                      <wp:docPr id="623" name="Frame623"/>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72085" cy="175260"/>
                      <wp:effectExtent l="0" t="0" r="0" b="0"/>
                      <wp:wrapNone/>
                      <wp:docPr id="624" name="Frame624"/>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45110" cy="175260"/>
                      <wp:effectExtent l="0" t="0" r="0" b="0"/>
                      <wp:wrapNone/>
                      <wp:docPr id="625" name="Frame625"/>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0715" cy="175260"/>
                      <wp:effectExtent l="0" t="0" r="0" b="0"/>
                      <wp:wrapNone/>
                      <wp:docPr id="626" name="Frame626"/>
                      <a:graphic xmlns:a="http://schemas.openxmlformats.org/drawingml/2006/main">
                        <a:graphicData uri="http://schemas.microsoft.com/office/word/2010/wordprocessingShape">
                          <wps:wsp>
                            <wps:cNvSpPr txBox="1"/>
                            <wps:spPr>
                              <a:xfrm>
                                <a:off x="0" y="0"/>
                                <a:ext cx="6407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03200" cy="175260"/>
                      <wp:effectExtent l="0" t="0" r="0" b="0"/>
                      <wp:wrapNone/>
                      <wp:docPr id="627" name="Frame627"/>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9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Level 3</w:t>
            </w:r>
          </w:p>
        </w:tc>
        <w:tc>
          <w:tcPr>
            <w:tcW w:w="386" w:type="dxa"/>
            <w:tcBorders/>
            <w:shd w:fill="auto" w:val="clear"/>
            <w:vAlign w:val="center"/>
          </w:tcPr>
          <w:p>
            <w:pPr>
              <w:pStyle w:val="TableContents"/>
              <w:spacing w:before="0" w:after="1"/>
              <w:ind w:left="0" w:right="0" w:hanging="0"/>
              <w:rPr/>
            </w:pPr>
            <w:r>
              <w:rPr/>
              <w:t>    </w:t>
            </w:r>
          </w:p>
        </w:tc>
        <w:tc>
          <w:tcPr>
            <w:tcW w:w="1229" w:type="dxa"/>
            <w:tcBorders/>
            <w:shd w:fill="auto" w:val="clear"/>
            <w:vAlign w:val="center"/>
          </w:tcPr>
          <w:p>
            <w:pPr>
              <w:pStyle w:val="TableContents"/>
              <w:spacing w:before="0" w:after="1"/>
              <w:ind w:left="0" w:right="0" w:hanging="0"/>
              <w:jc w:val="center"/>
              <w:rPr/>
            </w:pPr>
            <w:r>
              <w:rPr/>
              <w:t>​</w:t>
            </w:r>
          </w:p>
        </w:tc>
        <w:tc>
          <w:tcPr>
            <w:tcW w:w="386" w:type="dxa"/>
            <w:tcBorders/>
            <w:shd w:fill="auto" w:val="clear"/>
            <w:vAlign w:val="center"/>
          </w:tcPr>
          <w:p>
            <w:pPr>
              <w:pStyle w:val="TableContents"/>
              <w:spacing w:before="0" w:after="1"/>
              <w:ind w:left="0" w:right="0" w:hanging="0"/>
              <w:rPr/>
            </w:pPr>
            <w:r>
              <w:rPr/>
              <w:t>    </w:t>
            </w:r>
          </w:p>
        </w:tc>
        <w:tc>
          <w:tcPr>
            <w:tcW w:w="147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Significant</w:t>
            </w:r>
          </w:p>
        </w:tc>
        <w:tc>
          <w:tcPr>
            <w:tcW w:w="386" w:type="dxa"/>
            <w:tcBorders/>
            <w:shd w:fill="auto" w:val="clear"/>
            <w:vAlign w:val="center"/>
          </w:tcPr>
          <w:p>
            <w:pPr>
              <w:pStyle w:val="TableContents"/>
              <w:spacing w:before="0" w:after="1"/>
              <w:ind w:left="0" w:right="0" w:hanging="0"/>
              <w:rPr/>
            </w:pPr>
            <w:r>
              <w:rPr/>
              <w:t>    </w:t>
            </w:r>
          </w:p>
        </w:tc>
        <w:tc>
          <w:tcPr>
            <w:tcW w:w="748" w:type="dxa"/>
            <w:tcBorders/>
            <w:shd w:fill="auto" w:val="clear"/>
            <w:vAlign w:val="center"/>
          </w:tcPr>
          <w:p>
            <w:pPr>
              <w:pStyle w:val="TableContents"/>
              <w:spacing w:before="0" w:after="1"/>
              <w:ind w:left="0" w:right="0" w:hanging="0"/>
              <w:jc w:val="center"/>
              <w:rPr/>
            </w:pPr>
            <w:r>
              <w:rPr/>
              <w:t>​</w:t>
            </w:r>
          </w:p>
        </w:tc>
        <w:tc>
          <w:tcPr>
            <w:tcW w:w="386" w:type="dxa"/>
            <w:tcBorders/>
            <w:shd w:fill="auto" w:val="clear"/>
            <w:vAlign w:val="center"/>
          </w:tcPr>
          <w:p>
            <w:pPr>
              <w:pStyle w:val="TableContents"/>
              <w:spacing w:before="0" w:after="1"/>
              <w:ind w:left="0" w:right="0" w:hanging="0"/>
              <w:rPr/>
            </w:pPr>
            <w:r>
              <w:rPr/>
              <w:t>    </w:t>
            </w:r>
          </w:p>
        </w:tc>
        <w:tc>
          <w:tcPr>
            <w:tcW w:w="2710" w:type="dxa"/>
            <w:gridSpan w:val="5"/>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Weighted Average Range</w:t>
            </w:r>
          </w:p>
        </w:tc>
      </w:tr>
      <w:tr>
        <w:trPr/>
        <w:tc>
          <w:tcPr>
            <w:tcW w:w="249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Fair Value</w:t>
            </w:r>
          </w:p>
        </w:tc>
        <w:tc>
          <w:tcPr>
            <w:tcW w:w="386" w:type="dxa"/>
            <w:tcBorders/>
            <w:shd w:fill="auto" w:val="clear"/>
            <w:vAlign w:val="center"/>
          </w:tcPr>
          <w:p>
            <w:pPr>
              <w:pStyle w:val="TableContents"/>
              <w:spacing w:before="0" w:after="1"/>
              <w:ind w:left="0" w:right="0" w:hanging="0"/>
              <w:rPr/>
            </w:pPr>
            <w:r>
              <w:rPr/>
              <w:t>​</w:t>
            </w:r>
          </w:p>
        </w:tc>
        <w:tc>
          <w:tcPr>
            <w:tcW w:w="122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Valuation </w:t>
            </w:r>
          </w:p>
        </w:tc>
        <w:tc>
          <w:tcPr>
            <w:tcW w:w="386" w:type="dxa"/>
            <w:tcBorders/>
            <w:shd w:fill="auto" w:val="clear"/>
            <w:vAlign w:val="center"/>
          </w:tcPr>
          <w:p>
            <w:pPr>
              <w:pStyle w:val="TableContents"/>
              <w:spacing w:before="0" w:after="1"/>
              <w:ind w:left="0" w:right="0" w:hanging="0"/>
              <w:rPr/>
            </w:pPr>
            <w:r>
              <w:rPr/>
              <w:t>​</w:t>
            </w:r>
          </w:p>
        </w:tc>
        <w:tc>
          <w:tcPr>
            <w:tcW w:w="147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Unobservable </w:t>
            </w:r>
          </w:p>
        </w:tc>
        <w:tc>
          <w:tcPr>
            <w:tcW w:w="386" w:type="dxa"/>
            <w:tcBorders/>
            <w:shd w:fill="auto" w:val="clear"/>
            <w:vAlign w:val="center"/>
          </w:tcPr>
          <w:p>
            <w:pPr>
              <w:pStyle w:val="TableContents"/>
              <w:spacing w:before="0" w:after="1"/>
              <w:ind w:left="0" w:right="0" w:hanging="0"/>
              <w:rPr/>
            </w:pPr>
            <w:r>
              <w:rPr/>
              <w:t>​</w:t>
            </w:r>
          </w:p>
        </w:tc>
        <w:tc>
          <w:tcPr>
            <w:tcW w:w="748" w:type="dxa"/>
            <w:tcBorders/>
            <w:shd w:fill="auto" w:val="clear"/>
            <w:vAlign w:val="center"/>
          </w:tcPr>
          <w:p>
            <w:pPr>
              <w:pStyle w:val="TableContents"/>
              <w:spacing w:before="0" w:after="1"/>
              <w:ind w:left="0" w:right="0" w:hanging="0"/>
              <w:jc w:val="center"/>
              <w:rPr/>
            </w:pPr>
            <w:r>
              <w:rPr/>
              <w:t>​</w:t>
            </w:r>
          </w:p>
        </w:tc>
        <w:tc>
          <w:tcPr>
            <w:tcW w:w="386" w:type="dxa"/>
            <w:tcBorders/>
            <w:shd w:fill="auto" w:val="clear"/>
            <w:vAlign w:val="center"/>
          </w:tcPr>
          <w:p>
            <w:pPr>
              <w:pStyle w:val="TableContents"/>
              <w:spacing w:before="0" w:after="1"/>
              <w:ind w:left="0" w:right="0" w:hanging="0"/>
              <w:rPr/>
            </w:pPr>
            <w:r>
              <w:rPr/>
              <w:t>​</w:t>
            </w:r>
          </w:p>
        </w:tc>
        <w:tc>
          <w:tcPr>
            <w:tcW w:w="724"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w:t>
            </w:r>
          </w:p>
        </w:tc>
        <w:tc>
          <w:tcPr>
            <w:tcW w:w="271"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w:t>
            </w:r>
          </w:p>
        </w:tc>
        <w:tc>
          <w:tcPr>
            <w:tcW w:w="1009"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0" w:type="dxa"/>
            <w:tcBorders/>
            <w:shd w:fill="auto" w:val="clear"/>
            <w:vAlign w:val="center"/>
          </w:tcPr>
          <w:p>
            <w:pPr>
              <w:pStyle w:val="TableContents"/>
              <w:spacing w:before="0" w:after="1"/>
              <w:ind w:left="0" w:right="0" w:hanging="0"/>
              <w:rPr/>
            </w:pPr>
            <w:r>
              <w:rPr/>
              <w:t>​</w:t>
            </w:r>
          </w:p>
        </w:tc>
      </w:tr>
      <w:tr>
        <w:trPr/>
        <w:tc>
          <w:tcPr>
            <w:tcW w:w="249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Instruments</w:t>
            </w:r>
          </w:p>
        </w:tc>
        <w:tc>
          <w:tcPr>
            <w:tcW w:w="38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2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Techniques</w:t>
            </w:r>
          </w:p>
        </w:tc>
        <w:tc>
          <w:tcPr>
            <w:tcW w:w="38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47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Inputs</w:t>
            </w:r>
          </w:p>
        </w:tc>
        <w:tc>
          <w:tcPr>
            <w:tcW w:w="38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4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Range</w:t>
            </w:r>
          </w:p>
        </w:tc>
        <w:tc>
          <w:tcPr>
            <w:tcW w:w="38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27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38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0"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r>
      <w:tr>
        <w:trPr/>
        <w:tc>
          <w:tcPr>
            <w:tcW w:w="2497"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RECURRING</w:t>
            </w:r>
          </w:p>
        </w:tc>
        <w:tc>
          <w:tcPr>
            <w:tcW w:w="386" w:type="dxa"/>
            <w:tcBorders/>
            <w:shd w:fill="CCEEFF" w:val="clear"/>
            <w:vAlign w:val="center"/>
          </w:tcPr>
          <w:p>
            <w:pPr>
              <w:pStyle w:val="TableContents"/>
              <w:spacing w:before="0" w:after="1"/>
              <w:ind w:left="0" w:right="0" w:hanging="0"/>
              <w:rPr/>
            </w:pPr>
            <w:r>
              <w:rPr/>
              <w:t> </w:t>
            </w:r>
          </w:p>
        </w:tc>
        <w:tc>
          <w:tcPr>
            <w:tcW w:w="1229" w:type="dxa"/>
            <w:tcBorders/>
            <w:shd w:fill="CCEEFF" w:val="clear"/>
            <w:vAlign w:val="center"/>
          </w:tcPr>
          <w:p>
            <w:pPr>
              <w:pStyle w:val="TableContents"/>
              <w:spacing w:before="0" w:after="1"/>
              <w:ind w:left="0" w:right="0" w:hanging="0"/>
              <w:jc w:val="right"/>
              <w:rPr/>
            </w:pPr>
            <w:r>
              <w:rPr/>
              <w:t>  </w:t>
            </w:r>
          </w:p>
        </w:tc>
        <w:tc>
          <w:tcPr>
            <w:tcW w:w="386" w:type="dxa"/>
            <w:tcBorders/>
            <w:shd w:fill="CCEEFF" w:val="clear"/>
            <w:vAlign w:val="center"/>
          </w:tcPr>
          <w:p>
            <w:pPr>
              <w:pStyle w:val="TableContents"/>
              <w:spacing w:before="0" w:after="1"/>
              <w:ind w:left="0" w:right="0" w:hanging="0"/>
              <w:rPr/>
            </w:pPr>
            <w:r>
              <w:rPr/>
              <w:t> </w:t>
            </w:r>
          </w:p>
        </w:tc>
        <w:tc>
          <w:tcPr>
            <w:tcW w:w="1477" w:type="dxa"/>
            <w:tcBorders/>
            <w:shd w:fill="CCEEFF" w:val="clear"/>
            <w:vAlign w:val="center"/>
          </w:tcPr>
          <w:p>
            <w:pPr>
              <w:pStyle w:val="TableContents"/>
              <w:spacing w:before="0" w:after="1"/>
              <w:ind w:left="0" w:right="0" w:hanging="0"/>
              <w:jc w:val="right"/>
              <w:rPr/>
            </w:pPr>
            <w:r>
              <w:rPr/>
              <w:t>  </w:t>
            </w:r>
          </w:p>
        </w:tc>
        <w:tc>
          <w:tcPr>
            <w:tcW w:w="386" w:type="dxa"/>
            <w:tcBorders/>
            <w:shd w:fill="CCEEFF" w:val="clear"/>
            <w:vAlign w:val="center"/>
          </w:tcPr>
          <w:p>
            <w:pPr>
              <w:pStyle w:val="TableContents"/>
              <w:spacing w:before="0" w:after="1"/>
              <w:ind w:left="0" w:right="0" w:hanging="0"/>
              <w:rPr/>
            </w:pPr>
            <w:r>
              <w:rPr/>
              <w:t> </w:t>
            </w:r>
          </w:p>
        </w:tc>
        <w:tc>
          <w:tcPr>
            <w:tcW w:w="748" w:type="dxa"/>
            <w:tcBorders/>
            <w:shd w:fill="CCEEFF" w:val="clear"/>
            <w:vAlign w:val="center"/>
          </w:tcPr>
          <w:p>
            <w:pPr>
              <w:pStyle w:val="TableContents"/>
              <w:spacing w:before="0" w:after="1"/>
              <w:ind w:left="0" w:right="0" w:hanging="0"/>
              <w:jc w:val="right"/>
              <w:rPr/>
            </w:pPr>
            <w:r>
              <w:rPr/>
              <w:t>  </w:t>
            </w:r>
          </w:p>
        </w:tc>
        <w:tc>
          <w:tcPr>
            <w:tcW w:w="386" w:type="dxa"/>
            <w:tcBorders/>
            <w:shd w:fill="CCEEFF" w:val="clear"/>
            <w:vAlign w:val="center"/>
          </w:tcPr>
          <w:p>
            <w:pPr>
              <w:pStyle w:val="TableContents"/>
              <w:spacing w:before="0" w:after="1"/>
              <w:ind w:left="0" w:right="0" w:hanging="0"/>
              <w:rPr/>
            </w:pPr>
            <w:r>
              <w:rPr/>
              <w:t> </w:t>
            </w:r>
          </w:p>
        </w:tc>
        <w:tc>
          <w:tcPr>
            <w:tcW w:w="724" w:type="dxa"/>
            <w:tcBorders/>
            <w:shd w:fill="CCEEFF" w:val="clear"/>
            <w:vAlign w:val="center"/>
          </w:tcPr>
          <w:p>
            <w:pPr>
              <w:pStyle w:val="TableContents"/>
              <w:spacing w:before="0" w:after="1"/>
              <w:ind w:left="0" w:right="0" w:hanging="0"/>
              <w:jc w:val="right"/>
              <w:rPr/>
            </w:pPr>
            <w:r>
              <w:rPr/>
              <w:t>  </w:t>
            </w:r>
          </w:p>
        </w:tc>
        <w:tc>
          <w:tcPr>
            <w:tcW w:w="271" w:type="dxa"/>
            <w:tcBorders/>
            <w:shd w:fill="CCEEFF" w:val="clear"/>
            <w:vAlign w:val="center"/>
          </w:tcPr>
          <w:p>
            <w:pPr>
              <w:pStyle w:val="TableContents"/>
              <w:spacing w:before="0" w:after="1"/>
              <w:ind w:left="0" w:right="0" w:hanging="0"/>
              <w:jc w:val="right"/>
              <w:rPr/>
            </w:pPr>
            <w:r>
              <w:rPr/>
              <w:t>​</w:t>
            </w:r>
          </w:p>
        </w:tc>
        <w:tc>
          <w:tcPr>
            <w:tcW w:w="386" w:type="dxa"/>
            <w:tcBorders/>
            <w:shd w:fill="CCEEFF" w:val="clear"/>
            <w:vAlign w:val="center"/>
          </w:tcPr>
          <w:p>
            <w:pPr>
              <w:pStyle w:val="TableContents"/>
              <w:spacing w:before="0" w:after="1"/>
              <w:ind w:left="0" w:right="0" w:hanging="0"/>
              <w:jc w:val="right"/>
              <w:rPr/>
            </w:pPr>
            <w:r>
              <w:rPr/>
              <w:t>​</w:t>
            </w:r>
          </w:p>
        </w:tc>
        <w:tc>
          <w:tcPr>
            <w:tcW w:w="1009" w:type="dxa"/>
            <w:tcBorders/>
            <w:shd w:fill="CCEEFF" w:val="clear"/>
            <w:vAlign w:val="center"/>
          </w:tcPr>
          <w:p>
            <w:pPr>
              <w:pStyle w:val="TableContents"/>
              <w:spacing w:before="0" w:after="1"/>
              <w:ind w:left="0" w:right="0" w:hanging="0"/>
              <w:jc w:val="right"/>
              <w:rPr/>
            </w:pPr>
            <w:r>
              <w:rPr/>
              <w:t>​</w:t>
            </w:r>
          </w:p>
        </w:tc>
        <w:tc>
          <w:tcPr>
            <w:tcW w:w="320" w:type="dxa"/>
            <w:tcBorders/>
            <w:shd w:fill="CCEEFF" w:val="clear"/>
            <w:vAlign w:val="center"/>
          </w:tcPr>
          <w:p>
            <w:pPr>
              <w:pStyle w:val="TableContents"/>
              <w:spacing w:before="0" w:after="1"/>
              <w:ind w:left="0" w:right="0" w:hanging="0"/>
              <w:rPr/>
            </w:pPr>
            <w:r>
              <w:rPr/>
              <w:t>​</w:t>
            </w:r>
          </w:p>
        </w:tc>
      </w:tr>
      <w:tr>
        <w:trPr/>
        <w:tc>
          <w:tcPr>
            <w:tcW w:w="249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rate lock commitments with customers</w:t>
            </w:r>
          </w:p>
        </w:tc>
        <w:tc>
          <w:tcPr>
            <w:tcW w:w="386" w:type="dxa"/>
            <w:tcBorders/>
            <w:shd w:fill="auto" w:val="clear"/>
            <w:vAlign w:val="center"/>
          </w:tcPr>
          <w:p>
            <w:pPr>
              <w:pStyle w:val="TableContents"/>
              <w:spacing w:before="0" w:after="1"/>
              <w:ind w:left="0" w:right="0" w:hanging="0"/>
              <w:rPr/>
            </w:pPr>
            <w:r>
              <w:rPr/>
              <w:t> </w:t>
            </w:r>
          </w:p>
        </w:tc>
        <w:tc>
          <w:tcPr>
            <w:tcW w:w="1229" w:type="dxa"/>
            <w:tcBorders/>
            <w:shd w:fill="auto" w:val="clear"/>
            <w:vAlign w:val="center"/>
          </w:tcPr>
          <w:p>
            <w:pPr>
              <w:pStyle w:val="TableContents"/>
              <w:spacing w:before="0" w:after="1"/>
              <w:ind w:left="0" w:right="0" w:hanging="0"/>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Quoted market prices</w:t>
            </w:r>
          </w:p>
        </w:tc>
        <w:tc>
          <w:tcPr>
            <w:tcW w:w="386" w:type="dxa"/>
            <w:tcBorders/>
            <w:shd w:fill="auto" w:val="clear"/>
            <w:vAlign w:val="center"/>
          </w:tcPr>
          <w:p>
            <w:pPr>
              <w:pStyle w:val="TableContents"/>
              <w:spacing w:before="0" w:after="1"/>
              <w:ind w:left="0" w:right="0" w:hanging="0"/>
              <w:rPr/>
            </w:pPr>
            <w:r>
              <w:rPr/>
              <w:t> </w:t>
            </w:r>
          </w:p>
        </w:tc>
        <w:tc>
          <w:tcPr>
            <w:tcW w:w="1477" w:type="dxa"/>
            <w:tcBorders/>
            <w:shd w:fill="auto" w:val="clear"/>
            <w:vAlign w:val="center"/>
          </w:tcPr>
          <w:p>
            <w:pPr>
              <w:pStyle w:val="TableContents"/>
              <w:spacing w:before="0" w:after="1"/>
              <w:ind w:left="0" w:right="0" w:hanging="0"/>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Pull-through expectations</w:t>
            </w:r>
          </w:p>
        </w:tc>
        <w:tc>
          <w:tcPr>
            <w:tcW w:w="386" w:type="dxa"/>
            <w:tcBorders/>
            <w:shd w:fill="auto" w:val="clear"/>
            <w:vAlign w:val="center"/>
          </w:tcPr>
          <w:p>
            <w:pPr>
              <w:pStyle w:val="TableContents"/>
              <w:spacing w:before="0" w:after="1"/>
              <w:ind w:left="0" w:right="0" w:hanging="0"/>
              <w:rPr/>
            </w:pPr>
            <w:r>
              <w:rPr/>
              <w:t> </w:t>
            </w:r>
          </w:p>
        </w:tc>
        <w:tc>
          <w:tcPr>
            <w:tcW w:w="748"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80% - 99%</w:t>
            </w:r>
          </w:p>
        </w:tc>
        <w:tc>
          <w:tcPr>
            <w:tcW w:w="386" w:type="dxa"/>
            <w:tcBorders/>
            <w:shd w:fill="auto" w:val="clear"/>
            <w:vAlign w:val="center"/>
          </w:tcPr>
          <w:p>
            <w:pPr>
              <w:pStyle w:val="TableContents"/>
              <w:spacing w:before="0" w:after="1"/>
              <w:ind w:left="0" w:right="0" w:hanging="0"/>
              <w:rPr/>
            </w:pPr>
            <w:r>
              <w:rPr/>
              <w:t>​</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91.3</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86" w:type="dxa"/>
            <w:tcBorders/>
            <w:shd w:fill="auto" w:val="clear"/>
            <w:vAlign w:val="center"/>
          </w:tcPr>
          <w:p>
            <w:pPr>
              <w:pStyle w:val="TableContents"/>
              <w:spacing w:before="0" w:after="1"/>
              <w:ind w:left="0" w:right="0" w:hanging="0"/>
              <w:rPr/>
            </w:pPr>
            <w:r>
              <w:rPr/>
              <w:t>​</w:t>
            </w:r>
          </w:p>
        </w:tc>
        <w:tc>
          <w:tcPr>
            <w:tcW w:w="100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4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Individual forward sale commitments with investors</w:t>
            </w:r>
          </w:p>
        </w:tc>
        <w:tc>
          <w:tcPr>
            <w:tcW w:w="386" w:type="dxa"/>
            <w:tcBorders/>
            <w:shd w:fill="CCEEFF" w:val="clear"/>
            <w:vAlign w:val="center"/>
          </w:tcPr>
          <w:p>
            <w:pPr>
              <w:pStyle w:val="TableContents"/>
              <w:spacing w:before="0" w:after="1"/>
              <w:ind w:left="0" w:right="0" w:hanging="0"/>
              <w:rPr/>
            </w:pPr>
            <w:r>
              <w:rPr/>
              <w:t> </w:t>
            </w:r>
          </w:p>
        </w:tc>
        <w:tc>
          <w:tcPr>
            <w:tcW w:w="1229"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Quoted market prices</w:t>
            </w:r>
          </w:p>
        </w:tc>
        <w:tc>
          <w:tcPr>
            <w:tcW w:w="386" w:type="dxa"/>
            <w:tcBorders/>
            <w:shd w:fill="CCEEFF" w:val="clear"/>
            <w:vAlign w:val="center"/>
          </w:tcPr>
          <w:p>
            <w:pPr>
              <w:pStyle w:val="TableContents"/>
              <w:spacing w:before="0" w:after="1"/>
              <w:ind w:left="0" w:right="0" w:hanging="0"/>
              <w:rPr/>
            </w:pPr>
            <w:r>
              <w:rPr/>
              <w:t> </w:t>
            </w:r>
          </w:p>
        </w:tc>
        <w:tc>
          <w:tcPr>
            <w:tcW w:w="1477"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Pull-through expectations</w:t>
            </w:r>
          </w:p>
        </w:tc>
        <w:tc>
          <w:tcPr>
            <w:tcW w:w="386" w:type="dxa"/>
            <w:tcBorders/>
            <w:shd w:fill="CCEEFF" w:val="clear"/>
            <w:vAlign w:val="center"/>
          </w:tcPr>
          <w:p>
            <w:pPr>
              <w:pStyle w:val="TableContents"/>
              <w:spacing w:before="0" w:after="1"/>
              <w:ind w:left="0" w:right="0" w:hanging="0"/>
              <w:rPr/>
            </w:pPr>
            <w:r>
              <w:rPr/>
              <w:t> </w:t>
            </w:r>
          </w:p>
        </w:tc>
        <w:tc>
          <w:tcPr>
            <w:tcW w:w="74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80% - 99%</w:t>
            </w:r>
          </w:p>
        </w:tc>
        <w:tc>
          <w:tcPr>
            <w:tcW w:w="386" w:type="dxa"/>
            <w:tcBorders/>
            <w:shd w:fill="CCEEFF" w:val="clear"/>
            <w:vAlign w:val="center"/>
          </w:tcPr>
          <w:p>
            <w:pPr>
              <w:pStyle w:val="TableContents"/>
              <w:spacing w:before="0" w:after="1"/>
              <w:ind w:left="0" w:right="0" w:hanging="0"/>
              <w:rPr/>
            </w:pPr>
            <w:r>
              <w:rPr/>
              <w:t>​</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91.3</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spacing w:before="0" w:after="1"/>
              <w:ind w:left="0" w:right="0" w:hanging="0"/>
              <w:rPr/>
            </w:pPr>
            <w:r>
              <w:rPr/>
              <w:t>​</w:t>
            </w:r>
          </w:p>
        </w:tc>
        <w:tc>
          <w:tcPr>
            <w:tcW w:w="10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49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NONRECURRING</w:t>
            </w:r>
          </w:p>
        </w:tc>
        <w:tc>
          <w:tcPr>
            <w:tcW w:w="386" w:type="dxa"/>
            <w:tcBorders/>
            <w:shd w:fill="auto" w:val="clear"/>
            <w:vAlign w:val="center"/>
          </w:tcPr>
          <w:p>
            <w:pPr>
              <w:pStyle w:val="TableContents"/>
              <w:spacing w:before="0" w:after="1"/>
              <w:ind w:left="0" w:right="0" w:hanging="0"/>
              <w:rPr/>
            </w:pPr>
            <w:r>
              <w:rPr/>
              <w:t> </w:t>
            </w:r>
          </w:p>
        </w:tc>
        <w:tc>
          <w:tcPr>
            <w:tcW w:w="1229" w:type="dxa"/>
            <w:tcBorders/>
            <w:shd w:fill="auto" w:val="clear"/>
            <w:vAlign w:val="center"/>
          </w:tcPr>
          <w:p>
            <w:pPr>
              <w:pStyle w:val="TableContents"/>
              <w:spacing w:before="0" w:after="1"/>
              <w:ind w:left="0" w:right="0" w:hanging="0"/>
              <w:rPr/>
            </w:pPr>
            <w:r>
              <w:rPr/>
              <w:t>  </w:t>
            </w:r>
          </w:p>
        </w:tc>
        <w:tc>
          <w:tcPr>
            <w:tcW w:w="386" w:type="dxa"/>
            <w:tcBorders/>
            <w:shd w:fill="auto" w:val="clear"/>
            <w:vAlign w:val="center"/>
          </w:tcPr>
          <w:p>
            <w:pPr>
              <w:pStyle w:val="TableContents"/>
              <w:spacing w:before="0" w:after="1"/>
              <w:ind w:left="0" w:right="0" w:hanging="0"/>
              <w:rPr/>
            </w:pPr>
            <w:r>
              <w:rPr/>
              <w:t> </w:t>
            </w:r>
          </w:p>
        </w:tc>
        <w:tc>
          <w:tcPr>
            <w:tcW w:w="1477" w:type="dxa"/>
            <w:tcBorders/>
            <w:shd w:fill="auto" w:val="clear"/>
            <w:vAlign w:val="center"/>
          </w:tcPr>
          <w:p>
            <w:pPr>
              <w:pStyle w:val="TableContents"/>
              <w:spacing w:before="0" w:after="1"/>
              <w:ind w:left="0" w:right="0" w:hanging="0"/>
              <w:rPr/>
            </w:pPr>
            <w:r>
              <w:rPr/>
              <w:t>  </w:t>
            </w:r>
          </w:p>
        </w:tc>
        <w:tc>
          <w:tcPr>
            <w:tcW w:w="386" w:type="dxa"/>
            <w:tcBorders/>
            <w:shd w:fill="auto" w:val="clear"/>
            <w:vAlign w:val="center"/>
          </w:tcPr>
          <w:p>
            <w:pPr>
              <w:pStyle w:val="TableContents"/>
              <w:spacing w:before="0" w:after="1"/>
              <w:ind w:left="0" w:right="0" w:hanging="0"/>
              <w:rPr/>
            </w:pPr>
            <w:r>
              <w:rPr/>
              <w:t> </w:t>
            </w:r>
          </w:p>
        </w:tc>
        <w:tc>
          <w:tcPr>
            <w:tcW w:w="748" w:type="dxa"/>
            <w:tcBorders/>
            <w:shd w:fill="auto" w:val="clear"/>
            <w:vAlign w:val="center"/>
          </w:tcPr>
          <w:p>
            <w:pPr>
              <w:pStyle w:val="TableContents"/>
              <w:spacing w:before="0" w:after="1"/>
              <w:ind w:left="0" w:right="0" w:hanging="0"/>
              <w:jc w:val="center"/>
              <w:rPr/>
            </w:pPr>
            <w:r>
              <w:rPr/>
              <w:t>  </w:t>
            </w:r>
          </w:p>
        </w:tc>
        <w:tc>
          <w:tcPr>
            <w:tcW w:w="386" w:type="dxa"/>
            <w:tcBorders/>
            <w:shd w:fill="auto" w:val="clear"/>
            <w:vAlign w:val="center"/>
          </w:tcPr>
          <w:p>
            <w:pPr>
              <w:pStyle w:val="TableContents"/>
              <w:spacing w:before="0" w:after="1"/>
              <w:ind w:left="0" w:right="0" w:hanging="0"/>
              <w:rPr/>
            </w:pPr>
            <w:r>
              <w:rPr/>
              <w:t> </w:t>
            </w:r>
          </w:p>
        </w:tc>
        <w:tc>
          <w:tcPr>
            <w:tcW w:w="724" w:type="dxa"/>
            <w:tcBorders/>
            <w:shd w:fill="auto" w:val="clear"/>
            <w:vAlign w:val="center"/>
          </w:tcPr>
          <w:p>
            <w:pPr>
              <w:pStyle w:val="TableContents"/>
              <w:spacing w:before="0" w:after="1"/>
              <w:ind w:left="0" w:right="0" w:hanging="0"/>
              <w:jc w:val="right"/>
              <w:rPr/>
            </w:pPr>
            <w:r>
              <w:rPr/>
              <w:t>​</w:t>
            </w:r>
          </w:p>
        </w:tc>
        <w:tc>
          <w:tcPr>
            <w:tcW w:w="271"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w:t>
            </w:r>
          </w:p>
        </w:tc>
        <w:tc>
          <w:tcPr>
            <w:tcW w:w="1009" w:type="dxa"/>
            <w:tcBorders/>
            <w:shd w:fill="auto" w:val="clear"/>
            <w:vAlign w:val="center"/>
          </w:tcPr>
          <w:p>
            <w:pPr>
              <w:pStyle w:val="TableContents"/>
              <w:spacing w:before="0" w:after="1"/>
              <w:ind w:left="0" w:right="0" w:hanging="0"/>
              <w:jc w:val="right"/>
              <w:rPr/>
            </w:pPr>
            <w:r>
              <w:rPr/>
              <w:t>​</w:t>
            </w:r>
          </w:p>
        </w:tc>
        <w:tc>
          <w:tcPr>
            <w:tcW w:w="320" w:type="dxa"/>
            <w:tcBorders/>
            <w:shd w:fill="auto" w:val="clear"/>
            <w:vAlign w:val="center"/>
          </w:tcPr>
          <w:p>
            <w:pPr>
              <w:pStyle w:val="TableContents"/>
              <w:spacing w:before="0" w:after="1"/>
              <w:ind w:left="0" w:right="0" w:hanging="0"/>
              <w:rPr/>
            </w:pPr>
            <w:r>
              <w:rPr/>
              <w:t>​</w:t>
            </w:r>
          </w:p>
        </w:tc>
      </w:tr>
      <w:tr>
        <w:trPr/>
        <w:tc>
          <w:tcPr>
            <w:tcW w:w="24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MSR</w:t>
            </w:r>
          </w:p>
        </w:tc>
        <w:tc>
          <w:tcPr>
            <w:tcW w:w="386" w:type="dxa"/>
            <w:tcBorders/>
            <w:shd w:fill="CCEEFF" w:val="clear"/>
            <w:vAlign w:val="center"/>
          </w:tcPr>
          <w:p>
            <w:pPr>
              <w:pStyle w:val="TableContents"/>
              <w:spacing w:before="0" w:after="1"/>
              <w:ind w:left="0" w:right="0" w:hanging="0"/>
              <w:rPr/>
            </w:pPr>
            <w:r>
              <w:rPr/>
              <w:t>​</w:t>
            </w:r>
          </w:p>
        </w:tc>
        <w:tc>
          <w:tcPr>
            <w:tcW w:w="1229"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Industry sources</w:t>
            </w:r>
          </w:p>
        </w:tc>
        <w:tc>
          <w:tcPr>
            <w:tcW w:w="386" w:type="dxa"/>
            <w:tcBorders/>
            <w:shd w:fill="CCEEFF" w:val="clear"/>
            <w:vAlign w:val="center"/>
          </w:tcPr>
          <w:p>
            <w:pPr>
              <w:pStyle w:val="TableContents"/>
              <w:spacing w:before="0" w:after="1"/>
              <w:ind w:left="0" w:right="0" w:hanging="0"/>
              <w:rPr/>
            </w:pPr>
            <w:r>
              <w:rPr/>
              <w:t>​</w:t>
            </w:r>
          </w:p>
        </w:tc>
        <w:tc>
          <w:tcPr>
            <w:tcW w:w="1477"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Pre-payment speeds</w:t>
            </w:r>
          </w:p>
        </w:tc>
        <w:tc>
          <w:tcPr>
            <w:tcW w:w="386" w:type="dxa"/>
            <w:tcBorders/>
            <w:shd w:fill="CCEEFF" w:val="clear"/>
            <w:vAlign w:val="center"/>
          </w:tcPr>
          <w:p>
            <w:pPr>
              <w:pStyle w:val="TableContents"/>
              <w:spacing w:before="0" w:after="1"/>
              <w:ind w:left="0" w:right="0" w:hanging="0"/>
              <w:rPr/>
            </w:pPr>
            <w:r>
              <w:rPr/>
              <w:t>​</w:t>
            </w:r>
          </w:p>
        </w:tc>
        <w:tc>
          <w:tcPr>
            <w:tcW w:w="748"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 - 50%</w:t>
            </w:r>
          </w:p>
        </w:tc>
        <w:tc>
          <w:tcPr>
            <w:tcW w:w="386" w:type="dxa"/>
            <w:tcBorders/>
            <w:shd w:fill="CCEEFF" w:val="clear"/>
            <w:vAlign w:val="center"/>
          </w:tcPr>
          <w:p>
            <w:pPr>
              <w:pStyle w:val="TableContents"/>
              <w:spacing w:before="0" w:after="1"/>
              <w:ind w:left="0" w:right="0" w:hanging="0"/>
              <w:rPr/>
            </w:pPr>
            <w:r>
              <w:rPr/>
              <w:t>​</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spacing w:before="0" w:after="1"/>
              <w:ind w:left="0" w:right="0" w:hanging="0"/>
              <w:rPr/>
            </w:pPr>
            <w:r>
              <w:rPr/>
              <w:t>​</w:t>
            </w:r>
          </w:p>
        </w:tc>
        <w:tc>
          <w:tcPr>
            <w:tcW w:w="10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00"/>
        <w:ind w:left="0" w:right="0" w:hanging="0"/>
        <w:jc w:val="both"/>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pull-through rate is based on historical loan closing rates for similar interest rate lock commitments.  An increase or decrease in the pull-through rate would have a corresponding positive or negative fair value adjustment.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3221" w:name="Tc_SQUznpwFTUCG99q-_Xm_Uw_8_18"/>
      <w:bookmarkStart w:id="3222" w:name="Tc_aO4vhfnI-UWa8AGoqGiuiQ_8_0"/>
      <w:bookmarkStart w:id="3223" w:name="Tc_wsGi5AMloUCbvJ9rjcTOpQ_7_18"/>
      <w:bookmarkStart w:id="3224" w:name="Tc_XEr5rai4DUCgKLDTjJevbg_7_17"/>
      <w:bookmarkStart w:id="3225" w:name="Tc_MtoxGa1MoUiMeEp6fw_Wug_7_14"/>
      <w:bookmarkStart w:id="3226" w:name="Tc_0Zj8-jd59EapupUUSQozmA_7_11"/>
      <w:bookmarkStart w:id="3227" w:name="Tc_qxSLy0oOQ06CSMJwzYEJRQ_7_8"/>
      <w:bookmarkStart w:id="3228" w:name="Tc_Vcc8mR3FLkSgL-J8TN5LXA_7_5"/>
      <w:bookmarkStart w:id="3229" w:name="Tc_LNLoOaApsEW1OjLYbWo2Kw_7_2"/>
      <w:bookmarkStart w:id="3230" w:name="Tc_chbRbn1V2EOijN07B5hKuQ_7_0"/>
      <w:bookmarkStart w:id="3231" w:name="Tc_go3fhSDr4Eexaj4zIlvf-Q_6_0"/>
      <w:bookmarkStart w:id="3232" w:name="Tc_nvtisTshXkuWASawM-e3OQ_5_18"/>
      <w:bookmarkStart w:id="3233" w:name="Tc_xj7QVmrFTE-twsF9khACDQ_5_0"/>
      <w:bookmarkStart w:id="3234" w:name="Tc_VEiOcLflaESrZ1boDIWTsw_4_18"/>
      <w:bookmarkStart w:id="3235" w:name="Tc_Enl8mw-Qf0m9hEcu0EUMzg_4_17"/>
      <w:bookmarkStart w:id="3236" w:name="Tc_pIqDpLn8JkSIQy_oio-A2g_4_14"/>
      <w:bookmarkStart w:id="3237" w:name="Tc_pXMC9zguT0KYfiBGTeVfZQ_4_11"/>
      <w:bookmarkStart w:id="3238" w:name="Tc_YZJeyEIU60ecmpCI8QAPOg_4_8"/>
      <w:bookmarkStart w:id="3239" w:name="Tc_ZPfk_33y4k6hsN52QY9t0Q_4_5"/>
      <w:bookmarkStart w:id="3240" w:name="Tc_Q9-0JWaP7k6qLx62IxwvTA_4_2"/>
      <w:bookmarkStart w:id="3241" w:name="Tc_QlN-xdIkfUyCZuyo9dNjrA_4_0"/>
      <w:bookmarkStart w:id="3242" w:name="Tc_3wg9Hu3fwUC2CXm6NecR4g_3_17"/>
      <w:bookmarkStart w:id="3243" w:name="Tc_57QEtRGvPEKJsWD8EB4O3g_3_14"/>
      <w:bookmarkStart w:id="3244" w:name="Tc__fSNS5bZc0i_03yrCHk2Hw_3_11"/>
      <w:bookmarkStart w:id="3245" w:name="Tc_UJpm819Y1kifdjn9Va8xYA_3_8"/>
      <w:bookmarkStart w:id="3246" w:name="Tc_T288W65qcE2SG31SKcmVlQ_3_5"/>
      <w:bookmarkStart w:id="3247" w:name="Tc_HpMiPVvrMUeepxFdNB0ZXg_3_2"/>
      <w:bookmarkStart w:id="3248" w:name="Tc_E8CIO5vsjECmqP7z0wju5A_3_0"/>
      <w:bookmarkStart w:id="3249" w:name="Tc_QkAgwpZXQUCRlSuCoa69Kg_2_17"/>
      <w:bookmarkStart w:id="3250" w:name="Tc_ehZKwofgDU-Se3qUrUoEpw_2_14"/>
      <w:bookmarkStart w:id="3251" w:name="Tc_I2W4_dp-10ayyjN15ub7VQ_2_11"/>
      <w:bookmarkStart w:id="3252" w:name="Tc_YxBA-VvTuk2fypfMcgrMcA_2_8"/>
      <w:bookmarkStart w:id="3253" w:name="Tc_jEBmItRK8Ei7qorgf9Da7g_2_5"/>
      <w:bookmarkStart w:id="3254" w:name="Tc_uVJM_Ta3F02UpN9tZKfY5g_2_2"/>
      <w:bookmarkStart w:id="3255" w:name="Tc_Pphqe11mLkOVpvKvbxcd_A_2_0"/>
      <w:bookmarkStart w:id="3256" w:name="Tc_j-4HA5y6mUqLtvupCZjqug_1_17"/>
      <w:bookmarkStart w:id="3257" w:name="Tc_be3qkTaYNEeBkPBy_8WYWA_1_14"/>
      <w:bookmarkStart w:id="3258" w:name="Tc_IlMWVROz4UGSJQg4OaJAeg_1_5"/>
      <w:bookmarkStart w:id="3259" w:name="_693bea0b_7e83_4ed7_bfe2_99237e78d6da"/>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r>
        <w:rPr>
          <w:rFonts w:ascii="Times New Roman;Times;serif" w:hAnsi="Times New Roman;Times;serif"/>
          <w:sz w:val="20"/>
        </w:rPr>
        <w:t>The following table provides a reconciliation of assets and liabilities measured at fair value using significant unobservable inputs (Level 3) on a recurring basis during the dates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064"/>
        <w:gridCol w:w="326"/>
        <w:gridCol w:w="283"/>
        <w:gridCol w:w="568"/>
        <w:gridCol w:w="326"/>
        <w:gridCol w:w="211"/>
        <w:gridCol w:w="571"/>
        <w:gridCol w:w="326"/>
        <w:gridCol w:w="211"/>
        <w:gridCol w:w="684"/>
        <w:gridCol w:w="326"/>
        <w:gridCol w:w="211"/>
        <w:gridCol w:w="435"/>
        <w:gridCol w:w="266"/>
        <w:gridCol w:w="303"/>
        <w:gridCol w:w="753"/>
        <w:gridCol w:w="266"/>
        <w:gridCol w:w="341"/>
        <w:gridCol w:w="734"/>
      </w:tblGrid>
      <w:tr>
        <w:trPr/>
        <w:tc>
          <w:tcPr>
            <w:tcW w:w="30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945640" cy="175260"/>
                      <wp:effectExtent l="0" t="0" r="0" b="0"/>
                      <wp:wrapNone/>
                      <wp:docPr id="628" name="Frame628"/>
                      <a:graphic xmlns:a="http://schemas.openxmlformats.org/drawingml/2006/main">
                        <a:graphicData uri="http://schemas.microsoft.com/office/word/2010/wordprocessingShape">
                          <wps:wsp>
                            <wps:cNvSpPr txBox="1"/>
                            <wps:spPr>
                              <a:xfrm>
                                <a:off x="0" y="0"/>
                                <a:ext cx="1945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07010" cy="175260"/>
                      <wp:effectExtent l="0" t="0" r="0" b="0"/>
                      <wp:wrapNone/>
                      <wp:docPr id="629" name="Frame6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79705" cy="175260"/>
                      <wp:effectExtent l="0" t="0" r="0" b="0"/>
                      <wp:wrapNone/>
                      <wp:docPr id="630" name="Frame630"/>
                      <a:graphic xmlns:a="http://schemas.openxmlformats.org/drawingml/2006/main">
                        <a:graphicData uri="http://schemas.microsoft.com/office/word/2010/wordprocessingShape">
                          <wps:wsp>
                            <wps:cNvSpPr txBox="1"/>
                            <wps:spPr>
                              <a:xfrm>
                                <a:off x="0" y="0"/>
                                <a:ext cx="179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360680" cy="175260"/>
                      <wp:effectExtent l="0" t="0" r="0" b="0"/>
                      <wp:wrapNone/>
                      <wp:docPr id="631" name="Frame631"/>
                      <a:graphic xmlns:a="http://schemas.openxmlformats.org/drawingml/2006/main">
                        <a:graphicData uri="http://schemas.microsoft.com/office/word/2010/wordprocessingShape">
                          <wps:wsp>
                            <wps:cNvSpPr txBox="1"/>
                            <wps:spPr>
                              <a:xfrm>
                                <a:off x="0" y="0"/>
                                <a:ext cx="360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07010" cy="175260"/>
                      <wp:effectExtent l="0" t="0" r="0" b="0"/>
                      <wp:wrapNone/>
                      <wp:docPr id="632" name="Frame6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33985" cy="175260"/>
                      <wp:effectExtent l="0" t="0" r="0" b="0"/>
                      <wp:wrapNone/>
                      <wp:docPr id="633" name="Frame6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362585" cy="175260"/>
                      <wp:effectExtent l="0" t="0" r="0" b="0"/>
                      <wp:wrapNone/>
                      <wp:docPr id="634" name="Frame63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35" name="Frame6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33985" cy="175260"/>
                      <wp:effectExtent l="0" t="0" r="0" b="0"/>
                      <wp:wrapNone/>
                      <wp:docPr id="636" name="Frame6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434340" cy="175260"/>
                      <wp:effectExtent l="0" t="0" r="0" b="0"/>
                      <wp:wrapNone/>
                      <wp:docPr id="637" name="Frame637"/>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07010" cy="175260"/>
                      <wp:effectExtent l="0" t="0" r="0" b="0"/>
                      <wp:wrapNone/>
                      <wp:docPr id="638" name="Frame6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33985" cy="175260"/>
                      <wp:effectExtent l="0" t="0" r="0" b="0"/>
                      <wp:wrapNone/>
                      <wp:docPr id="639" name="Frame6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76225" cy="175260"/>
                      <wp:effectExtent l="0" t="0" r="0" b="0"/>
                      <wp:wrapNone/>
                      <wp:docPr id="640" name="Frame640"/>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68910" cy="175260"/>
                      <wp:effectExtent l="0" t="0" r="0" b="0"/>
                      <wp:wrapNone/>
                      <wp:docPr id="641" name="Frame641"/>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92405" cy="175260"/>
                      <wp:effectExtent l="0" t="0" r="0" b="0"/>
                      <wp:wrapNone/>
                      <wp:docPr id="642" name="Frame642"/>
                      <a:graphic xmlns:a="http://schemas.openxmlformats.org/drawingml/2006/main">
                        <a:graphicData uri="http://schemas.microsoft.com/office/word/2010/wordprocessingShape">
                          <wps:wsp>
                            <wps:cNvSpPr txBox="1"/>
                            <wps:spPr>
                              <a:xfrm>
                                <a:off x="0" y="0"/>
                                <a:ext cx="192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78155" cy="175260"/>
                      <wp:effectExtent l="0" t="0" r="0" b="0"/>
                      <wp:wrapNone/>
                      <wp:docPr id="643" name="Frame643"/>
                      <a:graphic xmlns:a="http://schemas.openxmlformats.org/drawingml/2006/main">
                        <a:graphicData uri="http://schemas.microsoft.com/office/word/2010/wordprocessingShape">
                          <wps:wsp>
                            <wps:cNvSpPr txBox="1"/>
                            <wps:spPr>
                              <a:xfrm>
                                <a:off x="0" y="0"/>
                                <a:ext cx="4781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68910" cy="175260"/>
                      <wp:effectExtent l="0" t="0" r="0" b="0"/>
                      <wp:wrapNone/>
                      <wp:docPr id="644" name="Frame64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16535" cy="175260"/>
                      <wp:effectExtent l="0" t="0" r="0" b="0"/>
                      <wp:wrapNone/>
                      <wp:docPr id="645" name="Frame645"/>
                      <a:graphic xmlns:a="http://schemas.openxmlformats.org/drawingml/2006/main">
                        <a:graphicData uri="http://schemas.microsoft.com/office/word/2010/wordprocessingShape">
                          <wps:wsp>
                            <wps:cNvSpPr txBox="1"/>
                            <wps:spPr>
                              <a:xfrm>
                                <a:off x="0" y="0"/>
                                <a:ext cx="21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466090" cy="175260"/>
                      <wp:effectExtent l="0" t="0" r="0" b="0"/>
                      <wp:wrapNone/>
                      <wp:docPr id="646" name="Frame646"/>
                      <a:graphic xmlns:a="http://schemas.openxmlformats.org/drawingml/2006/main">
                        <a:graphicData uri="http://schemas.microsoft.com/office/word/2010/wordprocessingShape">
                          <wps:wsp>
                            <wps:cNvSpPr txBox="1"/>
                            <wps:spPr>
                              <a:xfrm>
                                <a:off x="0" y="0"/>
                                <a:ext cx="466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1"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Purchases</w:t>
            </w:r>
          </w:p>
        </w:tc>
        <w:tc>
          <w:tcPr>
            <w:tcW w:w="326" w:type="dxa"/>
            <w:tcBorders/>
            <w:shd w:fill="auto" w:val="clear"/>
            <w:vAlign w:val="center"/>
          </w:tcPr>
          <w:p>
            <w:pPr>
              <w:pStyle w:val="TableContents"/>
              <w:spacing w:before="0" w:after="0"/>
              <w:ind w:left="0" w:right="0" w:hanging="0"/>
              <w:rPr/>
            </w:pPr>
            <w:r>
              <w:rPr/>
              <w:t>​</w:t>
            </w:r>
          </w:p>
        </w:tc>
        <w:tc>
          <w:tcPr>
            <w:tcW w:w="895"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46" w:type="dxa"/>
            <w:gridSpan w:val="2"/>
            <w:tcBorders/>
            <w:shd w:fill="auto" w:val="clear"/>
            <w:vAlign w:val="center"/>
          </w:tcPr>
          <w:p>
            <w:pPr>
              <w:pStyle w:val="TableContents"/>
              <w:spacing w:before="0" w:after="0"/>
              <w:ind w:left="0" w:right="0" w:hanging="0"/>
              <w:jc w:val="center"/>
              <w:rPr/>
            </w:pPr>
            <w:r>
              <w:rPr/>
              <w:t>​</w:t>
            </w:r>
          </w:p>
        </w:tc>
        <w:tc>
          <w:tcPr>
            <w:tcW w:w="266" w:type="dxa"/>
            <w:tcBorders/>
            <w:shd w:fill="auto" w:val="clear"/>
            <w:vAlign w:val="center"/>
          </w:tcPr>
          <w:p>
            <w:pPr>
              <w:pStyle w:val="TableContents"/>
              <w:spacing w:before="0" w:after="0"/>
              <w:ind w:left="0" w:right="0" w:hanging="0"/>
              <w:rPr/>
            </w:pPr>
            <w:r>
              <w:rPr/>
              <w:t>​</w:t>
            </w:r>
          </w:p>
        </w:tc>
        <w:tc>
          <w:tcPr>
            <w:tcW w:w="105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Net change in</w:t>
            </w:r>
          </w:p>
        </w:tc>
        <w:tc>
          <w:tcPr>
            <w:tcW w:w="266" w:type="dxa"/>
            <w:tcBorders/>
            <w:shd w:fill="auto" w:val="clear"/>
            <w:vAlign w:val="center"/>
          </w:tcPr>
          <w:p>
            <w:pPr>
              <w:pStyle w:val="TableContents"/>
              <w:spacing w:before="0" w:after="0"/>
              <w:ind w:left="0" w:right="0" w:hanging="0"/>
              <w:rPr/>
            </w:pPr>
            <w:r>
              <w:rPr/>
              <w:t>​</w:t>
            </w:r>
          </w:p>
        </w:tc>
        <w:tc>
          <w:tcPr>
            <w:tcW w:w="1075"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Net change in</w:t>
            </w:r>
          </w:p>
        </w:tc>
      </w:tr>
      <w:tr>
        <w:trPr/>
        <w:tc>
          <w:tcPr>
            <w:tcW w:w="3064" w:type="dxa"/>
            <w:tcBorders/>
            <w:shd w:fill="auto"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 xml:space="preserve">Three Months Ended </w:t>
            </w:r>
          </w:p>
        </w:tc>
        <w:tc>
          <w:tcPr>
            <w:tcW w:w="326" w:type="dxa"/>
            <w:tcBorders/>
            <w:shd w:fill="auto" w:val="clear"/>
            <w:vAlign w:val="center"/>
          </w:tcPr>
          <w:p>
            <w:pPr>
              <w:pStyle w:val="TableContents"/>
              <w:spacing w:before="0" w:after="0"/>
              <w:ind w:left="0" w:right="0" w:hanging="0"/>
              <w:rPr/>
            </w:pPr>
            <w:r>
              <w:rPr/>
              <w:t>    </w:t>
            </w:r>
          </w:p>
        </w:tc>
        <w:tc>
          <w:tcPr>
            <w:tcW w:w="851"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Beginning </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and </w:t>
            </w:r>
          </w:p>
        </w:tc>
        <w:tc>
          <w:tcPr>
            <w:tcW w:w="326" w:type="dxa"/>
            <w:tcBorders/>
            <w:shd w:fill="auto" w:val="clear"/>
            <w:vAlign w:val="center"/>
          </w:tcPr>
          <w:p>
            <w:pPr>
              <w:pStyle w:val="TableContents"/>
              <w:spacing w:before="0" w:after="0"/>
              <w:ind w:left="0" w:right="0" w:hanging="0"/>
              <w:rPr/>
            </w:pPr>
            <w:r>
              <w:rPr/>
              <w:t>    </w:t>
            </w:r>
          </w:p>
        </w:tc>
        <w:tc>
          <w:tcPr>
            <w:tcW w:w="895"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Sales and</w:t>
            </w:r>
          </w:p>
        </w:tc>
        <w:tc>
          <w:tcPr>
            <w:tcW w:w="326" w:type="dxa"/>
            <w:tcBorders/>
            <w:shd w:fill="auto" w:val="clear"/>
            <w:vAlign w:val="center"/>
          </w:tcPr>
          <w:p>
            <w:pPr>
              <w:pStyle w:val="TableContents"/>
              <w:spacing w:before="0" w:after="0"/>
              <w:ind w:left="0" w:right="0" w:hanging="0"/>
              <w:rPr/>
            </w:pPr>
            <w:r>
              <w:rPr/>
              <w:t>    </w:t>
            </w:r>
          </w:p>
        </w:tc>
        <w:tc>
          <w:tcPr>
            <w:tcW w:w="64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Ending</w:t>
            </w:r>
          </w:p>
        </w:tc>
        <w:tc>
          <w:tcPr>
            <w:tcW w:w="266" w:type="dxa"/>
            <w:tcBorders/>
            <w:shd w:fill="auto" w:val="clear"/>
            <w:vAlign w:val="center"/>
          </w:tcPr>
          <w:p>
            <w:pPr>
              <w:pStyle w:val="TableContents"/>
              <w:spacing w:before="0" w:after="0"/>
              <w:ind w:left="0" w:right="0" w:hanging="0"/>
              <w:rPr/>
            </w:pPr>
            <w:r>
              <w:rPr/>
              <w:t>​</w:t>
            </w:r>
          </w:p>
        </w:tc>
        <w:tc>
          <w:tcPr>
            <w:tcW w:w="1056"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fair value for</w:t>
            </w:r>
          </w:p>
        </w:tc>
        <w:tc>
          <w:tcPr>
            <w:tcW w:w="266" w:type="dxa"/>
            <w:tcBorders/>
            <w:shd w:fill="auto" w:val="clear"/>
            <w:vAlign w:val="center"/>
          </w:tcPr>
          <w:p>
            <w:pPr>
              <w:pStyle w:val="TableContents"/>
              <w:spacing w:before="0" w:after="0"/>
              <w:ind w:left="0" w:right="0" w:hanging="0"/>
              <w:rPr/>
            </w:pPr>
            <w:r>
              <w:rPr/>
              <w:t>​</w:t>
            </w:r>
          </w:p>
        </w:tc>
        <w:tc>
          <w:tcPr>
            <w:tcW w:w="1075"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fair value for</w:t>
            </w:r>
          </w:p>
        </w:tc>
      </w:tr>
      <w:tr>
        <w:trPr/>
        <w:tc>
          <w:tcPr>
            <w:tcW w:w="3064" w:type="dxa"/>
            <w:tcBorders/>
            <w:shd w:fill="auto"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March 31, 2023</w:t>
            </w:r>
          </w:p>
        </w:tc>
        <w:tc>
          <w:tcPr>
            <w:tcW w:w="326" w:type="dxa"/>
            <w:tcBorders/>
            <w:shd w:fill="auto" w:val="clear"/>
            <w:vAlign w:val="center"/>
          </w:tcPr>
          <w:p>
            <w:pPr>
              <w:pStyle w:val="TableContents"/>
              <w:spacing w:before="0" w:after="0"/>
              <w:ind w:left="0" w:right="0" w:hanging="0"/>
              <w:rPr/>
            </w:pPr>
            <w:r>
              <w:rPr/>
              <w:t>    </w:t>
            </w:r>
          </w:p>
        </w:tc>
        <w:tc>
          <w:tcPr>
            <w:tcW w:w="8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Issuances</w:t>
            </w:r>
          </w:p>
        </w:tc>
        <w:tc>
          <w:tcPr>
            <w:tcW w:w="326" w:type="dxa"/>
            <w:tcBorders/>
            <w:shd w:fill="auto" w:val="clear"/>
            <w:vAlign w:val="center"/>
          </w:tcPr>
          <w:p>
            <w:pPr>
              <w:pStyle w:val="TableContents"/>
              <w:spacing w:before="0" w:after="0"/>
              <w:ind w:left="0" w:right="0" w:hanging="0"/>
              <w:rPr/>
            </w:pPr>
            <w:r>
              <w:rPr/>
              <w:t>   </w:t>
            </w:r>
          </w:p>
        </w:tc>
        <w:tc>
          <w:tcPr>
            <w:tcW w:w="8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Settlements</w:t>
            </w:r>
          </w:p>
        </w:tc>
        <w:tc>
          <w:tcPr>
            <w:tcW w:w="326" w:type="dxa"/>
            <w:tcBorders/>
            <w:shd w:fill="auto" w:val="clear"/>
            <w:vAlign w:val="center"/>
          </w:tcPr>
          <w:p>
            <w:pPr>
              <w:pStyle w:val="TableContents"/>
              <w:spacing w:before="0" w:after="0"/>
              <w:ind w:left="0" w:right="0" w:hanging="0"/>
              <w:rPr/>
            </w:pPr>
            <w:r>
              <w:rPr/>
              <w:t>   </w:t>
            </w:r>
          </w:p>
        </w:tc>
        <w:tc>
          <w:tcPr>
            <w:tcW w:w="6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266" w:type="dxa"/>
            <w:tcBorders/>
            <w:shd w:fill="auto" w:val="clear"/>
            <w:vAlign w:val="center"/>
          </w:tcPr>
          <w:p>
            <w:pPr>
              <w:pStyle w:val="TableContents"/>
              <w:spacing w:before="0" w:after="0"/>
              <w:ind w:left="0" w:right="0" w:hanging="0"/>
              <w:rPr/>
            </w:pPr>
            <w:r>
              <w:rPr/>
              <w:t>   </w:t>
            </w:r>
          </w:p>
        </w:tc>
        <w:tc>
          <w:tcPr>
            <w:tcW w:w="1056"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 xml:space="preserve">gains/(losses) </w:t>
            </w:r>
            <w:r>
              <w:rPr>
                <w:rFonts w:ascii="Times New Roman;Times;serif" w:hAnsi="Times New Roman;Times;serif"/>
                <w:sz w:val="12"/>
              </w:rPr>
              <w:t>(1)</w:t>
            </w:r>
            <w:r>
              <w:rPr>
                <w:rFonts w:ascii="Times New Roman;Times;serif" w:hAnsi="Times New Roman;Times;serif"/>
                <w:sz w:val="16"/>
              </w:rPr>
              <w:t>  </w:t>
            </w:r>
          </w:p>
        </w:tc>
        <w:tc>
          <w:tcPr>
            <w:tcW w:w="266"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 xml:space="preserve">gains/(losses) </w:t>
            </w:r>
            <w:r>
              <w:rPr>
                <w:rFonts w:ascii="Times New Roman;Times;serif" w:hAnsi="Times New Roman;Times;serif"/>
                <w:sz w:val="12"/>
              </w:rPr>
              <w:t>(2)</w:t>
            </w:r>
            <w:r>
              <w:rPr>
                <w:rFonts w:ascii="Times New Roman;Times;serif" w:hAnsi="Times New Roman;Times;serif"/>
                <w:sz w:val="16"/>
              </w:rPr>
              <w:t>  </w:t>
            </w:r>
          </w:p>
        </w:tc>
      </w:tr>
      <w:tr>
        <w:trPr/>
        <w:tc>
          <w:tcPr>
            <w:tcW w:w="30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266" w:type="dxa"/>
            <w:tcBorders/>
            <w:shd w:fill="CCEEFF" w:val="clear"/>
            <w:vAlign w:val="center"/>
          </w:tcPr>
          <w:p>
            <w:pPr>
              <w:pStyle w:val="TableContents"/>
              <w:spacing w:before="0" w:after="0"/>
              <w:ind w:left="0" w:right="0" w:hanging="0"/>
              <w:rPr/>
            </w:pPr>
            <w:r>
              <w:rPr/>
              <w:t>​</w:t>
            </w:r>
          </w:p>
        </w:tc>
        <w:tc>
          <w:tcPr>
            <w:tcW w:w="3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26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spacing w:before="0" w:after="0"/>
              <w:ind w:left="0" w:right="0" w:hanging="0"/>
              <w:jc w:val="right"/>
              <w:rPr/>
            </w:pPr>
            <w:r>
              <w:rPr/>
              <w:t>—</w:t>
            </w:r>
          </w:p>
        </w:tc>
      </w:tr>
      <w:tr>
        <w:trPr/>
        <w:tc>
          <w:tcPr>
            <w:tcW w:w="30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Individual forward sale commitments with investors</w:t>
            </w:r>
          </w:p>
        </w:tc>
        <w:tc>
          <w:tcPr>
            <w:tcW w:w="326"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5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66"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w:t>
            </w:r>
          </w:p>
        </w:tc>
        <w:tc>
          <w:tcPr>
            <w:tcW w:w="75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66"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pPr>
            <w:r>
              <w:rPr/>
              <w:t>​</w:t>
            </w:r>
          </w:p>
        </w:tc>
        <w:tc>
          <w:tcPr>
            <w:tcW w:w="734" w:type="dxa"/>
            <w:tcBorders/>
            <w:shd w:fill="auto" w:val="clear"/>
            <w:vAlign w:val="center"/>
          </w:tcPr>
          <w:p>
            <w:pPr>
              <w:pStyle w:val="TableContents"/>
              <w:spacing w:before="0" w:after="0"/>
              <w:ind w:left="0" w:right="0" w:hanging="0"/>
              <w:jc w:val="right"/>
              <w:rPr/>
            </w:pPr>
            <w:r>
              <w:rPr/>
              <w:t>—</w:t>
            </w:r>
          </w:p>
        </w:tc>
      </w:tr>
      <w:tr>
        <w:trPr/>
        <w:tc>
          <w:tcPr>
            <w:tcW w:w="3064" w:type="dxa"/>
            <w:tcBorders/>
            <w:shd w:fill="CCEEFF" w:val="clear"/>
            <w:vAlign w:val="center"/>
          </w:tcPr>
          <w:p>
            <w:pPr>
              <w:pStyle w:val="TableContents"/>
              <w:spacing w:before="0" w:after="0"/>
              <w:ind w:left="0" w:right="0" w:hanging="0"/>
              <w:rPr>
                <w:rFonts w:ascii="Times New Roman;Times;serif" w:hAnsi="Times New Roman;Times;serif"/>
                <w:b/>
                <w:sz w:val="19"/>
              </w:rPr>
            </w:pPr>
            <w:r>
              <w:rPr>
                <w:rFonts w:ascii="Times New Roman;Times;serif" w:hAnsi="Times New Roman;Times;serif"/>
                <w:b/>
                <w:sz w:val="19"/>
              </w:rPr>
              <w:t>March 31, 2022</w:t>
            </w:r>
          </w:p>
        </w:tc>
        <w:tc>
          <w:tcPr>
            <w:tcW w:w="326"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6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03" w:type="dxa"/>
            <w:tcBorders/>
            <w:shd w:fill="CCEEFF" w:val="clear"/>
            <w:vAlign w:val="center"/>
          </w:tcPr>
          <w:p>
            <w:pPr>
              <w:pStyle w:val="TableContents"/>
              <w:spacing w:before="0" w:after="0"/>
              <w:ind w:left="0" w:right="0" w:hanging="0"/>
              <w:rPr/>
            </w:pPr>
            <w:r>
              <w:rPr/>
              <w:t>​</w:t>
            </w:r>
          </w:p>
        </w:tc>
        <w:tc>
          <w:tcPr>
            <w:tcW w:w="753"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734" w:type="dxa"/>
            <w:tcBorders/>
            <w:shd w:fill="CCEEFF" w:val="clear"/>
            <w:vAlign w:val="center"/>
          </w:tcPr>
          <w:p>
            <w:pPr>
              <w:pStyle w:val="TableContents"/>
              <w:spacing w:before="0" w:after="0"/>
              <w:ind w:left="0" w:right="0" w:hanging="0"/>
              <w:rPr/>
            </w:pPr>
            <w:r>
              <w:rPr/>
              <w:t>​</w:t>
            </w:r>
          </w:p>
        </w:tc>
      </w:tr>
      <w:tr>
        <w:trPr/>
        <w:tc>
          <w:tcPr>
            <w:tcW w:w="30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266"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266" w:type="dxa"/>
            <w:tcBorders/>
            <w:shd w:fill="auto" w:val="clear"/>
            <w:vAlign w:val="center"/>
          </w:tcPr>
          <w:p>
            <w:pPr>
              <w:pStyle w:val="TableContents"/>
              <w:spacing w:before="0" w:after="0"/>
              <w:ind w:left="0" w:right="0" w:hanging="0"/>
              <w:rPr/>
            </w:pPr>
            <w:r>
              <w:rPr/>
              <w:t>​</w:t>
            </w:r>
          </w:p>
        </w:tc>
        <w:tc>
          <w:tcPr>
            <w:tcW w:w="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4" w:type="dxa"/>
            <w:tcBorders/>
            <w:shd w:fill="auto" w:val="clear"/>
            <w:vAlign w:val="center"/>
          </w:tcPr>
          <w:p>
            <w:pPr>
              <w:pStyle w:val="TableContents"/>
              <w:spacing w:before="0" w:after="0"/>
              <w:ind w:left="0" w:right="0" w:hanging="0"/>
              <w:jc w:val="right"/>
              <w:rPr/>
            </w:pPr>
            <w:r>
              <w:rPr/>
              <w:t>—</w:t>
            </w:r>
          </w:p>
        </w:tc>
      </w:tr>
      <w:tr>
        <w:trPr/>
        <w:tc>
          <w:tcPr>
            <w:tcW w:w="30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Individual forward sale commitments with investors</w:t>
            </w:r>
          </w:p>
        </w:tc>
        <w:tc>
          <w:tcPr>
            <w:tcW w:w="326" w:type="dxa"/>
            <w:tcBorders/>
            <w:shd w:fill="CCEEFF" w:val="clear"/>
            <w:vAlign w:val="center"/>
          </w:tcPr>
          <w:p>
            <w:pPr>
              <w:pStyle w:val="TableContents"/>
              <w:spacing w:before="0" w:after="0"/>
              <w:ind w:left="0" w:right="0" w:hanging="0"/>
              <w:rPr/>
            </w:pPr>
            <w:r>
              <w:rPr/>
              <w:t>​</w:t>
            </w:r>
          </w:p>
        </w:tc>
        <w:tc>
          <w:tcPr>
            <w:tcW w:w="283" w:type="dxa"/>
            <w:tcBorders/>
            <w:shd w:fill="CCEEFF" w:val="clear"/>
            <w:vAlign w:val="center"/>
          </w:tcPr>
          <w:p>
            <w:pPr>
              <w:pStyle w:val="TableContents"/>
              <w:spacing w:before="0" w:after="0"/>
              <w:ind w:left="0" w:right="0" w:hanging="0"/>
              <w:rPr/>
            </w:pPr>
            <w:r>
              <w:rPr/>
              <w:t>​</w:t>
            </w:r>
          </w:p>
        </w:tc>
        <w:tc>
          <w:tcPr>
            <w:tcW w:w="5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266" w:type="dxa"/>
            <w:tcBorders/>
            <w:shd w:fill="CCEEFF" w:val="clear"/>
            <w:vAlign w:val="center"/>
          </w:tcPr>
          <w:p>
            <w:pPr>
              <w:pStyle w:val="TableContents"/>
              <w:spacing w:before="0" w:after="0"/>
              <w:ind w:left="0" w:right="0" w:hanging="0"/>
              <w:rPr/>
            </w:pPr>
            <w:r>
              <w:rPr/>
              <w:t>​</w:t>
            </w:r>
          </w:p>
        </w:tc>
        <w:tc>
          <w:tcPr>
            <w:tcW w:w="303" w:type="dxa"/>
            <w:tcBorders/>
            <w:shd w:fill="CCEEFF" w:val="clear"/>
            <w:vAlign w:val="center"/>
          </w:tcPr>
          <w:p>
            <w:pPr>
              <w:pStyle w:val="TableContents"/>
              <w:spacing w:before="0" w:after="0"/>
              <w:ind w:left="0" w:right="0" w:hanging="0"/>
              <w:rPr/>
            </w:pPr>
            <w:r>
              <w:rPr/>
              <w:t>​</w:t>
            </w:r>
          </w:p>
        </w:tc>
        <w:tc>
          <w:tcPr>
            <w:tcW w:w="7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26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w:t>
            </w:r>
          </w:p>
        </w:tc>
        <w:tc>
          <w:tcPr>
            <w:tcW w:w="734" w:type="dxa"/>
            <w:tcBorders/>
            <w:shd w:fill="CCEEFF" w:val="clear"/>
            <w:vAlign w:val="center"/>
          </w:tcPr>
          <w:p>
            <w:pPr>
              <w:pStyle w:val="TableContents"/>
              <w:spacing w:before="0" w:after="0"/>
              <w:ind w:left="0" w:right="60" w:hanging="0"/>
              <w:jc w:val="right"/>
              <w:rPr/>
            </w:pPr>
            <w:r>
              <w:rPr/>
              <w:t>—</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___________________________</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 Relating to items held at end of period included in income.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(2) Relating to items held at end of period included in other comprehensive income (loss).</w:t>
      </w:r>
    </w:p>
    <w:p>
      <w:pPr>
        <w:pStyle w:val="TextBody"/>
        <w:spacing w:before="200" w:after="120"/>
        <w:ind w:left="0" w:right="0" w:hanging="0"/>
        <w:jc w:val="both"/>
        <w:rPr>
          <w:rFonts w:ascii="Times New Roman;Times;serif" w:hAnsi="Times New Roman;Times;serif"/>
          <w:sz w:val="20"/>
        </w:rPr>
      </w:pPr>
      <w:r>
        <w:rPr>
          <w:rFonts w:ascii="Times New Roman;Times;serif" w:hAnsi="Times New Roman;Times;serif"/>
          <w:sz w:val="20"/>
        </w:rPr>
        <w:t xml:space="preserve">(Losses) gains on interest rate lock commitments and on forward sale commitments with investors carried at fair value are recorded in “Gain on sale of loans” on the Consolidated Statements of Income.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3260" w:name="Tc_L-RPgBgD-EO-1EDiqdsJHw_29_0"/>
      <w:bookmarkStart w:id="3261" w:name="Tc_y9FQHmhkr0-OceX63ugi0A_28_0"/>
      <w:bookmarkStart w:id="3262" w:name="Tc_hteYs9wZiEuxyci_VxSr2w_27_12"/>
      <w:bookmarkStart w:id="3263" w:name="Tc_ql8-UU-m0kGKZjB9dFXLLg_27_9"/>
      <w:bookmarkStart w:id="3264" w:name="Tc_4zi8pYH_WkWrpR0gW1pTaw_27_0"/>
      <w:bookmarkStart w:id="3265" w:name="Tc_U6aJdh3sR0SHa8qgb-1FFg_26_0"/>
      <w:bookmarkStart w:id="3266" w:name="Tc_BSyUwq8GGEeuK05TBfldNw_25_0"/>
      <w:bookmarkStart w:id="3267" w:name="Tc_0pWv01bBFk2EnwTv1zKhyQ_24_12"/>
      <w:bookmarkStart w:id="3268" w:name="Tc_uGjCsYJhS0SwghByeU_TNQ_24_9"/>
      <w:bookmarkStart w:id="3269" w:name="Tc_jzxEBsQ3akqetAmP6rLEwg_24_0"/>
      <w:bookmarkStart w:id="3270" w:name="Tc_fEbM6k9Aq0m9ApWpU67OOQ_23_0"/>
      <w:bookmarkStart w:id="3271" w:name="Tc_CcZSnsXK_0G7qYxGvn3ZSA_22_0"/>
      <w:bookmarkStart w:id="3272" w:name="Tc_nD2hI3_fUUu_z8rjsonFlA_21_0"/>
      <w:bookmarkStart w:id="3273" w:name="Tc__EDL9aD7SEWyO04CYJPs4Q_20_0"/>
      <w:bookmarkStart w:id="3274" w:name="Tc_ZNpJl_pQ6kSGDP-PRIQSCw_19_0"/>
      <w:bookmarkStart w:id="3275" w:name="Tc_GP2YPY1pg0WVo42cDK13Dg_18_0"/>
      <w:bookmarkStart w:id="3276" w:name="Tc_jGTT-oeh6U-3C-rohibVeg_17_0"/>
      <w:bookmarkStart w:id="3277" w:name="Tc_TsX4zKyN40ydSBGiQc2xzQ_16_0"/>
      <w:bookmarkStart w:id="3278" w:name="Tc_o01oO3rhFEyBJ5boz13FpA_15_0"/>
      <w:bookmarkStart w:id="3279" w:name="Tc_wwlQj82_5kaKoP6UVbwDTg_14_0"/>
      <w:bookmarkStart w:id="3280" w:name="Tc_T4aLbtNHbUGuKXzDounH-w_13_0"/>
      <w:bookmarkStart w:id="3281" w:name="Tc_3fPtztzy4EC87pnQ739jiA_12_6"/>
      <w:bookmarkStart w:id="3282" w:name="Tc_4Qcenyr8-kuUYlwi-jJ__Q_12_3"/>
      <w:bookmarkStart w:id="3283" w:name="Tc_LAGnOGStQUqfb0IGBA91zg_12_0"/>
      <w:bookmarkStart w:id="3284" w:name="Tc_ZC7iWhpO8E-kRWczHmkefA_11_0"/>
      <w:bookmarkStart w:id="3285" w:name="Tc_1X44aEnYAkCNPtrxa-vDFw_10_0"/>
      <w:bookmarkStart w:id="3286" w:name="Tc_nOCcwKlF9U6nnX-3wSJ4BQ_9_0"/>
      <w:bookmarkStart w:id="3287" w:name="Tc_9OZ3bmsTPE-9Bi5x5Yru5A_8_0"/>
      <w:bookmarkStart w:id="3288" w:name="Tc_iFiKmNfCqEubsBUIjHnvqg_7_0"/>
      <w:bookmarkStart w:id="3289" w:name="Tc_MaN_Kw_1GkK7Q-hpqACPyA_6_0"/>
      <w:bookmarkStart w:id="3290" w:name="Tc_3kvFp0tLsU28rnZMP59reQ_5_11"/>
      <w:bookmarkStart w:id="3291" w:name="Tc_v18TPA8MkEOLU_8tx0N23A_5_8"/>
      <w:bookmarkStart w:id="3292" w:name="Tc_psXkH88VtkyV2zfqbvacBw_5_5"/>
      <w:bookmarkStart w:id="3293" w:name="Tc_UbuJrWz15UuiA572X68ePQ_5_2"/>
      <w:bookmarkStart w:id="3294" w:name="Tc_Nwv7ajcpCkKEdkBFMYbEFA_5_0"/>
      <w:bookmarkStart w:id="3295" w:name="Tc_oxXEsjAy2kyhNBkVxrekog_4_11"/>
      <w:bookmarkStart w:id="3296" w:name="Tc_-fW-XsR1W0afUIMZfVmsKw_4_8"/>
      <w:bookmarkStart w:id="3297" w:name="Tc_IWykXaK9Y0COr8Zvi6Sbkg_4_5"/>
      <w:bookmarkStart w:id="3298" w:name="Tc_i7oQo8CC80qHzMf6eH8pTQ_4_2"/>
      <w:bookmarkStart w:id="3299" w:name="Tc_M46M0___hkCNnItCAkwuZg_4_0"/>
      <w:bookmarkStart w:id="3300" w:name="Tc_3h2mb-jzIkCU4obWFKWu4A_3_11"/>
      <w:bookmarkStart w:id="3301" w:name="Tc__7pM2D9COk-EQG3EtVlaUg_3_8"/>
      <w:bookmarkStart w:id="3302" w:name="Tc_j0CLtt2eb0aVzZKGmHSR2Q_3_5"/>
      <w:bookmarkStart w:id="3303" w:name="Tc__UcB7BIEW0WNl1YXPykbvg_3_2"/>
      <w:bookmarkStart w:id="3304" w:name="Tc_oDIrh0vT5USpp-sExqtRxQ_3_0"/>
      <w:bookmarkStart w:id="3305" w:name="Tc_PwMsJ6Vk_UifIHnuz9Wx0A_2_8"/>
      <w:bookmarkStart w:id="3306" w:name="Tc_olNbTbUj8UyKkXGSax0Pmw_2_2"/>
      <w:bookmarkStart w:id="3307" w:name="Tc_EoSuwZFAkkaCu6oCHGgRqA_1_8"/>
      <w:bookmarkStart w:id="3308" w:name="Tc_YIX12CKgI0qzCP5hLemxCg_1_2"/>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r>
        <w:rPr>
          <w:rFonts w:ascii="Times New Roman;Times;serif" w:hAnsi="Times New Roman;Times;serif"/>
          <w:sz w:val="20"/>
        </w:rPr>
        <w:t>The following table provides estimated fair values of the Company’s financial instruments at the dates indicated, whether or not recognized at fair value on the Consolidated Balance Sheets: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288"/>
        <w:gridCol w:w="326"/>
        <w:gridCol w:w="211"/>
        <w:gridCol w:w="931"/>
        <w:gridCol w:w="326"/>
        <w:gridCol w:w="211"/>
        <w:gridCol w:w="931"/>
        <w:gridCol w:w="326"/>
        <w:gridCol w:w="211"/>
        <w:gridCol w:w="931"/>
        <w:gridCol w:w="326"/>
        <w:gridCol w:w="211"/>
        <w:gridCol w:w="976"/>
      </w:tblGrid>
      <w:tr>
        <w:trPr/>
        <w:tc>
          <w:tcPr>
            <w:tcW w:w="42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722880" cy="175260"/>
                      <wp:effectExtent l="0" t="0" r="0" b="0"/>
                      <wp:wrapNone/>
                      <wp:docPr id="647" name="Frame647"/>
                      <a:graphic xmlns:a="http://schemas.openxmlformats.org/drawingml/2006/main">
                        <a:graphicData uri="http://schemas.microsoft.com/office/word/2010/wordprocessingShape">
                          <wps:wsp>
                            <wps:cNvSpPr txBox="1"/>
                            <wps:spPr>
                              <a:xfrm>
                                <a:off x="0" y="0"/>
                                <a:ext cx="2722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07010" cy="175260"/>
                      <wp:effectExtent l="0" t="0" r="0" b="0"/>
                      <wp:wrapNone/>
                      <wp:docPr id="648" name="Frame6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133985" cy="175260"/>
                      <wp:effectExtent l="0" t="0" r="0" b="0"/>
                      <wp:wrapNone/>
                      <wp:docPr id="649" name="Frame6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591185" cy="175260"/>
                      <wp:effectExtent l="0" t="0" r="0" b="0"/>
                      <wp:wrapNone/>
                      <wp:docPr id="650" name="Frame65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07010" cy="175260"/>
                      <wp:effectExtent l="0" t="0" r="0" b="0"/>
                      <wp:wrapNone/>
                      <wp:docPr id="651" name="Frame6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33985" cy="175260"/>
                      <wp:effectExtent l="0" t="0" r="0" b="0"/>
                      <wp:wrapNone/>
                      <wp:docPr id="652" name="Frame6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591185" cy="175260"/>
                      <wp:effectExtent l="0" t="0" r="0" b="0"/>
                      <wp:wrapNone/>
                      <wp:docPr id="653" name="Frame65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07010" cy="175260"/>
                      <wp:effectExtent l="0" t="0" r="0" b="0"/>
                      <wp:wrapNone/>
                      <wp:docPr id="654" name="Frame6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133985" cy="175260"/>
                      <wp:effectExtent l="0" t="0" r="0" b="0"/>
                      <wp:wrapNone/>
                      <wp:docPr id="655" name="Frame6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591185" cy="175260"/>
                      <wp:effectExtent l="0" t="0" r="0" b="0"/>
                      <wp:wrapNone/>
                      <wp:docPr id="656" name="Frame65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07010" cy="175260"/>
                      <wp:effectExtent l="0" t="0" r="0" b="0"/>
                      <wp:wrapNone/>
                      <wp:docPr id="657" name="Frame6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133985" cy="175260"/>
                      <wp:effectExtent l="0" t="0" r="0" b="0"/>
                      <wp:wrapNone/>
                      <wp:docPr id="658" name="Frame6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19760" cy="175260"/>
                      <wp:effectExtent l="0" t="0" r="0" b="0"/>
                      <wp:wrapNone/>
                      <wp:docPr id="659" name="Frame659"/>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8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10"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c>
          <w:tcPr>
            <w:tcW w:w="326" w:type="dxa"/>
            <w:tcBorders/>
            <w:shd w:fill="auto" w:val="clear"/>
            <w:vAlign w:val="center"/>
          </w:tcPr>
          <w:p>
            <w:pPr>
              <w:pStyle w:val="TableContents"/>
              <w:spacing w:before="0" w:after="0"/>
              <w:ind w:left="0" w:right="0" w:hanging="0"/>
              <w:jc w:val="center"/>
              <w:rPr/>
            </w:pPr>
            <w:r>
              <w:rPr/>
              <w:t>​</w:t>
            </w:r>
          </w:p>
        </w:tc>
        <w:tc>
          <w:tcPr>
            <w:tcW w:w="2655"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428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jc w:val="center"/>
              <w:rPr/>
            </w:pPr>
            <w:r>
              <w:rPr/>
              <w:t>​</w:t>
            </w:r>
          </w:p>
        </w:tc>
        <w:tc>
          <w:tcPr>
            <w:tcW w:w="26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Financial Assets</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Carrying</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Carrying</w:t>
            </w:r>
          </w:p>
        </w:tc>
        <w:tc>
          <w:tcPr>
            <w:tcW w:w="326" w:type="dxa"/>
            <w:tcBorders/>
            <w:shd w:fill="auto" w:val="clear"/>
            <w:vAlign w:val="center"/>
          </w:tcPr>
          <w:p>
            <w:pPr>
              <w:pStyle w:val="TableContents"/>
              <w:spacing w:before="0" w:after="0"/>
              <w:ind w:left="0" w:right="0" w:hanging="0"/>
              <w:jc w:val="center"/>
              <w:rPr/>
            </w:pPr>
            <w:r>
              <w:rPr/>
              <w:t>    </w:t>
            </w:r>
          </w:p>
        </w:tc>
        <w:tc>
          <w:tcPr>
            <w:tcW w:w="11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Level 1 inputs:</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0"/>
              <w:ind w:left="0" w:right="0" w:hanging="0"/>
              <w:jc w:val="center"/>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41,437</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Certificates of deposit at other financial institutions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Level 2 inputs: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Securities available-for-sale, at fair value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232,373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232,373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229,252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229,252</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Securities held-to-maturity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Loans held for sale, at fair value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23,310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23,310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FHLB stock, at cost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10,611</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Loans receivable, at fair value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9,870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9,870</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interest receivable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11,144</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Level 3 inputs: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Loans receivable, gross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2,314,626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2,220,243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2,204,817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2,153,769</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MSR, held at lower of cost or fair value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17,599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18,017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35,478</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interest rate locks with customers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Level 2 inputs: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Deposits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2,443,273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2,426,273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2,127,741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2,105,926</w:t>
            </w:r>
          </w:p>
        </w:tc>
      </w:tr>
      <w:tr>
        <w:trPr/>
        <w:tc>
          <w:tcPr>
            <w:tcW w:w="4288"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Borrowings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7,395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186,188</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4288"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Subordinated notes, excluding unamortized debt issuance costs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44,500</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interest payable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42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Level 3 inputs: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4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38</w:t>
            </w:r>
          </w:p>
        </w:tc>
      </w:tr>
    </w:tbl>
    <w:p>
      <w:pPr>
        <w:pStyle w:val="TextBody"/>
        <w:spacing w:before="0" w:after="0"/>
        <w:ind w:left="0" w:right="0" w:hanging="0"/>
        <w:rPr/>
      </w:pPr>
      <w:r>
        <w:rPr/>
        <w:t>​</w:t>
      </w:r>
    </w:p>
    <w:p>
      <w:pPr>
        <w:pStyle w:val="TextBody"/>
        <w:spacing w:before="0" w:after="200"/>
        <w:ind w:left="0" w:right="0" w:hanging="0"/>
        <w:jc w:val="both"/>
        <w:rPr/>
      </w:pPr>
      <w:r>
        <w:rPr/>
        <w:t>​</w:t>
      </w:r>
    </w:p>
    <w:p>
      <w:pPr>
        <w:pStyle w:val="TextBody"/>
        <w:spacing w:before="0" w:after="20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12 – EARNINGS PER SHARE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computes earnings per share using the two-class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entity.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3309" w:name="Tc_M92cw36wRkONOA87jE_GdQ_12_0"/>
      <w:bookmarkStart w:id="3310" w:name="Tc_fRsNfxad5kW4OVGaCEEZ2g_11_5"/>
      <w:bookmarkStart w:id="3311" w:name="Tc_W1M7ieO0nEyNtwkxxFDnWQ_11_2"/>
      <w:bookmarkStart w:id="3312" w:name="Tc_K66C_7Wg7kGuiCnLG5yGqw_11_0"/>
      <w:bookmarkStart w:id="3313" w:name="Tc_9TsnQvTozkqD29G_yVRssQ_10_5"/>
      <w:bookmarkStart w:id="3314" w:name="Tc_FEo6pgvYc0KGWHHuYhEqXw_10_2"/>
      <w:bookmarkStart w:id="3315" w:name="Tc_1jq9pGgUsUyai4ol4F8a_g_10_0"/>
      <w:bookmarkStart w:id="3316" w:name="Tc_l1l3URtrF0Ohze9-nWMdZg_9_0"/>
      <w:bookmarkStart w:id="3317" w:name="Tc_kIhIBG_50UKQhawuoI7uNQ_8_0"/>
      <w:bookmarkStart w:id="3318" w:name="Tc_0W5d1nDsQkaXXwezX3qljw_7_0"/>
      <w:bookmarkStart w:id="3319" w:name="Tc_pkNyDVuSEUKx6VimT3eVVw_6_0"/>
      <w:bookmarkStart w:id="3320" w:name="Tc_v-bA22cnRUS8PDhdUhM2BA_5_5"/>
      <w:bookmarkStart w:id="3321" w:name="Tc_Kn2Ht9WgVECnEH9bqDKLIw_5_2"/>
      <w:bookmarkStart w:id="3322" w:name="Tc_0qRZu8SQOEesnlvG8VZaXA_5_0"/>
      <w:bookmarkStart w:id="3323" w:name="Tc_QzOad3MIyk2UkfeqmVNHaw_4_0"/>
      <w:bookmarkStart w:id="3324" w:name="Tc_HSFv3b3PxU6TNpxVn9afJg_3_5"/>
      <w:bookmarkStart w:id="3325" w:name="Tc_eNlw8n-bZECEBFanYLmh7Q_3_2"/>
      <w:bookmarkStart w:id="3326" w:name="Tc_Nqm9Csva8kSltZ7zw81agg_3_0"/>
      <w:bookmarkStart w:id="3327" w:name="Tc_nZBhEzIBskqRLxrEM2ASmw_2_5"/>
      <w:bookmarkStart w:id="3328" w:name="Tc_ltKZsO6urUuK-VHkrc-n3Q_2_2"/>
      <w:bookmarkStart w:id="3329" w:name="Tc_avu7UPLFQkqkonNdtPWcAQ_2_0"/>
      <w:bookmarkStart w:id="3330" w:name="Tc_mITpba287kar_-l2Mm_l8w_1_2"/>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r>
        <w:rPr>
          <w:rFonts w:ascii="Times New Roman;Times;serif" w:hAnsi="Times New Roman;Times;serif"/>
          <w:sz w:val="20"/>
        </w:rPr>
        <w:t>The following table presents a reconciliation of the components used to compute basic and diluted earnings per share at or for the dates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798"/>
        <w:gridCol w:w="326"/>
        <w:gridCol w:w="266"/>
        <w:gridCol w:w="1176"/>
        <w:gridCol w:w="137"/>
        <w:gridCol w:w="266"/>
        <w:gridCol w:w="1236"/>
      </w:tblGrid>
      <w:tr>
        <w:trPr/>
        <w:tc>
          <w:tcPr>
            <w:tcW w:w="67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4316730" cy="175260"/>
                      <wp:effectExtent l="0" t="0" r="0" b="0"/>
                      <wp:wrapNone/>
                      <wp:docPr id="660" name="Frame660"/>
                      <a:graphic xmlns:a="http://schemas.openxmlformats.org/drawingml/2006/main">
                        <a:graphicData uri="http://schemas.microsoft.com/office/word/2010/wordprocessingShape">
                          <wps:wsp>
                            <wps:cNvSpPr txBox="1"/>
                            <wps:spPr>
                              <a:xfrm>
                                <a:off x="0" y="0"/>
                                <a:ext cx="43167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07010" cy="175260"/>
                      <wp:effectExtent l="0" t="0" r="0" b="0"/>
                      <wp:wrapNone/>
                      <wp:docPr id="661" name="Frame6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168910" cy="175260"/>
                      <wp:effectExtent l="0" t="0" r="0" b="0"/>
                      <wp:wrapNone/>
                      <wp:docPr id="662" name="Frame66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746760" cy="175260"/>
                      <wp:effectExtent l="0" t="0" r="0" b="0"/>
                      <wp:wrapNone/>
                      <wp:docPr id="663" name="Frame663"/>
                      <a:graphic xmlns:a="http://schemas.openxmlformats.org/drawingml/2006/main">
                        <a:graphicData uri="http://schemas.microsoft.com/office/word/2010/wordprocessingShape">
                          <wps:wsp>
                            <wps:cNvSpPr txBox="1"/>
                            <wps:spPr>
                              <a:xfrm>
                                <a:off x="0" y="0"/>
                                <a:ext cx="746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86995" cy="175260"/>
                      <wp:effectExtent l="0" t="0" r="0" b="0"/>
                      <wp:wrapNone/>
                      <wp:docPr id="664" name="Frame664"/>
                      <a:graphic xmlns:a="http://schemas.openxmlformats.org/drawingml/2006/main">
                        <a:graphicData uri="http://schemas.microsoft.com/office/word/2010/wordprocessingShape">
                          <wps:wsp>
                            <wps:cNvSpPr txBox="1"/>
                            <wps:spPr>
                              <a:xfrm>
                                <a:off x="0" y="0"/>
                                <a:ext cx="86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68910" cy="175260"/>
                      <wp:effectExtent l="0" t="0" r="0" b="0"/>
                      <wp:wrapNone/>
                      <wp:docPr id="665" name="Frame665"/>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784860" cy="175260"/>
                      <wp:effectExtent l="0" t="0" r="0" b="0"/>
                      <wp:wrapNone/>
                      <wp:docPr id="666" name="Frame666"/>
                      <a:graphic xmlns:a="http://schemas.openxmlformats.org/drawingml/2006/main">
                        <a:graphicData uri="http://schemas.microsoft.com/office/word/2010/wordprocessingShape">
                          <wps:wsp>
                            <wps:cNvSpPr txBox="1"/>
                            <wps:spPr>
                              <a:xfrm>
                                <a:off x="0" y="0"/>
                                <a:ext cx="784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9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8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Three Months Ended March 31, </w:t>
            </w:r>
          </w:p>
        </w:tc>
      </w:tr>
      <w:tr>
        <w:trPr/>
        <w:tc>
          <w:tcPr>
            <w:tcW w:w="67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Numerator </w:t>
            </w:r>
          </w:p>
        </w:tc>
        <w:tc>
          <w:tcPr>
            <w:tcW w:w="326" w:type="dxa"/>
            <w:tcBorders/>
            <w:shd w:fill="auto" w:val="clear"/>
            <w:vAlign w:val="center"/>
          </w:tcPr>
          <w:p>
            <w:pPr>
              <w:pStyle w:val="TableContents"/>
              <w:spacing w:before="0" w:after="0"/>
              <w:ind w:left="0" w:right="0" w:hanging="0"/>
              <w:jc w:val="center"/>
              <w:rPr/>
            </w:pPr>
            <w:r>
              <w:rPr/>
              <w:t>    </w:t>
            </w:r>
          </w:p>
        </w:tc>
        <w:tc>
          <w:tcPr>
            <w:tcW w:w="14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37" w:type="dxa"/>
            <w:tcBorders/>
            <w:shd w:fill="auto" w:val="clear"/>
            <w:vAlign w:val="center"/>
          </w:tcPr>
          <w:p>
            <w:pPr>
              <w:pStyle w:val="TableContents"/>
              <w:spacing w:before="0" w:after="0"/>
              <w:ind w:left="0" w:right="0" w:hanging="0"/>
              <w:jc w:val="center"/>
              <w:rPr/>
            </w:pPr>
            <w:r>
              <w:rPr/>
              <w:t>​</w:t>
            </w:r>
          </w:p>
        </w:tc>
        <w:tc>
          <w:tcPr>
            <w:tcW w:w="15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67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spacing w:before="0" w:after="0"/>
              <w:ind w:left="0" w:right="0" w:hanging="0"/>
              <w:jc w:val="center"/>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8,212</w:t>
            </w:r>
          </w:p>
        </w:tc>
        <w:tc>
          <w:tcPr>
            <w:tcW w:w="137"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6,870</w:t>
            </w:r>
          </w:p>
        </w:tc>
      </w:tr>
      <w:tr>
        <w:trPr/>
        <w:tc>
          <w:tcPr>
            <w:tcW w:w="67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Dividends and undistributed earnings allocated to participating securities</w:t>
            </w:r>
          </w:p>
        </w:tc>
        <w:tc>
          <w:tcPr>
            <w:tcW w:w="326" w:type="dxa"/>
            <w:tcBorders/>
            <w:shd w:fill="auto" w:val="clear"/>
            <w:vAlign w:val="center"/>
          </w:tcPr>
          <w:p>
            <w:pPr>
              <w:pStyle w:val="TableContents"/>
              <w:spacing w:before="0" w:after="0"/>
              <w:ind w:left="0" w:right="0" w:hanging="0"/>
              <w:jc w:val="center"/>
              <w:rPr/>
            </w:pPr>
            <w:r>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137" w:type="dxa"/>
            <w:tcBorders/>
            <w:shd w:fill="auto" w:val="clear"/>
            <w:vAlign w:val="center"/>
          </w:tcPr>
          <w:p>
            <w:pPr>
              <w:pStyle w:val="TableContents"/>
              <w:spacing w:before="0" w:after="0"/>
              <w:ind w:left="0" w:right="0" w:hanging="0"/>
              <w:jc w:val="right"/>
              <w:rPr/>
            </w:pPr>
            <w:r>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67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income available to common shareholders </w:t>
            </w:r>
          </w:p>
        </w:tc>
        <w:tc>
          <w:tcPr>
            <w:tcW w:w="326" w:type="dxa"/>
            <w:tcBorders/>
            <w:shd w:fill="CCEEFF" w:val="clear"/>
            <w:vAlign w:val="center"/>
          </w:tcPr>
          <w:p>
            <w:pPr>
              <w:pStyle w:val="TableContents"/>
              <w:spacing w:before="0" w:after="0"/>
              <w:ind w:left="0" w:right="0" w:hanging="0"/>
              <w:jc w:val="center"/>
              <w:rPr/>
            </w:pPr>
            <w:r>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8,065</w:t>
            </w:r>
          </w:p>
        </w:tc>
        <w:tc>
          <w:tcPr>
            <w:tcW w:w="137" w:type="dxa"/>
            <w:tcBorders/>
            <w:shd w:fill="CCEEFF" w:val="clear"/>
            <w:vAlign w:val="center"/>
          </w:tcPr>
          <w:p>
            <w:pPr>
              <w:pStyle w:val="TableContents"/>
              <w:spacing w:before="0" w:after="0"/>
              <w:ind w:left="0" w:right="0" w:hanging="0"/>
              <w:jc w:val="right"/>
              <w:rPr/>
            </w:pPr>
            <w:r>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6,743</w:t>
            </w:r>
          </w:p>
        </w:tc>
      </w:tr>
      <w:tr>
        <w:trPr/>
        <w:tc>
          <w:tcPr>
            <w:tcW w:w="67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(shown as actual):</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176" w:type="dxa"/>
            <w:tcBorders/>
            <w:shd w:fill="auto" w:val="clear"/>
            <w:vAlign w:val="center"/>
          </w:tcPr>
          <w:p>
            <w:pPr>
              <w:pStyle w:val="TableContents"/>
              <w:spacing w:before="0" w:after="0"/>
              <w:ind w:left="0" w:right="0" w:hanging="0"/>
              <w:jc w:val="right"/>
              <w:rPr/>
            </w:pPr>
            <w:r>
              <w:rPr/>
              <w:t>​</w:t>
            </w:r>
          </w:p>
        </w:tc>
        <w:tc>
          <w:tcPr>
            <w:tcW w:w="137"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1236" w:type="dxa"/>
            <w:tcBorders/>
            <w:shd w:fill="auto" w:val="clear"/>
            <w:vAlign w:val="center"/>
          </w:tcPr>
          <w:p>
            <w:pPr>
              <w:pStyle w:val="TableContents"/>
              <w:spacing w:before="0" w:after="0"/>
              <w:ind w:left="0" w:right="0" w:hanging="0"/>
              <w:jc w:val="right"/>
              <w:rPr/>
            </w:pPr>
            <w:r>
              <w:rPr/>
              <w:t>​</w:t>
            </w:r>
          </w:p>
        </w:tc>
      </w:tr>
      <w:tr>
        <w:trPr/>
        <w:tc>
          <w:tcPr>
            <w:tcW w:w="67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weighted average common shares outstanding</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 </w:t>
            </w:r>
          </w:p>
        </w:tc>
        <w:tc>
          <w:tcPr>
            <w:tcW w:w="11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7,623,580</w:t>
            </w:r>
          </w:p>
        </w:tc>
        <w:tc>
          <w:tcPr>
            <w:tcW w:w="137"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 </w:t>
            </w:r>
          </w:p>
        </w:tc>
        <w:tc>
          <w:tcPr>
            <w:tcW w:w="12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8,023,466</w:t>
            </w:r>
          </w:p>
        </w:tc>
      </w:tr>
      <w:tr>
        <w:trPr/>
        <w:tc>
          <w:tcPr>
            <w:tcW w:w="67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shares</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154,838</w:t>
            </w:r>
          </w:p>
        </w:tc>
        <w:tc>
          <w:tcPr>
            <w:tcW w:w="137" w:type="dxa"/>
            <w:tcBorders/>
            <w:shd w:fill="auto" w:val="clear"/>
            <w:vAlign w:val="center"/>
          </w:tcPr>
          <w:p>
            <w:pPr>
              <w:pStyle w:val="TableContents"/>
              <w:spacing w:before="0" w:after="0"/>
              <w:ind w:left="0" w:right="0" w:hanging="0"/>
              <w:jc w:val="right"/>
              <w:rPr/>
            </w:pPr>
            <w:r>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149,828</w:t>
            </w:r>
          </w:p>
        </w:tc>
      </w:tr>
      <w:tr>
        <w:trPr/>
        <w:tc>
          <w:tcPr>
            <w:tcW w:w="67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weighted average common shares outstanding</w:t>
            </w:r>
          </w:p>
        </w:tc>
        <w:tc>
          <w:tcPr>
            <w:tcW w:w="326" w:type="dxa"/>
            <w:tcBorders/>
            <w:shd w:fill="CCEEFF" w:val="clear"/>
            <w:vAlign w:val="center"/>
          </w:tcPr>
          <w:p>
            <w:pPr>
              <w:pStyle w:val="TableContents"/>
              <w:spacing w:before="0" w:after="0"/>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7,778,418</w:t>
            </w:r>
          </w:p>
        </w:tc>
        <w:tc>
          <w:tcPr>
            <w:tcW w:w="137" w:type="dxa"/>
            <w:tcBorders/>
            <w:shd w:fill="CCEEFF" w:val="clear"/>
            <w:vAlign w:val="center"/>
          </w:tcPr>
          <w:p>
            <w:pPr>
              <w:pStyle w:val="TableContents"/>
              <w:spacing w:before="0" w:after="0"/>
              <w:ind w:left="0" w:right="0" w:hanging="0"/>
              <w:jc w:val="right"/>
              <w:rPr/>
            </w:pPr>
            <w:r>
              <w:rPr/>
              <w:t>​</w:t>
            </w:r>
          </w:p>
        </w:tc>
        <w:tc>
          <w:tcPr>
            <w:tcW w:w="26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8,173,294</w:t>
            </w:r>
          </w:p>
        </w:tc>
      </w:tr>
      <w:tr>
        <w:trPr/>
        <w:tc>
          <w:tcPr>
            <w:tcW w:w="6798"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Basic earnings per share </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37" w:type="dxa"/>
            <w:tcBorders/>
            <w:shd w:fill="auto" w:val="clear"/>
            <w:vAlign w:val="center"/>
          </w:tcPr>
          <w:p>
            <w:pPr>
              <w:pStyle w:val="TableContents"/>
              <w:spacing w:before="0" w:after="0"/>
              <w:ind w:left="0" w:right="0" w:hanging="0"/>
              <w:jc w:val="right"/>
              <w:rPr/>
            </w:pPr>
            <w:r>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0.84</w:t>
            </w:r>
          </w:p>
        </w:tc>
      </w:tr>
      <w:tr>
        <w:trPr/>
        <w:tc>
          <w:tcPr>
            <w:tcW w:w="6798"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Diluted earnings per share </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37" w:type="dxa"/>
            <w:tcBorders/>
            <w:shd w:fill="CCEEFF" w:val="clear"/>
            <w:vAlign w:val="center"/>
          </w:tcPr>
          <w:p>
            <w:pPr>
              <w:pStyle w:val="TableContents"/>
              <w:spacing w:before="0" w:after="0"/>
              <w:ind w:left="0" w:right="0" w:hanging="0"/>
              <w:jc w:val="right"/>
              <w:rPr/>
            </w:pPr>
            <w:r>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r>
      <w:tr>
        <w:trPr/>
        <w:tc>
          <w:tcPr>
            <w:tcW w:w="67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Potentially dilutive weighted average share options that were not included in the computation of diluted earnings per share because to do so would be anti-dilutive.</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1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37,227</w:t>
            </w:r>
          </w:p>
        </w:tc>
        <w:tc>
          <w:tcPr>
            <w:tcW w:w="137" w:type="dxa"/>
            <w:tcBorders/>
            <w:shd w:fill="auto" w:val="clear"/>
            <w:vAlign w:val="center"/>
          </w:tcPr>
          <w:p>
            <w:pPr>
              <w:pStyle w:val="TableContents"/>
              <w:spacing w:before="0" w:after="0"/>
              <w:ind w:left="0" w:right="0" w:hanging="0"/>
              <w:jc w:val="right"/>
              <w:rPr/>
            </w:pPr>
            <w:r>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2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45,564</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________________________________</w:t>
      </w:r>
    </w:p>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Earnings per share for the three months ended March 31, 2022, was revised due to the improper inclusion of certain unvested shares in the denominator of basic and diluted earnings per share; as a result, earnings per share was understated for the three months ended March 31, 2022. Basic earnings per share for that period was updated to $0.84</w:t>
            </w:r>
            <w:r>
              <w:rPr>
                <w:caps w:val="false"/>
                <w:smallCaps w:val="false"/>
              </w:rPr>
              <w:t xml:space="preserve">  </w:t>
            </w:r>
            <w:r>
              <w:rPr>
                <w:rFonts w:ascii="Times New Roman;Times;serif" w:hAnsi="Times New Roman;Times;serif"/>
                <w:b w:val="false"/>
                <w:i w:val="false"/>
                <w:caps w:val="false"/>
                <w:smallCaps w:val="false"/>
                <w:sz w:val="20"/>
              </w:rPr>
              <w:t>from $0.83</w:t>
            </w:r>
            <w:r>
              <w:rPr>
                <w:caps w:val="false"/>
                <w:smallCaps w:val="false"/>
              </w:rPr>
              <w:t xml:space="preserve"> </w:t>
            </w:r>
            <w:r>
              <w:rPr>
                <w:rFonts w:ascii="Times New Roman;Times;serif" w:hAnsi="Times New Roman;Times;serif"/>
                <w:b w:val="false"/>
                <w:i w:val="false"/>
                <w:caps w:val="false"/>
                <w:smallCaps w:val="false"/>
                <w:sz w:val="20"/>
              </w:rPr>
              <w:t>as previously reported. Diluted earnings per share was updated to $0.83, from $0.81</w:t>
            </w:r>
            <w:r>
              <w:rPr>
                <w:caps w:val="false"/>
                <w:smallCaps w:val="false"/>
              </w:rPr>
              <w:t xml:space="preserve"> </w:t>
            </w:r>
            <w:r>
              <w:rPr>
                <w:rFonts w:ascii="Times New Roman;Times;serif" w:hAnsi="Times New Roman;Times;serif"/>
                <w:b w:val="false"/>
                <w:i w:val="false"/>
                <w:caps w:val="false"/>
                <w:smallCaps w:val="false"/>
                <w:sz w:val="20"/>
              </w:rPr>
              <w:t>as previously reported.</w:t>
            </w:r>
          </w:p>
        </w:tc>
      </w:tr>
    </w:tbl>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13 – STOCK-BASED COMPENSATION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Stock Options and Restricted Stock</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On May 17, 2018, the shareholders of FS Bancorp, Inc. approved the 2018 Equity Incentive Plan (the “2018 Plan”) that authorized 1.3 million shares of the Company’s common stock to be awarded. The 2018 Plan provides for the grant of incentive stock options, nonqualified stock options, and up to 326,000 shares as restricted stock awards (“RSAs”) to directors, emeritus directors, officers, employees or advisory directors of the Company.  At March 31, 2023, there were 356,532 stock option awards and 114,222 RSAs available to be granted under the 2018 Plan.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Total share-based compensation expense was $654,000 and $451,000 for the three months ended March 31, 2023 and 2022, respectively.</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Stock Options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2018 Plan consists of stock option awards that may be granted as incentive stock options or nonqualified stock options.  Stock option awards generally vest over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or three-year period for independent directors or over a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or five-year period for employees and officers with 20% vesting on the anniversary date of each grant date as long as the award recipient remains in service to the Company.  The options are exercisable after vesting for up to the remaining term of the original grant.  The maximum term of the options granted is 10 years. Any unexercised stock options will expire 10 years after the grant date or sooner in the event of the award recipient’s termination of service with the Company or the Bank.  The fair value of each stock option award is estimated on the grant date using a Black-Scholes Option pricing model that uses the following assumptions. The dividend yield is based on the current quarterly dividend in effect at the time of the grant. Historical employment data is used to estimate the forfeiture rate. The Company elected to use Staff Accounting Bulletin 107, simplified expected term calculation for the “Share-Based Payments” method permitted by the SEC to calculate the expected term. This method uses the vesting term of an option along with the contractual term, setting the expected life at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3331" w:name="Tc_BkAp7gZRIU2CbdIlDf3b7g_8_4"/>
      <w:bookmarkStart w:id="3332" w:name="Tc_jYQSeToh8E2MEZoKkR03BA_8_0"/>
      <w:bookmarkStart w:id="3333" w:name="Tc_v318PZszMEGdMqGWuTk-Gg_7_0"/>
      <w:bookmarkStart w:id="3334" w:name="Tc_135SVVVY9ki8aVIw-IxSEA_6_0"/>
      <w:bookmarkStart w:id="3335" w:name="Tc_OjV-jugQA06bgM6LdHRt4g_5_0"/>
      <w:bookmarkStart w:id="3336" w:name="Tc_lRrraxOxl0eYjEFSvwUl4A_4_4"/>
      <w:bookmarkStart w:id="3337" w:name="Tc_S0BpDdHTjka_61ThT3xwcA_4_0"/>
      <w:bookmarkStart w:id="3338" w:name="Tc_IEqsULHGqUujg4LJY92bxg_3_4"/>
      <w:bookmarkStart w:id="3339" w:name="Tc_1_G74GuQvESXwGjiim_tXA_3_2"/>
      <w:bookmarkStart w:id="3340" w:name="Tc_c6Ina2N1KUqdKpEM5KhpYw_3_0"/>
      <w:bookmarkStart w:id="3341" w:name="Tc_WBQ69PV89kiJ58-VclCtEQ_2_4"/>
      <w:bookmarkStart w:id="3342" w:name="Tc_FLkWVxNZYkiPszZbxqKx8g_1_4"/>
      <w:bookmarkStart w:id="3343" w:name="Tc_vq9Pw7rqaEiUdI5Z-U36pw_13_9"/>
      <w:bookmarkStart w:id="3344" w:name="Tc_1Ir_PEAgfEqIA0tSqwoLkg_13_4"/>
      <w:bookmarkStart w:id="3345" w:name="Tc_9YkksufgJUa5L0KRgMSklA_13_0"/>
      <w:bookmarkStart w:id="3346" w:name="Tc_RWEQ2EwlLUKE3k6ivPonpQ_11_9"/>
      <w:bookmarkStart w:id="3347" w:name="Tc_5HzPKgjFd0SkCPxusfdSUA_11_4"/>
      <w:bookmarkStart w:id="3348" w:name="Tc_-gvDYYBNoUSVj_xwst5POw_11_0"/>
      <w:bookmarkStart w:id="3349" w:name="Tc_TCHIbiN32kGoViW7ZX8bUA_9_9"/>
      <w:bookmarkStart w:id="3350" w:name="Tc_UsRrljjNFESKyBQ84IFDWQ_9_4"/>
      <w:bookmarkStart w:id="3351" w:name="Tc_2mNazI6Nt0OinAu9S7CdYg_9_0"/>
      <w:bookmarkStart w:id="3352" w:name="Tc_bglplVYVDUOs6psbkmBgAQ_8_10"/>
      <w:bookmarkStart w:id="3353" w:name="Tc__zaGodjzxEel0Kfcl3carA_8_7"/>
      <w:bookmarkStart w:id="3354" w:name="Tc_dBPOYwpT-EyloJbo9f4sCw_8_0"/>
      <w:bookmarkStart w:id="3355" w:name="Tc_ZcG2BISTV0K-1YZK4a1OIA_7_9"/>
      <w:bookmarkStart w:id="3356" w:name="Tc_io22JUz7xk6o7I4WX2CqUA_7_7"/>
      <w:bookmarkStart w:id="3357" w:name="Tc_S6F2x4Ns8022xBsqkUbAwQ_7_4"/>
      <w:bookmarkStart w:id="3358" w:name="Tc_rI5TxkKwckaTlXUmL-N84A_7_0"/>
      <w:bookmarkStart w:id="3359" w:name="Tc_oqGqZCf_0Em_kE-F44NU3w_6_10"/>
      <w:bookmarkStart w:id="3360" w:name="Tc_SrttGrKnTUicJ21aZemTdQ_6_7"/>
      <w:bookmarkStart w:id="3361" w:name="Tc_lKVrvfuHyUuOKAI6l9WvCg_6_5"/>
      <w:bookmarkStart w:id="3362" w:name="Tc_eJVuF5hybk-ivP6Mx36oMw_6_4"/>
      <w:bookmarkStart w:id="3363" w:name="Tc_FWIOMH9GxkCDE5jHocbr3g_6_2"/>
      <w:bookmarkStart w:id="3364" w:name="Tc_iuOACmmoRkGYRoiyDyZdQQ_6_0"/>
      <w:bookmarkStart w:id="3365" w:name="Tc_UzodAZ9CE0ujNfweRsyWHw_5_9"/>
      <w:bookmarkStart w:id="3366" w:name="Tc_1XwlNclcv0OqvyCw6aBpQQ_5_4"/>
      <w:bookmarkStart w:id="3367" w:name="Tc_IH4hvCHd3UyVEW8FyFvyzA_5_0"/>
      <w:bookmarkStart w:id="3368" w:name="Tc_yfeDPtSmyE-PbGT55E0cew_4_9"/>
      <w:bookmarkStart w:id="3369" w:name="Tc_epHEwWDFzUiJzlLe1MjV2w_4_7"/>
      <w:bookmarkStart w:id="3370" w:name="Tc_xNB1hvopyE-zFHdXXxX0yg_4_4"/>
      <w:bookmarkStart w:id="3371" w:name="Tc_3XwIV64MzUWUR7yXUZflMw_4_2"/>
      <w:bookmarkStart w:id="3372" w:name="Tc_s2_qBBDXDEu_PJ_dw8LYZA_3_9"/>
      <w:bookmarkStart w:id="3373" w:name="Tc_rWytXgK3uUitZeqcix8dUA_3_7"/>
      <w:bookmarkStart w:id="3374" w:name="Tc_mFRUNje4uUS9OYKEdLOvOw_3_4"/>
      <w:bookmarkStart w:id="3375" w:name="Tc_ziCzu_0Z502WGxOhfeFnuQ_2_7"/>
      <w:bookmarkStart w:id="3376" w:name="Tc_jWb5I4K5hU2AkG79obUR4Q_2_4"/>
      <w:bookmarkStart w:id="3377" w:name="Tc_i20vZMpBj0mN7N7UbQmurg_1_7"/>
      <w:bookmarkStart w:id="3378" w:name="_bb6deb4c_5678_4e08_8548_501d3d274b43"/>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r>
        <w:rPr>
          <w:rFonts w:ascii="Times New Roman;Times;serif" w:hAnsi="Times New Roman;Times;serif"/>
          <w:sz w:val="20"/>
        </w:rPr>
        <w:t>5.5 years for one-year vesting, 5.75 years for two-year vesting, 6.0 years for three-year vesting, and 6.5 years for five-year vesting.</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summary of the Company’s stock option awards during the dates indicated (shown as actual):</w:t>
      </w:r>
    </w:p>
    <w:p>
      <w:pPr>
        <w:pStyle w:val="TextBody"/>
        <w:spacing w:before="0" w:after="200"/>
        <w:ind w:left="0" w:right="0" w:hanging="0"/>
        <w:jc w:val="both"/>
        <w:rPr/>
      </w:pPr>
      <w:r>
        <w:rPr/>
        <w:t>​</w:t>
      </w:r>
    </w:p>
    <w:tbl>
      <w:tblPr>
        <w:tblW w:w="10205" w:type="dxa"/>
        <w:jc w:val="left"/>
        <w:tblInd w:w="0" w:type="dxa"/>
        <w:tblCellMar>
          <w:top w:w="0" w:type="dxa"/>
          <w:left w:w="0" w:type="dxa"/>
          <w:bottom w:w="0" w:type="dxa"/>
          <w:right w:w="0" w:type="dxa"/>
        </w:tblCellMar>
      </w:tblPr>
      <w:tblGrid>
        <w:gridCol w:w="3782"/>
        <w:gridCol w:w="326"/>
        <w:gridCol w:w="781"/>
        <w:gridCol w:w="326"/>
        <w:gridCol w:w="336"/>
        <w:gridCol w:w="910"/>
        <w:gridCol w:w="326"/>
        <w:gridCol w:w="1741"/>
        <w:gridCol w:w="326"/>
        <w:gridCol w:w="228"/>
        <w:gridCol w:w="1123"/>
      </w:tblGrid>
      <w:tr>
        <w:trPr/>
        <w:tc>
          <w:tcPr>
            <w:tcW w:w="37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401570" cy="175260"/>
                      <wp:effectExtent l="0" t="0" r="0" b="0"/>
                      <wp:wrapNone/>
                      <wp:docPr id="667" name="Frame667"/>
                      <a:graphic xmlns:a="http://schemas.openxmlformats.org/drawingml/2006/main">
                        <a:graphicData uri="http://schemas.microsoft.com/office/word/2010/wordprocessingShape">
                          <wps:wsp>
                            <wps:cNvSpPr txBox="1"/>
                            <wps:spPr>
                              <a:xfrm>
                                <a:off x="0" y="0"/>
                                <a:ext cx="2401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07010" cy="175260"/>
                      <wp:effectExtent l="0" t="0" r="0" b="0"/>
                      <wp:wrapNone/>
                      <wp:docPr id="668" name="Frame6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495935" cy="175260"/>
                      <wp:effectExtent l="0" t="0" r="0" b="0"/>
                      <wp:wrapNone/>
                      <wp:docPr id="669" name="Frame66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07010" cy="175260"/>
                      <wp:effectExtent l="0" t="0" r="0" b="0"/>
                      <wp:wrapNone/>
                      <wp:docPr id="670" name="Frame6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13360" cy="175260"/>
                      <wp:effectExtent l="0" t="0" r="0" b="0"/>
                      <wp:wrapNone/>
                      <wp:docPr id="671" name="Frame671"/>
                      <a:graphic xmlns:a="http://schemas.openxmlformats.org/drawingml/2006/main">
                        <a:graphicData uri="http://schemas.microsoft.com/office/word/2010/wordprocessingShape">
                          <wps:wsp>
                            <wps:cNvSpPr txBox="1"/>
                            <wps:spPr>
                              <a:xfrm>
                                <a:off x="0" y="0"/>
                                <a:ext cx="213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577850" cy="175260"/>
                      <wp:effectExtent l="0" t="0" r="0" b="0"/>
                      <wp:wrapNone/>
                      <wp:docPr id="672" name="Frame672"/>
                      <a:graphic xmlns:a="http://schemas.openxmlformats.org/drawingml/2006/main">
                        <a:graphicData uri="http://schemas.microsoft.com/office/word/2010/wordprocessingShape">
                          <wps:wsp>
                            <wps:cNvSpPr txBox="1"/>
                            <wps:spPr>
                              <a:xfrm>
                                <a:off x="0" y="0"/>
                                <a:ext cx="577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07010" cy="175260"/>
                      <wp:effectExtent l="0" t="0" r="0" b="0"/>
                      <wp:wrapNone/>
                      <wp:docPr id="673" name="Frame6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105535" cy="175260"/>
                      <wp:effectExtent l="0" t="0" r="0" b="0"/>
                      <wp:wrapNone/>
                      <wp:docPr id="674" name="Frame674"/>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07010" cy="175260"/>
                      <wp:effectExtent l="0" t="0" r="0" b="0"/>
                      <wp:wrapNone/>
                      <wp:docPr id="675" name="Frame6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44780" cy="175260"/>
                      <wp:effectExtent l="0" t="0" r="0" b="0"/>
                      <wp:wrapNone/>
                      <wp:docPr id="676" name="Frame676"/>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713105" cy="175260"/>
                      <wp:effectExtent l="0" t="0" r="0" b="0"/>
                      <wp:wrapNone/>
                      <wp:docPr id="677" name="Frame677"/>
                      <a:graphic xmlns:a="http://schemas.openxmlformats.org/drawingml/2006/main">
                        <a:graphicData uri="http://schemas.microsoft.com/office/word/2010/wordprocessingShape">
                          <wps:wsp>
                            <wps:cNvSpPr txBox="1"/>
                            <wps:spPr>
                              <a:xfrm>
                                <a:off x="0" y="0"/>
                                <a:ext cx="713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33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7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Weighted-Average</w:t>
            </w:r>
          </w:p>
        </w:tc>
        <w:tc>
          <w:tcPr>
            <w:tcW w:w="326" w:type="dxa"/>
            <w:tcBorders/>
            <w:shd w:fill="auto" w:val="clear"/>
            <w:vAlign w:val="center"/>
          </w:tcPr>
          <w:p>
            <w:pPr>
              <w:pStyle w:val="TableContents"/>
              <w:spacing w:before="0" w:after="0"/>
              <w:ind w:left="0" w:right="0" w:hanging="0"/>
              <w:rPr/>
            </w:pPr>
            <w:r>
              <w:rPr/>
              <w:t>    </w:t>
            </w:r>
          </w:p>
        </w:tc>
        <w:tc>
          <w:tcPr>
            <w:tcW w:w="228"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pPr>
            <w:r>
              <w:rPr/>
              <w:t>​</w:t>
            </w:r>
          </w:p>
        </w:tc>
      </w:tr>
      <w:tr>
        <w:trPr/>
        <w:tc>
          <w:tcPr>
            <w:tcW w:w="37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shd w:fill="auto" w:val="clear"/>
            <w:vAlign w:val="center"/>
          </w:tcPr>
          <w:p>
            <w:pPr>
              <w:pStyle w:val="TableContents"/>
              <w:spacing w:before="0" w:after="0"/>
              <w:ind w:left="0" w:right="0" w:hanging="0"/>
              <w:jc w:val="center"/>
              <w:rPr/>
            </w:pPr>
            <w:r>
              <w:rPr/>
              <w:t>​</w:t>
            </w:r>
          </w:p>
        </w:tc>
        <w:tc>
          <w:tcPr>
            <w:tcW w:w="17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jc w:val="center"/>
              <w:rPr/>
            </w:pPr>
            <w:r>
              <w:rPr/>
              <w:t>​</w:t>
            </w:r>
          </w:p>
        </w:tc>
        <w:tc>
          <w:tcPr>
            <w:tcW w:w="1123" w:type="dxa"/>
            <w:tcBorders/>
            <w:shd w:fill="auto" w:val="clear"/>
            <w:vAlign w:val="center"/>
          </w:tcPr>
          <w:p>
            <w:pPr>
              <w:pStyle w:val="TableContents"/>
              <w:spacing w:before="0" w:after="0"/>
              <w:ind w:left="0" w:right="0" w:hanging="0"/>
              <w:jc w:val="center"/>
              <w:rPr/>
            </w:pPr>
            <w:r>
              <w:rPr/>
              <w:t>​</w:t>
            </w:r>
          </w:p>
        </w:tc>
      </w:tr>
      <w:tr>
        <w:trPr/>
        <w:tc>
          <w:tcPr>
            <w:tcW w:w="37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jc w:val="center"/>
              <w:rPr/>
            </w:pPr>
            <w:r>
              <w:rPr/>
              <w:t>​</w:t>
            </w:r>
          </w:p>
        </w:tc>
        <w:tc>
          <w:tcPr>
            <w:tcW w:w="17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Contractual Term In</w:t>
            </w:r>
          </w:p>
        </w:tc>
        <w:tc>
          <w:tcPr>
            <w:tcW w:w="326" w:type="dxa"/>
            <w:tcBorders/>
            <w:shd w:fill="auto" w:val="clear"/>
            <w:vAlign w:val="center"/>
          </w:tcPr>
          <w:p>
            <w:pPr>
              <w:pStyle w:val="TableContents"/>
              <w:spacing w:before="0" w:after="0"/>
              <w:ind w:left="0" w:right="0" w:hanging="0"/>
              <w:rPr/>
            </w:pPr>
            <w:r>
              <w:rPr/>
              <w:t>​</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37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Shares </w:t>
            </w:r>
          </w:p>
        </w:tc>
        <w:tc>
          <w:tcPr>
            <w:tcW w:w="326" w:type="dxa"/>
            <w:tcBorders/>
            <w:shd w:fill="auto" w:val="clear"/>
            <w:vAlign w:val="center"/>
          </w:tcPr>
          <w:p>
            <w:pPr>
              <w:pStyle w:val="TableContents"/>
              <w:spacing w:before="0" w:after="0"/>
              <w:ind w:left="0" w:right="0" w:hanging="0"/>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Exercise Price</w:t>
            </w:r>
          </w:p>
        </w:tc>
        <w:tc>
          <w:tcPr>
            <w:tcW w:w="326" w:type="dxa"/>
            <w:tcBorders/>
            <w:shd w:fill="auto" w:val="clear"/>
            <w:vAlign w:val="center"/>
          </w:tcPr>
          <w:p>
            <w:pPr>
              <w:pStyle w:val="TableContents"/>
              <w:spacing w:before="0" w:after="0"/>
              <w:ind w:left="0" w:right="0" w:hanging="0"/>
              <w:jc w:val="center"/>
              <w:rPr/>
            </w:pPr>
            <w:r>
              <w:rPr/>
              <w:t>​</w:t>
            </w:r>
          </w:p>
        </w:tc>
        <w:tc>
          <w:tcPr>
            <w:tcW w:w="17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0"/>
              <w:ind w:left="0" w:right="0" w:hanging="0"/>
              <w:rPr/>
            </w:pPr>
            <w:r>
              <w:rPr/>
              <w:t>​</w:t>
            </w:r>
          </w:p>
        </w:tc>
        <w:tc>
          <w:tcPr>
            <w:tcW w:w="13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37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647,832</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26.67</w:t>
            </w:r>
          </w:p>
        </w:tc>
        <w:tc>
          <w:tcPr>
            <w:tcW w:w="326" w:type="dxa"/>
            <w:tcBorders/>
            <w:shd w:fill="CCEEFF" w:val="clear"/>
            <w:vAlign w:val="center"/>
          </w:tcPr>
          <w:p>
            <w:pPr>
              <w:pStyle w:val="TableContents"/>
              <w:spacing w:before="0" w:after="0"/>
              <w:ind w:left="0" w:right="0" w:hanging="0"/>
              <w:rPr/>
            </w:pPr>
            <w:r>
              <w:rPr/>
              <w:t> </w:t>
            </w:r>
          </w:p>
        </w:tc>
        <w:tc>
          <w:tcPr>
            <w:tcW w:w="17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4,627,255</w:t>
            </w:r>
          </w:p>
        </w:tc>
      </w:tr>
      <w:tr>
        <w:trPr/>
        <w:tc>
          <w:tcPr>
            <w:tcW w:w="37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7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1123" w:type="dxa"/>
            <w:tcBorders/>
            <w:shd w:fill="auto" w:val="clear"/>
            <w:vAlign w:val="center"/>
          </w:tcPr>
          <w:p>
            <w:pPr>
              <w:pStyle w:val="TableContents"/>
              <w:spacing w:before="0" w:after="0"/>
              <w:ind w:left="0" w:right="0" w:hanging="0"/>
              <w:jc w:val="right"/>
              <w:rPr/>
            </w:pPr>
            <w:r>
              <w:rPr/>
              <w:t>—</w:t>
            </w:r>
          </w:p>
        </w:tc>
      </w:tr>
      <w:tr>
        <w:trPr/>
        <w:tc>
          <w:tcPr>
            <w:tcW w:w="37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exercised</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26" w:type="dxa"/>
            <w:tcBorders/>
            <w:shd w:fill="CCEEFF" w:val="clear"/>
            <w:vAlign w:val="center"/>
          </w:tcPr>
          <w:p>
            <w:pPr>
              <w:pStyle w:val="TableContents"/>
              <w:spacing w:before="0" w:after="0"/>
              <w:ind w:left="0" w:right="0" w:hanging="0"/>
              <w:rPr/>
            </w:pPr>
            <w:r>
              <w:rPr/>
              <w:t> </w:t>
            </w:r>
          </w:p>
        </w:tc>
        <w:tc>
          <w:tcPr>
            <w:tcW w:w="17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104,825</w:t>
            </w:r>
          </w:p>
        </w:tc>
      </w:tr>
      <w:tr>
        <w:trPr/>
        <w:tc>
          <w:tcPr>
            <w:tcW w:w="37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forfeited or expired</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14,436</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33.76</w:t>
            </w:r>
          </w:p>
        </w:tc>
        <w:tc>
          <w:tcPr>
            <w:tcW w:w="326" w:type="dxa"/>
            <w:tcBorders/>
            <w:shd w:fill="auto" w:val="clear"/>
            <w:vAlign w:val="center"/>
          </w:tcPr>
          <w:p>
            <w:pPr>
              <w:pStyle w:val="TableContents"/>
              <w:spacing w:before="0" w:after="0"/>
              <w:ind w:left="0" w:right="0" w:hanging="0"/>
              <w:rPr/>
            </w:pPr>
            <w:r>
              <w:rPr/>
              <w:t> </w:t>
            </w:r>
          </w:p>
        </w:tc>
        <w:tc>
          <w:tcPr>
            <w:tcW w:w="17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1123" w:type="dxa"/>
            <w:tcBorders/>
            <w:shd w:fill="auto" w:val="clear"/>
            <w:vAlign w:val="center"/>
          </w:tcPr>
          <w:p>
            <w:pPr>
              <w:pStyle w:val="TableContents"/>
              <w:spacing w:before="0" w:after="0"/>
              <w:ind w:left="0" w:right="0" w:hanging="0"/>
              <w:jc w:val="right"/>
              <w:rPr/>
            </w:pPr>
            <w:r>
              <w:rPr/>
              <w:t>—</w:t>
            </w:r>
          </w:p>
        </w:tc>
      </w:tr>
      <w:tr>
        <w:trPr/>
        <w:tc>
          <w:tcPr>
            <w:tcW w:w="37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628,396</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26.65</w:t>
            </w:r>
          </w:p>
        </w:tc>
        <w:tc>
          <w:tcPr>
            <w:tcW w:w="326" w:type="dxa"/>
            <w:tcBorders/>
            <w:shd w:fill="CCEEFF" w:val="clear"/>
            <w:vAlign w:val="center"/>
          </w:tcPr>
          <w:p>
            <w:pPr>
              <w:pStyle w:val="TableContents"/>
              <w:spacing w:before="0" w:after="0"/>
              <w:ind w:left="0" w:right="0" w:hanging="0"/>
              <w:rPr/>
            </w:pPr>
            <w:r>
              <w:rPr/>
              <w:t> </w:t>
            </w:r>
          </w:p>
        </w:tc>
        <w:tc>
          <w:tcPr>
            <w:tcW w:w="17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2,797,277</w:t>
            </w:r>
          </w:p>
        </w:tc>
      </w:tr>
      <w:tr>
        <w:trPr/>
        <w:tc>
          <w:tcPr>
            <w:tcW w:w="37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1123" w:type="dxa"/>
            <w:tcBorders/>
            <w:shd w:fill="auto" w:val="clear"/>
            <w:vAlign w:val="center"/>
          </w:tcPr>
          <w:p>
            <w:pPr>
              <w:pStyle w:val="TableContents"/>
              <w:spacing w:before="0" w:after="0"/>
              <w:ind w:left="0" w:right="0" w:hanging="0"/>
              <w:jc w:val="right"/>
              <w:rPr/>
            </w:pPr>
            <w:r>
              <w:rPr/>
              <w:t>​</w:t>
            </w:r>
          </w:p>
        </w:tc>
      </w:tr>
      <w:tr>
        <w:trPr/>
        <w:tc>
          <w:tcPr>
            <w:tcW w:w="378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Expected to vest, assuming a 0.31% annual forfeiture rate at March 31, 2023 </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613,735</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26.58</w:t>
            </w:r>
          </w:p>
        </w:tc>
        <w:tc>
          <w:tcPr>
            <w:tcW w:w="326" w:type="dxa"/>
            <w:tcBorders/>
            <w:shd w:fill="CCEEFF" w:val="clear"/>
            <w:vAlign w:val="center"/>
          </w:tcPr>
          <w:p>
            <w:pPr>
              <w:pStyle w:val="TableContents"/>
              <w:spacing w:before="0" w:after="0"/>
              <w:ind w:left="0" w:right="0" w:hanging="0"/>
              <w:rPr/>
            </w:pPr>
            <w:r>
              <w:rPr/>
              <w:t> </w:t>
            </w:r>
          </w:p>
        </w:tc>
        <w:tc>
          <w:tcPr>
            <w:tcW w:w="17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2,764,725</w:t>
            </w:r>
          </w:p>
        </w:tc>
      </w:tr>
      <w:tr>
        <w:trPr/>
        <w:tc>
          <w:tcPr>
            <w:tcW w:w="37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1123" w:type="dxa"/>
            <w:tcBorders/>
            <w:shd w:fill="auto" w:val="clear"/>
            <w:vAlign w:val="center"/>
          </w:tcPr>
          <w:p>
            <w:pPr>
              <w:pStyle w:val="TableContents"/>
              <w:spacing w:before="0" w:after="0"/>
              <w:ind w:left="0" w:right="0" w:hanging="0"/>
              <w:jc w:val="right"/>
              <w:rPr/>
            </w:pPr>
            <w:r>
              <w:rPr/>
              <w:t>​</w:t>
            </w:r>
          </w:p>
        </w:tc>
      </w:tr>
      <w:tr>
        <w:trPr/>
        <w:tc>
          <w:tcPr>
            <w:tcW w:w="37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Exercisable at March 31, 2023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307,821</w:t>
            </w:r>
          </w:p>
        </w:tc>
        <w:tc>
          <w:tcPr>
            <w:tcW w:w="326" w:type="dxa"/>
            <w:tcBorders/>
            <w:shd w:fill="CCEEFF" w:val="clear"/>
            <w:vAlign w:val="center"/>
          </w:tcPr>
          <w:p>
            <w:pPr>
              <w:pStyle w:val="TableContents"/>
              <w:spacing w:before="0" w:after="0"/>
              <w:ind w:left="0" w:right="0" w:hanging="0"/>
              <w:rPr/>
            </w:pPr>
            <w:r>
              <w:rPr/>
              <w:t>​</w:t>
            </w:r>
          </w:p>
        </w:tc>
        <w:tc>
          <w:tcPr>
            <w:tcW w:w="3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24.28</w:t>
            </w:r>
          </w:p>
        </w:tc>
        <w:tc>
          <w:tcPr>
            <w:tcW w:w="326" w:type="dxa"/>
            <w:tcBorders/>
            <w:shd w:fill="CCEEFF" w:val="clear"/>
            <w:vAlign w:val="center"/>
          </w:tcPr>
          <w:p>
            <w:pPr>
              <w:pStyle w:val="TableContents"/>
              <w:spacing w:before="0" w:after="0"/>
              <w:ind w:left="0" w:right="0" w:hanging="0"/>
              <w:rPr/>
            </w:pPr>
            <w:r>
              <w:rPr/>
              <w:t> </w:t>
            </w:r>
          </w:p>
        </w:tc>
        <w:tc>
          <w:tcPr>
            <w:tcW w:w="17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1,934,780</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____________________________</w:t>
      </w:r>
    </w:p>
    <w:tbl>
      <w:tblPr>
        <w:tblW w:w="9242" w:type="dxa"/>
        <w:jc w:val="left"/>
        <w:tblInd w:w="0" w:type="dxa"/>
        <w:tblCellMar>
          <w:top w:w="0" w:type="dxa"/>
          <w:left w:w="0" w:type="dxa"/>
          <w:bottom w:w="0" w:type="dxa"/>
          <w:right w:w="0" w:type="dxa"/>
        </w:tblCellMar>
      </w:tblPr>
      <w:tblGrid>
        <w:gridCol w:w="346"/>
        <w:gridCol w:w="889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889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Forfeiture rate has been calculated and estimated to assume a forfeiture of 3.1%</w:t>
            </w:r>
            <w:r>
              <w:rPr>
                <w:caps w:val="false"/>
                <w:smallCaps w:val="false"/>
              </w:rPr>
              <w:t xml:space="preserve"> </w:t>
            </w:r>
            <w:r>
              <w:rPr>
                <w:rFonts w:ascii="Times New Roman;Times;serif" w:hAnsi="Times New Roman;Times;serif"/>
                <w:b w:val="false"/>
                <w:i w:val="false"/>
                <w:caps w:val="false"/>
                <w:smallCaps w:val="false"/>
                <w:sz w:val="20"/>
              </w:rPr>
              <w:t>of the options over 10 years.</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At March 31, 2023, there was $1.6 million of total unrecognized forfeiture adjusted compensation cost related to nonvested stock options granted under the 2018 plan. The cost is expected to be recognized over the remaining weighted-average vesting period of 3.1 years.  </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Restricted Stock Awards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RSAs’ fair value is equal to the value of the market price of FS Bancorp’s common stock on the grant date and compensation expense is recognized over the vesting period of the awards based on the fair value of the restricted stock. Shares for the 2018 Plan generally vest over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or three-year period for independent directors or over a </w:t>
      </w:r>
      <w:r>
        <w:rPr>
          <w:rFonts w:ascii="Times New Roman;Times;serif" w:hAnsi="Times New Roman;Times;serif"/>
          <w:b w:val="false"/>
          <w:i w:val="false"/>
          <w:caps w:val="false"/>
          <w:smallCaps w:val="false"/>
          <w:sz w:val="20"/>
        </w:rPr>
        <w:t>two</w:t>
      </w:r>
      <w:r>
        <w:rPr>
          <w:rFonts w:ascii="Times New Roman;Times;serif" w:hAnsi="Times New Roman;Times;serif"/>
          <w:sz w:val="20"/>
        </w:rPr>
        <w:t>- or five-year period for employees and officers beginning on the grant date. Any unvested RSAs will expire after vesting or sooner in the event of the award recipient’s termination of service with the Company or the Bank.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summary of the Company’s nonvested awards during the dates indicated (shown as actual):</w:t>
      </w:r>
    </w:p>
    <w:p>
      <w:pPr>
        <w:pStyle w:val="TextBody"/>
        <w:spacing w:before="0" w:after="200"/>
        <w:ind w:left="0" w:right="0" w:hanging="0"/>
        <w:jc w:val="both"/>
        <w:rPr/>
      </w:pPr>
      <w:r>
        <w:rPr/>
        <w:t>​</w:t>
      </w:r>
    </w:p>
    <w:tbl>
      <w:tblPr>
        <w:tblW w:w="5875" w:type="dxa"/>
        <w:jc w:val="left"/>
        <w:tblInd w:w="0" w:type="dxa"/>
        <w:tblCellMar>
          <w:top w:w="0" w:type="dxa"/>
          <w:left w:w="0" w:type="dxa"/>
          <w:bottom w:w="0" w:type="dxa"/>
          <w:right w:w="0" w:type="dxa"/>
        </w:tblCellMar>
      </w:tblPr>
      <w:tblGrid>
        <w:gridCol w:w="2521"/>
        <w:gridCol w:w="326"/>
        <w:gridCol w:w="781"/>
        <w:gridCol w:w="326"/>
        <w:gridCol w:w="455"/>
        <w:gridCol w:w="1466"/>
      </w:tblGrid>
      <w:tr>
        <w:trPr/>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600835" cy="175260"/>
                      <wp:effectExtent l="0" t="0" r="0" b="0"/>
                      <wp:wrapNone/>
                      <wp:docPr id="678" name="Frame678"/>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07010" cy="175260"/>
                      <wp:effectExtent l="0" t="0" r="0" b="0"/>
                      <wp:wrapNone/>
                      <wp:docPr id="679" name="Frame6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495935" cy="175260"/>
                      <wp:effectExtent l="0" t="0" r="0" b="0"/>
                      <wp:wrapNone/>
                      <wp:docPr id="680" name="Frame68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07010" cy="175260"/>
                      <wp:effectExtent l="0" t="0" r="0" b="0"/>
                      <wp:wrapNone/>
                      <wp:docPr id="681" name="Frame6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88925" cy="175260"/>
                      <wp:effectExtent l="0" t="0" r="0" b="0"/>
                      <wp:wrapNone/>
                      <wp:docPr id="682" name="Frame682"/>
                      <a:graphic xmlns:a="http://schemas.openxmlformats.org/drawingml/2006/main">
                        <a:graphicData uri="http://schemas.microsoft.com/office/word/2010/wordprocessingShape">
                          <wps:wsp>
                            <wps:cNvSpPr txBox="1"/>
                            <wps:spPr>
                              <a:xfrm>
                                <a:off x="0" y="0"/>
                                <a:ext cx="288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930910" cy="175260"/>
                      <wp:effectExtent l="0" t="0" r="0" b="0"/>
                      <wp:wrapNone/>
                      <wp:docPr id="683" name="Frame683"/>
                      <a:graphic xmlns:a="http://schemas.openxmlformats.org/drawingml/2006/main">
                        <a:graphicData uri="http://schemas.microsoft.com/office/word/2010/wordprocessingShape">
                          <wps:wsp>
                            <wps:cNvSpPr txBox="1"/>
                            <wps:spPr>
                              <a:xfrm>
                                <a:off x="0" y="0"/>
                                <a:ext cx="930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92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Weighted-Average</w:t>
            </w:r>
          </w:p>
        </w:tc>
      </w:tr>
      <w:tr>
        <w:trPr/>
        <w:tc>
          <w:tcPr>
            <w:tcW w:w="25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2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Grant-Date Fair Value</w:t>
            </w:r>
          </w:p>
        </w:tc>
      </w:tr>
      <w:tr>
        <w:trPr/>
        <w:tc>
          <w:tcPr>
            <w:tcW w:w="25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Nonvested Shares</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Shares</w:t>
            </w:r>
          </w:p>
        </w:tc>
        <w:tc>
          <w:tcPr>
            <w:tcW w:w="326" w:type="dxa"/>
            <w:tcBorders/>
            <w:shd w:fill="auto" w:val="clear"/>
            <w:vAlign w:val="center"/>
          </w:tcPr>
          <w:p>
            <w:pPr>
              <w:pStyle w:val="TableContents"/>
              <w:spacing w:before="0" w:after="0"/>
              <w:ind w:left="0" w:right="0" w:hanging="0"/>
              <w:rPr/>
            </w:pPr>
            <w:r>
              <w:rPr/>
              <w:t>​</w:t>
            </w:r>
          </w:p>
        </w:tc>
        <w:tc>
          <w:tcPr>
            <w:tcW w:w="19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January 1, 2023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118,530</w:t>
            </w:r>
          </w:p>
        </w:tc>
        <w:tc>
          <w:tcPr>
            <w:tcW w:w="326" w:type="dxa"/>
            <w:tcBorders/>
            <w:shd w:fill="CCEEFF" w:val="clear"/>
            <w:vAlign w:val="center"/>
          </w:tcPr>
          <w:p>
            <w:pPr>
              <w:pStyle w:val="TableContents"/>
              <w:spacing w:before="0" w:after="0"/>
              <w:ind w:left="0" w:right="0" w:hanging="0"/>
              <w:rPr/>
            </w:pPr>
            <w:r>
              <w:rPr/>
              <w:t>​</w:t>
            </w:r>
          </w:p>
        </w:tc>
        <w:tc>
          <w:tcPr>
            <w:tcW w:w="4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28.85</w:t>
            </w:r>
          </w:p>
        </w:tc>
      </w:tr>
      <w:tr>
        <w:trPr/>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55" w:type="dxa"/>
            <w:tcBorders/>
            <w:shd w:fill="auto" w:val="clear"/>
            <w:vAlign w:val="center"/>
          </w:tcPr>
          <w:p>
            <w:pPr>
              <w:pStyle w:val="TableContents"/>
              <w:spacing w:before="0" w:after="0"/>
              <w:ind w:left="0" w:right="0" w:hanging="0"/>
              <w:rPr/>
            </w:pPr>
            <w:r>
              <w:rPr/>
              <w:t>​</w:t>
            </w:r>
          </w:p>
        </w:tc>
        <w:tc>
          <w:tcPr>
            <w:tcW w:w="1466" w:type="dxa"/>
            <w:tcBorders/>
            <w:shd w:fill="auto" w:val="clear"/>
            <w:vAlign w:val="center"/>
          </w:tcPr>
          <w:p>
            <w:pPr>
              <w:pStyle w:val="TableContents"/>
              <w:spacing w:before="0" w:after="0"/>
              <w:ind w:left="0" w:right="0" w:hanging="0"/>
              <w:jc w:val="right"/>
              <w:rPr/>
            </w:pPr>
            <w:r>
              <w:rPr/>
              <w:t>—</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vested</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1,453</w:t>
            </w:r>
          </w:p>
        </w:tc>
        <w:tc>
          <w:tcPr>
            <w:tcW w:w="326" w:type="dxa"/>
            <w:tcBorders/>
            <w:shd w:fill="CCEEFF" w:val="clear"/>
            <w:vAlign w:val="center"/>
          </w:tcPr>
          <w:p>
            <w:pPr>
              <w:pStyle w:val="TableContents"/>
              <w:spacing w:before="0" w:after="0"/>
              <w:ind w:left="0" w:right="0" w:hanging="0"/>
              <w:rPr/>
            </w:pPr>
            <w:r>
              <w:rPr/>
              <w:t>​</w:t>
            </w:r>
          </w:p>
        </w:tc>
        <w:tc>
          <w:tcPr>
            <w:tcW w:w="455" w:type="dxa"/>
            <w:tcBorders/>
            <w:shd w:fill="CCEEFF" w:val="clear"/>
            <w:vAlign w:val="center"/>
          </w:tcPr>
          <w:p>
            <w:pPr>
              <w:pStyle w:val="TableContents"/>
              <w:spacing w:before="0" w:after="0"/>
              <w:ind w:left="0" w:right="0" w:hanging="0"/>
              <w:rPr/>
            </w:pPr>
            <w:r>
              <w:rPr/>
              <w:t>​</w:t>
            </w:r>
          </w:p>
        </w:tc>
        <w:tc>
          <w:tcPr>
            <w:tcW w:w="1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34.05</w:t>
            </w:r>
          </w:p>
        </w:tc>
      </w:tr>
      <w:tr>
        <w:trPr/>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forfeited or expired</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4,812</w:t>
            </w:r>
          </w:p>
        </w:tc>
        <w:tc>
          <w:tcPr>
            <w:tcW w:w="326" w:type="dxa"/>
            <w:tcBorders/>
            <w:shd w:fill="auto" w:val="clear"/>
            <w:vAlign w:val="center"/>
          </w:tcPr>
          <w:p>
            <w:pPr>
              <w:pStyle w:val="TableContents"/>
              <w:spacing w:before="0" w:after="0"/>
              <w:ind w:left="0" w:right="0" w:hanging="0"/>
              <w:rPr/>
            </w:pPr>
            <w:r>
              <w:rPr/>
              <w:t>​</w:t>
            </w:r>
          </w:p>
        </w:tc>
        <w:tc>
          <w:tcPr>
            <w:tcW w:w="455" w:type="dxa"/>
            <w:tcBorders/>
            <w:shd w:fill="auto" w:val="clear"/>
            <w:vAlign w:val="center"/>
          </w:tcPr>
          <w:p>
            <w:pPr>
              <w:pStyle w:val="TableContents"/>
              <w:spacing w:before="0" w:after="0"/>
              <w:ind w:left="0" w:right="0" w:hanging="0"/>
              <w:rPr/>
            </w:pPr>
            <w:r>
              <w:rPr/>
              <w:t> </w:t>
            </w:r>
          </w:p>
        </w:tc>
        <w:tc>
          <w:tcPr>
            <w:tcW w:w="1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33.76</w:t>
            </w:r>
          </w:p>
        </w:tc>
      </w:tr>
      <w:tr>
        <w:trPr/>
        <w:tc>
          <w:tcPr>
            <w:tcW w:w="25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March 31, 2023</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112,265</w:t>
            </w:r>
          </w:p>
        </w:tc>
        <w:tc>
          <w:tcPr>
            <w:tcW w:w="326" w:type="dxa"/>
            <w:tcBorders/>
            <w:shd w:fill="CCEEFF" w:val="clear"/>
            <w:vAlign w:val="center"/>
          </w:tcPr>
          <w:p>
            <w:pPr>
              <w:pStyle w:val="TableContents"/>
              <w:spacing w:before="0" w:after="0"/>
              <w:ind w:left="0" w:right="0" w:hanging="0"/>
              <w:rPr/>
            </w:pPr>
            <w:r>
              <w:rPr/>
              <w:t>​</w:t>
            </w:r>
          </w:p>
        </w:tc>
        <w:tc>
          <w:tcPr>
            <w:tcW w:w="4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6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28.57</w:t>
            </w:r>
          </w:p>
        </w:tc>
      </w:tr>
    </w:tbl>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At March 31, 2023, there was $2.4 million of total unrecognized forfeiture adjusted compensation cost related to nonvested shares granted under the 2018 Plan as RSAs. The cost is expected to be recognized over the remaining weighted-average vesting period of 3.0 years. </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14 – REGULATORY CAPITAL</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Bank is subject to various regulatory capital requirements administered by the Federal Reserve and the FDIC. Failure to meet minimum capital requirements can initiate certain mandatory and possibly additional discretionary actions by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3379" w:name="Tc_FmfZvBPACke1ISVrZxZBZw_14_21"/>
      <w:bookmarkStart w:id="3380" w:name="Tc_VwJJ_wOgLkSJgjpI9t5fJQ_14_17"/>
      <w:bookmarkStart w:id="3381" w:name="Tc_bh6HY0jDjkefGKOFWm4FqQ_14_16"/>
      <w:bookmarkStart w:id="3382" w:name="Tc_EWcJUAG4z0iPTFuTYEy7zQ_14_12"/>
      <w:bookmarkStart w:id="3383" w:name="Tc_JsOlofA_qkebaDSG_cd2cw_14_11"/>
      <w:bookmarkStart w:id="3384" w:name="Tc_8n2Ode_t7UuQbjHH61kCWA_14_7"/>
      <w:bookmarkStart w:id="3385" w:name="Tc_Ly3S0tGbbUiXi_UH0vNglg_14_6"/>
      <w:bookmarkStart w:id="3386" w:name="Tc_ZuF7bfNrk0yysWdh9kSVsg_14_2"/>
      <w:bookmarkStart w:id="3387" w:name="Tc_NrFEZz_EYkKErKS39cYSlA_14_0"/>
      <w:bookmarkStart w:id="3388" w:name="Tc_1AoWD5RH1UuZWiYEuNBxgQ_13_0"/>
      <w:bookmarkStart w:id="3389" w:name="Tc_qlJ1-Vg_MkK0_r7fU5es2g_12_21"/>
      <w:bookmarkStart w:id="3390" w:name="Tc_YymPL6LbwEmoMoJYgCM9Pg_12_17"/>
      <w:bookmarkStart w:id="3391" w:name="Tc_0wilZDsX0Eq3rlopw147rg_12_15"/>
      <w:bookmarkStart w:id="3392" w:name="Tc_-SpwiasgXU2DkZPdbUCH3Q_12_13"/>
      <w:bookmarkStart w:id="3393" w:name="Tc_zTcGCYRmb0eLndQVsucxKA_12_12"/>
      <w:bookmarkStart w:id="3394" w:name="Tc_0PhX_lQQ-Ui-r0ri4b70iw_12_11"/>
      <w:bookmarkStart w:id="3395" w:name="Tc_EQeLrek_VEumIhBEHVaX9w_12_7"/>
      <w:bookmarkStart w:id="3396" w:name="Tc_w4aroBfg6UCPKld1DHu_Rg_12_6"/>
      <w:bookmarkStart w:id="3397" w:name="Tc_AwbbEwBZsEuRFkOkKxnryg_12_2"/>
      <w:bookmarkStart w:id="3398" w:name="Tc_lNxXCG8P5U2joB2PjE_RwQ_12_0"/>
      <w:bookmarkStart w:id="3399" w:name="Tc_GOBCmNihY0Gr5iYWX15Bgw_11_0"/>
      <w:bookmarkStart w:id="3400" w:name="Tc_qenTneMVG0qqBKUzhJg_cw_10_21"/>
      <w:bookmarkStart w:id="3401" w:name="Tc_sE22lkhvBk-QU4TwM4Rxdg_10_17"/>
      <w:bookmarkStart w:id="3402" w:name="Tc_jPoXvJZDAEWqGE-d25vbyA_10_16"/>
      <w:bookmarkStart w:id="3403" w:name="Tc_zwsDbvERLEiB61PqHEBNug_10_12"/>
      <w:bookmarkStart w:id="3404" w:name="Tc_SOGwquWT10qFAa2S0BjAIw_10_11"/>
      <w:bookmarkStart w:id="3405" w:name="Tc_JxnAA0L2HU2CnWX1O7lSOw_10_7"/>
      <w:bookmarkStart w:id="3406" w:name="Tc_oLrkSOpGyEupbwjeLZR4jQ_10_6"/>
      <w:bookmarkStart w:id="3407" w:name="Tc_ocyyJYH8v02JVQXpI06yeg_10_2"/>
      <w:bookmarkStart w:id="3408" w:name="Tc_wFkvEmm8A0CnYNP48pmQDw_10_0"/>
      <w:bookmarkStart w:id="3409" w:name="Tc_2K4wAHOwQ0iFakFmyY0ngQ_9_0"/>
      <w:bookmarkStart w:id="3410" w:name="Tc_pL87-a_Yek2HzxWmzZK6pA_8_21"/>
      <w:bookmarkStart w:id="3411" w:name="Tc_SymLtEqSW02L5FgtgKKKxg_8_17"/>
      <w:bookmarkStart w:id="3412" w:name="Tc_vVfyne6dXEKtRzbSDjqXJA_8_16"/>
      <w:bookmarkStart w:id="3413" w:name="Tc_l635L1rk6UWmZCe1_aE9Ug_8_12"/>
      <w:bookmarkStart w:id="3414" w:name="Tc_2JO9VHTY2UiHEE7-pE3fIQ_8_11"/>
      <w:bookmarkStart w:id="3415" w:name="Tc_9MaXDh9Lw0Sro4TTxHqUFg_8_7"/>
      <w:bookmarkStart w:id="3416" w:name="Tc_MnjrM_HmiEOoHgfm89KLAg_8_6"/>
      <w:bookmarkStart w:id="3417" w:name="Tc_wGZ6QmGeZECQhxCTGo1s4A_8_2"/>
      <w:bookmarkStart w:id="3418" w:name="Tc_9k8XGKg8jUmBxElhIiPvWg_8_0"/>
      <w:bookmarkStart w:id="3419" w:name="Tc_Y3ulHYMqskCR3R4fgkZVIA_7_0"/>
      <w:bookmarkStart w:id="3420" w:name="Tc_2JTDCgbcGUK3UxAvCALqHw_6_0"/>
      <w:bookmarkStart w:id="3421" w:name="Tc_xNyZzfQfhEak9jVLF9OGVg_5_20"/>
      <w:bookmarkStart w:id="3422" w:name="Tc_cG2PmCpaHkKXdL5MrCvorg_5_17"/>
      <w:bookmarkStart w:id="3423" w:name="Tc_wRBFU6LkvkmI5oHnQYJ5Og_5_15"/>
      <w:bookmarkStart w:id="3424" w:name="Tc_qbigkLMCj0KmtjZJ1ATc1A_5_12"/>
      <w:bookmarkStart w:id="3425" w:name="Tc__RlssmPDBUqb34RHJSga0w_5_10"/>
      <w:bookmarkStart w:id="3426" w:name="Tc_SL0PI_IBkEmq6SSio76okQ_5_7"/>
      <w:bookmarkStart w:id="3427" w:name="Tc_iVA6qNhYYUqkPYN3N3Inaw_5_5"/>
      <w:bookmarkStart w:id="3428" w:name="Tc_MW_bmzQknkeQRefI-KeWGQ_5_2"/>
      <w:bookmarkStart w:id="3429" w:name="Tc_Q2cW-O1BZ0iULs5FKLg-PQ_5_0"/>
      <w:bookmarkStart w:id="3430" w:name="Tc_Phg1nWanTkOGz9J9g_-h2w_4_17"/>
      <w:bookmarkStart w:id="3431" w:name="Tc_Sv7eabN2aUqWlKd2PKywjQ_4_12"/>
      <w:bookmarkStart w:id="3432" w:name="Tc_i6jbv7TnG0Ks9NINPD-Szg_4_7"/>
      <w:bookmarkStart w:id="3433" w:name="Tc_f8vPGA4aj0aLpl2DIti6vg_4_2"/>
      <w:bookmarkStart w:id="3434" w:name="Tc_SggUYZN0EEaHJ2rNRADieg_3_17"/>
      <w:bookmarkStart w:id="3435" w:name="Tc_uCC8YOijnU-aM0FAzsvYTQ_3_12"/>
      <w:bookmarkStart w:id="3436" w:name="Tc_P5K-s_p5S0eh_58cCpEAPA_3_7"/>
      <w:bookmarkStart w:id="3437" w:name="Tc_dlrKML6GnE6BfG-xV3yyPQ_2_17"/>
      <w:bookmarkStart w:id="3438" w:name="Tc_SlYHlwSrjUalbuQInXvscA_1_17"/>
      <w:bookmarkStart w:id="3439" w:name="_88a6ebed_4849_4118_8626_3a4407b320a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r>
        <w:rPr>
          <w:rFonts w:ascii="Times New Roman;Times;serif" w:hAnsi="Times New Roman;Times;serif"/>
          <w:sz w:val="20"/>
        </w:rPr>
        <w:t>regulators that, if undertaken, could have a direct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Under the risk-based capital adequacy framework, quantitative measures established by regulation to ensure capital adequacy require the Bank to maintain minimum amounts and ratios (set forth in the table below) of Tier 1 capital (as defined in the regulations) to total average assets (as defined), and minimum ratios of Tier 1 total capital (as defined) and common equity Tier 1 (“CET 1”) capital to risk-weighted assets (as defined).</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Bank must maintain minimum total risk-based, Tier 1 risk-based, Tier 1 leverage, and CET 1 capital ratios as set forth in the table below to be categorized as well capitalized. At March 31, 2023, the Bank was categorized as well capitalized under applicable regulatory requirements. There are no conditions or events since that notification that management believes have changed the Bank’s category. Management believes, at March 31, 2023, that the Bank met all capital adequacy requirements.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compares the Bank’s actual capital amounts and ratios at March 31, 2023 to their minimum regulatory capital requirements and well capitalized regulatory capital at that date:</w:t>
      </w:r>
    </w:p>
    <w:p>
      <w:pPr>
        <w:pStyle w:val="TextBody"/>
        <w:spacing w:before="0" w:after="0"/>
        <w:ind w:left="0" w:right="0" w:hanging="0"/>
        <w:jc w:val="both"/>
        <w:rPr/>
      </w:pPr>
      <w:r>
        <w:rPr/>
        <w:t>​</w:t>
      </w:r>
    </w:p>
    <w:tbl>
      <w:tblPr>
        <w:tblW w:w="10379" w:type="dxa"/>
        <w:jc w:val="left"/>
        <w:tblInd w:w="0" w:type="dxa"/>
        <w:tblCellMar>
          <w:top w:w="0" w:type="dxa"/>
          <w:left w:w="0" w:type="dxa"/>
          <w:bottom w:w="0" w:type="dxa"/>
          <w:right w:w="0" w:type="dxa"/>
        </w:tblCellMar>
      </w:tblPr>
      <w:tblGrid>
        <w:gridCol w:w="1411"/>
        <w:gridCol w:w="326"/>
        <w:gridCol w:w="196"/>
        <w:gridCol w:w="691"/>
        <w:gridCol w:w="326"/>
        <w:gridCol w:w="556"/>
        <w:gridCol w:w="346"/>
        <w:gridCol w:w="196"/>
        <w:gridCol w:w="691"/>
        <w:gridCol w:w="326"/>
        <w:gridCol w:w="556"/>
        <w:gridCol w:w="346"/>
        <w:gridCol w:w="196"/>
        <w:gridCol w:w="691"/>
        <w:gridCol w:w="326"/>
        <w:gridCol w:w="556"/>
        <w:gridCol w:w="346"/>
        <w:gridCol w:w="221"/>
        <w:gridCol w:w="779"/>
        <w:gridCol w:w="367"/>
        <w:gridCol w:w="629"/>
        <w:gridCol w:w="301"/>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895985" cy="175260"/>
                      <wp:effectExtent l="0" t="0" r="0" b="0"/>
                      <wp:wrapNone/>
                      <wp:docPr id="684" name="Frame684"/>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07010" cy="175260"/>
                      <wp:effectExtent l="0" t="0" r="0" b="0"/>
                      <wp:wrapNone/>
                      <wp:docPr id="685" name="Frame6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24460" cy="175260"/>
                      <wp:effectExtent l="0" t="0" r="0" b="0"/>
                      <wp:wrapNone/>
                      <wp:docPr id="686" name="Frame68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438785" cy="175260"/>
                      <wp:effectExtent l="0" t="0" r="0" b="0"/>
                      <wp:wrapNone/>
                      <wp:docPr id="687" name="Frame68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07010" cy="175260"/>
                      <wp:effectExtent l="0" t="0" r="0" b="0"/>
                      <wp:wrapNone/>
                      <wp:docPr id="688" name="Frame6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353060" cy="175260"/>
                      <wp:effectExtent l="0" t="0" r="0" b="0"/>
                      <wp:wrapNone/>
                      <wp:docPr id="689" name="Frame689"/>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19710" cy="175260"/>
                      <wp:effectExtent l="0" t="0" r="0" b="0"/>
                      <wp:wrapNone/>
                      <wp:docPr id="690" name="Frame690"/>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124460" cy="175260"/>
                      <wp:effectExtent l="0" t="0" r="0" b="0"/>
                      <wp:wrapNone/>
                      <wp:docPr id="691" name="Frame69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438785" cy="175260"/>
                      <wp:effectExtent l="0" t="0" r="0" b="0"/>
                      <wp:wrapNone/>
                      <wp:docPr id="692" name="Frame69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07010" cy="175260"/>
                      <wp:effectExtent l="0" t="0" r="0" b="0"/>
                      <wp:wrapNone/>
                      <wp:docPr id="693" name="Frame6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353060" cy="175260"/>
                      <wp:effectExtent l="0" t="0" r="0" b="0"/>
                      <wp:wrapNone/>
                      <wp:docPr id="694" name="Frame694"/>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9710" cy="175260"/>
                      <wp:effectExtent l="0" t="0" r="0" b="0"/>
                      <wp:wrapNone/>
                      <wp:docPr id="695" name="Frame695"/>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124460" cy="175260"/>
                      <wp:effectExtent l="0" t="0" r="0" b="0"/>
                      <wp:wrapNone/>
                      <wp:docPr id="696" name="Frame69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438785" cy="175260"/>
                      <wp:effectExtent l="0" t="0" r="0" b="0"/>
                      <wp:wrapNone/>
                      <wp:docPr id="697" name="Frame69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07010" cy="175260"/>
                      <wp:effectExtent l="0" t="0" r="0" b="0"/>
                      <wp:wrapNone/>
                      <wp:docPr id="698" name="Frame6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353060" cy="175260"/>
                      <wp:effectExtent l="0" t="0" r="0" b="0"/>
                      <wp:wrapNone/>
                      <wp:docPr id="699" name="Frame699"/>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19710" cy="175260"/>
                      <wp:effectExtent l="0" t="0" r="0" b="0"/>
                      <wp:wrapNone/>
                      <wp:docPr id="700" name="Frame700"/>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40335" cy="175260"/>
                      <wp:effectExtent l="0" t="0" r="0" b="0"/>
                      <wp:wrapNone/>
                      <wp:docPr id="701" name="Frame701"/>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494665" cy="175260"/>
                      <wp:effectExtent l="0" t="0" r="0" b="0"/>
                      <wp:wrapNone/>
                      <wp:docPr id="702" name="Frame702"/>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33045" cy="175260"/>
                      <wp:effectExtent l="0" t="0" r="0" b="0"/>
                      <wp:wrapNone/>
                      <wp:docPr id="703" name="Frame703"/>
                      <a:graphic xmlns:a="http://schemas.openxmlformats.org/drawingml/2006/main">
                        <a:graphicData uri="http://schemas.microsoft.com/office/word/2010/wordprocessingShape">
                          <wps:wsp>
                            <wps:cNvSpPr txBox="1"/>
                            <wps:spPr>
                              <a:xfrm>
                                <a:off x="0" y="0"/>
                                <a:ext cx="233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399415" cy="175260"/>
                      <wp:effectExtent l="0" t="0" r="0" b="0"/>
                      <wp:wrapNone/>
                      <wp:docPr id="704" name="Frame704"/>
                      <a:graphic xmlns:a="http://schemas.openxmlformats.org/drawingml/2006/main">
                        <a:graphicData uri="http://schemas.microsoft.com/office/word/2010/wordprocessingShape">
                          <wps:wsp>
                            <wps:cNvSpPr txBox="1"/>
                            <wps:spPr>
                              <a:xfrm>
                                <a:off x="0" y="0"/>
                                <a:ext cx="399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91135" cy="175260"/>
                      <wp:effectExtent l="0" t="0" r="0" b="0"/>
                      <wp:wrapNone/>
                      <wp:docPr id="705" name="Frame705"/>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996" w:type="dxa"/>
            <w:gridSpan w:val="4"/>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 be Well Capitalized</w:t>
            </w:r>
          </w:p>
        </w:tc>
        <w:tc>
          <w:tcPr>
            <w:tcW w:w="301" w:type="dxa"/>
            <w:tcBorders/>
            <w:shd w:fill="auto" w:val="cle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996" w:type="dxa"/>
            <w:gridSpan w:val="4"/>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Under Prompt</w:t>
            </w:r>
          </w:p>
        </w:tc>
        <w:tc>
          <w:tcPr>
            <w:tcW w:w="301" w:type="dxa"/>
            <w:tcBorders/>
            <w:shd w:fill="auto" w:val="cle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769" w:type="dxa"/>
            <w:gridSpan w:val="4"/>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 Capital</w:t>
            </w:r>
          </w:p>
        </w:tc>
        <w:tc>
          <w:tcPr>
            <w:tcW w:w="346" w:type="dxa"/>
            <w:tcBorders/>
            <w:shd w:fill="auto" w:val="clear"/>
            <w:vAlign w:val="center"/>
          </w:tcPr>
          <w:p>
            <w:pPr>
              <w:pStyle w:val="TableContents"/>
              <w:spacing w:before="0" w:after="0"/>
              <w:ind w:left="0" w:right="0" w:hanging="0"/>
              <w:rPr/>
            </w:pPr>
            <w:r>
              <w:rPr/>
              <w:t>​</w:t>
            </w:r>
          </w:p>
        </w:tc>
        <w:tc>
          <w:tcPr>
            <w:tcW w:w="1769" w:type="dxa"/>
            <w:gridSpan w:val="4"/>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 Capital Adequacy</w:t>
            </w:r>
          </w:p>
        </w:tc>
        <w:tc>
          <w:tcPr>
            <w:tcW w:w="346" w:type="dxa"/>
            <w:tcBorders/>
            <w:shd w:fill="auto" w:val="clear"/>
            <w:vAlign w:val="center"/>
          </w:tcPr>
          <w:p>
            <w:pPr>
              <w:pStyle w:val="TableContents"/>
              <w:spacing w:before="0" w:after="0"/>
              <w:ind w:left="0" w:right="0" w:hanging="0"/>
              <w:rPr/>
            </w:pPr>
            <w:r>
              <w:rPr/>
              <w:t>​</w:t>
            </w:r>
          </w:p>
        </w:tc>
        <w:tc>
          <w:tcPr>
            <w:tcW w:w="1996" w:type="dxa"/>
            <w:gridSpan w:val="4"/>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Corrective</w:t>
            </w:r>
          </w:p>
        </w:tc>
        <w:tc>
          <w:tcPr>
            <w:tcW w:w="301" w:type="dxa"/>
            <w:tcBorders/>
            <w:shd w:fill="auto" w:val="clear"/>
            <w:vAlign w:val="center"/>
          </w:tcPr>
          <w:p>
            <w:pPr>
              <w:pStyle w:val="TableContents"/>
              <w:spacing w:before="0" w:after="0"/>
              <w:ind w:left="0" w:right="0" w:hanging="0"/>
              <w:jc w:val="center"/>
              <w:rPr/>
            </w:pPr>
            <w:r>
              <w:rPr/>
              <w:t> </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6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Actual</w:t>
            </w:r>
          </w:p>
        </w:tc>
        <w:tc>
          <w:tcPr>
            <w:tcW w:w="346" w:type="dxa"/>
            <w:tcBorders/>
            <w:shd w:fill="auto" w:val="clear"/>
            <w:vAlign w:val="center"/>
          </w:tcPr>
          <w:p>
            <w:pPr>
              <w:pStyle w:val="TableContents"/>
              <w:spacing w:before="0" w:after="0"/>
              <w:ind w:left="0" w:right="0" w:hanging="0"/>
              <w:rPr/>
            </w:pPr>
            <w:r>
              <w:rPr/>
              <w:t>​</w:t>
            </w:r>
          </w:p>
        </w:tc>
        <w:tc>
          <w:tcPr>
            <w:tcW w:w="176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Adequacy Purposes</w:t>
            </w:r>
          </w:p>
        </w:tc>
        <w:tc>
          <w:tcPr>
            <w:tcW w:w="346" w:type="dxa"/>
            <w:tcBorders/>
            <w:shd w:fill="auto" w:val="clear"/>
            <w:vAlign w:val="center"/>
          </w:tcPr>
          <w:p>
            <w:pPr>
              <w:pStyle w:val="TableContents"/>
              <w:spacing w:before="0" w:after="0"/>
              <w:ind w:left="0" w:right="0" w:hanging="0"/>
              <w:rPr/>
            </w:pPr>
            <w:r>
              <w:rPr/>
              <w:t>​</w:t>
            </w:r>
          </w:p>
        </w:tc>
        <w:tc>
          <w:tcPr>
            <w:tcW w:w="176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with Capital Buffer</w:t>
            </w:r>
          </w:p>
        </w:tc>
        <w:tc>
          <w:tcPr>
            <w:tcW w:w="346" w:type="dxa"/>
            <w:tcBorders/>
            <w:shd w:fill="auto" w:val="clear"/>
            <w:vAlign w:val="center"/>
          </w:tcPr>
          <w:p>
            <w:pPr>
              <w:pStyle w:val="TableContents"/>
              <w:spacing w:before="0" w:after="0"/>
              <w:ind w:left="0" w:right="0" w:hanging="0"/>
              <w:rPr/>
            </w:pPr>
            <w:r>
              <w:rPr/>
              <w:t>​</w:t>
            </w:r>
          </w:p>
        </w:tc>
        <w:tc>
          <w:tcPr>
            <w:tcW w:w="1996"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Action Provisions</w:t>
            </w:r>
          </w:p>
        </w:tc>
        <w:tc>
          <w:tcPr>
            <w:tcW w:w="301" w:type="dxa"/>
            <w:tcBorders/>
            <w:shd w:fill="auto" w:val="clear"/>
            <w:vAlign w:val="center"/>
          </w:tcPr>
          <w:p>
            <w:pPr>
              <w:pStyle w:val="TableContents"/>
              <w:spacing w:before="0" w:after="0"/>
              <w:ind w:left="0" w:right="0" w:hanging="0"/>
              <w:jc w:val="center"/>
              <w:rPr/>
            </w:pPr>
            <w:r>
              <w:rPr/>
              <w:t> </w:t>
            </w:r>
          </w:p>
        </w:tc>
      </w:tr>
      <w:tr>
        <w:trPr/>
        <w:tc>
          <w:tcPr>
            <w:tcW w:w="14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Bank Only</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0"/>
              <w:ind w:left="0" w:right="0" w:hanging="0"/>
              <w:jc w:val="center"/>
              <w:rPr/>
            </w:pPr>
            <w:r>
              <w:rPr/>
              <w:t>    </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Ratio</w:t>
            </w:r>
          </w:p>
        </w:tc>
        <w:tc>
          <w:tcPr>
            <w:tcW w:w="3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0"/>
              <w:ind w:left="0" w:right="0" w:hanging="0"/>
              <w:jc w:val="center"/>
              <w:rPr/>
            </w:pPr>
            <w:r>
              <w:rPr/>
              <w:t>    </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Ratio</w:t>
            </w:r>
          </w:p>
        </w:tc>
        <w:tc>
          <w:tcPr>
            <w:tcW w:w="3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0"/>
              <w:ind w:left="0" w:right="0" w:hanging="0"/>
              <w:jc w:val="center"/>
              <w:rPr/>
            </w:pPr>
            <w:r>
              <w:rPr/>
              <w:t>    </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Ratio</w:t>
            </w:r>
          </w:p>
        </w:tc>
        <w:tc>
          <w:tcPr>
            <w:tcW w:w="346" w:type="dxa"/>
            <w:tcBorders/>
            <w:shd w:fill="auto" w:val="clear"/>
            <w:vAlign w:val="center"/>
          </w:tcPr>
          <w:p>
            <w:pPr>
              <w:pStyle w:val="TableContents"/>
              <w:spacing w:before="0" w:after="0"/>
              <w:ind w:left="0" w:right="0" w:hanging="0"/>
              <w:jc w:val="center"/>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67" w:type="dxa"/>
            <w:tcBorders/>
            <w:shd w:fill="auto" w:val="clear"/>
            <w:vAlign w:val="center"/>
          </w:tcPr>
          <w:p>
            <w:pPr>
              <w:pStyle w:val="TableContents"/>
              <w:spacing w:before="0" w:after="0"/>
              <w:ind w:left="0" w:right="0" w:hanging="0"/>
              <w:jc w:val="center"/>
              <w:rPr/>
            </w:pPr>
            <w:r>
              <w:rPr/>
              <w:t>    </w:t>
            </w:r>
          </w:p>
        </w:tc>
        <w:tc>
          <w:tcPr>
            <w:tcW w:w="62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Ratio</w:t>
            </w:r>
          </w:p>
        </w:tc>
        <w:tc>
          <w:tcPr>
            <w:tcW w:w="301" w:type="dxa"/>
            <w:tcBorders/>
            <w:shd w:fill="auto" w:val="clear"/>
            <w:vAlign w:val="center"/>
          </w:tcPr>
          <w:p>
            <w:pPr>
              <w:pStyle w:val="TableContents"/>
              <w:spacing w:before="0" w:after="0"/>
              <w:ind w:left="0" w:right="0" w:hanging="0"/>
              <w:jc w:val="center"/>
              <w:rPr/>
            </w:pPr>
            <w:r>
              <w:rPr/>
              <w:t> </w:t>
            </w:r>
          </w:p>
        </w:tc>
      </w:tr>
      <w:tr>
        <w:trPr/>
        <w:tc>
          <w:tcPr>
            <w:tcW w:w="1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At March 31, 2023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55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55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55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pPr>
            <w:r>
              <w:rPr/>
              <w:t>​</w:t>
            </w:r>
          </w:p>
        </w:tc>
        <w:tc>
          <w:tcPr>
            <w:tcW w:w="779" w:type="dxa"/>
            <w:tcBorders/>
            <w:shd w:fill="CCEEFF" w:val="clear"/>
            <w:vAlign w:val="center"/>
          </w:tcPr>
          <w:p>
            <w:pPr>
              <w:pStyle w:val="TableContents"/>
              <w:spacing w:before="0" w:after="0"/>
              <w:ind w:left="0" w:right="0" w:hanging="0"/>
              <w:jc w:val="right"/>
              <w:rPr/>
            </w:pPr>
            <w:r>
              <w:rPr/>
              <w:t>  </w:t>
            </w:r>
          </w:p>
        </w:tc>
        <w:tc>
          <w:tcPr>
            <w:tcW w:w="367"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pPr>
            <w:r>
              <w:rPr/>
              <w:t>  </w:t>
            </w:r>
          </w:p>
        </w:tc>
        <w:tc>
          <w:tcPr>
            <w:tcW w:w="301" w:type="dxa"/>
            <w:tcBorders/>
            <w:shd w:fill="CCEEFF" w:val="clear"/>
            <w:vAlign w:val="center"/>
          </w:tcPr>
          <w:p>
            <w:pPr>
              <w:pStyle w:val="TableContents"/>
              <w:spacing w:before="0" w:after="0"/>
              <w:ind w:left="0" w:right="0" w:hanging="0"/>
              <w:rPr/>
            </w:pPr>
            <w:r>
              <w:rPr/>
              <w:t>​</w:t>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risk-based capital</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 </w:t>
            </w:r>
          </w:p>
        </w:tc>
        <w:tc>
          <w:tcPr>
            <w:tcW w:w="221"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jc w:val="right"/>
              <w:rPr/>
            </w:pPr>
            <w:r>
              <w:rPr/>
              <w:t>  </w:t>
            </w:r>
          </w:p>
        </w:tc>
        <w:tc>
          <w:tcPr>
            <w:tcW w:w="367"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rPr/>
            </w:pPr>
            <w:r>
              <w:rPr/>
              <w:t>​</w:t>
            </w:r>
          </w:p>
        </w:tc>
      </w:tr>
      <w:tr>
        <w:trPr/>
        <w:tc>
          <w:tcPr>
            <w:tcW w:w="141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 risk-weighted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313,284</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12.69</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197,564</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259,303</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22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246,955</w:t>
            </w:r>
          </w:p>
        </w:tc>
        <w:tc>
          <w:tcPr>
            <w:tcW w:w="367"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Tier 1 risk-based capital</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 </w:t>
            </w:r>
          </w:p>
        </w:tc>
        <w:tc>
          <w:tcPr>
            <w:tcW w:w="779"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rPr/>
            </w:pPr>
            <w:r>
              <w:rPr/>
              <w:t>​</w:t>
            </w:r>
          </w:p>
        </w:tc>
      </w:tr>
      <w:tr>
        <w:trPr/>
        <w:tc>
          <w:tcPr>
            <w:tcW w:w="141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 risk-weighted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282,398</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11.44</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148,173</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209,912</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22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197,564</w:t>
            </w:r>
          </w:p>
        </w:tc>
        <w:tc>
          <w:tcPr>
            <w:tcW w:w="367"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Tier 1 leverage capital</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 </w:t>
            </w:r>
          </w:p>
        </w:tc>
        <w:tc>
          <w:tcPr>
            <w:tcW w:w="779"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rPr/>
            </w:pPr>
            <w:r>
              <w:rPr/>
              <w:t>​</w:t>
            </w:r>
          </w:p>
        </w:tc>
      </w:tr>
      <w:tr>
        <w:trPr/>
        <w:tc>
          <w:tcPr>
            <w:tcW w:w="141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 average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282,398</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10.39</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108,748</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46" w:type="dxa"/>
            <w:tcBorders/>
            <w:shd w:fill="CCEEFF" w:val="clear"/>
            <w:vAlign w:val="center"/>
          </w:tcPr>
          <w:p>
            <w:pPr>
              <w:pStyle w:val="TableContents"/>
              <w:spacing w:before="0" w:after="0"/>
              <w:ind w:left="0" w:right="0" w:hanging="0"/>
              <w:rPr/>
            </w:pPr>
            <w:r>
              <w:rPr/>
              <w:t>​</w:t>
            </w:r>
          </w:p>
        </w:tc>
        <w:tc>
          <w:tcPr>
            <w:tcW w:w="22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135,935</w:t>
            </w:r>
          </w:p>
        </w:tc>
        <w:tc>
          <w:tcPr>
            <w:tcW w:w="367"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5.00</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CET 1 capital</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 </w:t>
            </w:r>
          </w:p>
        </w:tc>
        <w:tc>
          <w:tcPr>
            <w:tcW w:w="779"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rPr/>
            </w:pPr>
            <w:r>
              <w:rPr/>
              <w:t> </w:t>
            </w:r>
          </w:p>
        </w:tc>
        <w:tc>
          <w:tcPr>
            <w:tcW w:w="629" w:type="dxa"/>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rPr/>
            </w:pPr>
            <w:r>
              <w:rPr/>
              <w:t>​</w:t>
            </w:r>
          </w:p>
        </w:tc>
      </w:tr>
      <w:tr>
        <w:trPr/>
        <w:tc>
          <w:tcPr>
            <w:tcW w:w="141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 risk-weighted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282,398</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11.44</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111,130</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172,868</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22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160,521</w:t>
            </w:r>
          </w:p>
        </w:tc>
        <w:tc>
          <w:tcPr>
            <w:tcW w:w="367" w:type="dxa"/>
            <w:tcBorders/>
            <w:shd w:fill="CCEEFF" w:val="clear"/>
            <w:vAlign w:val="center"/>
          </w:tcPr>
          <w:p>
            <w:pPr>
              <w:pStyle w:val="TableContents"/>
              <w:spacing w:before="0" w:after="0"/>
              <w:ind w:left="0" w:right="0" w:hanging="0"/>
              <w:rPr/>
            </w:pPr>
            <w:r>
              <w:rPr/>
              <w:t> </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r>
      <w:tr>
        <w:trPr/>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pPr>
            <w:r>
              <w:rPr/>
              <w:t>​</w:t>
            </w:r>
          </w:p>
        </w:tc>
        <w:tc>
          <w:tcPr>
            <w:tcW w:w="30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In addition to the minimum CET 1, Tier 1, total capital, and leverage ratios, the Bank is required to maintain a capital conservation buffer consisting of additional CET 1 capital greater than 2.5% of risk-weighted assets above the required minimum levels in order to avoid limitations on paying dividends, engaging in share repurchases, and paying discretionary bonuses based on percentages of eligible retained income that could be utilized for such actions. At March 31, 2023, the Bank’s capital exceeded the conservation buffer.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a bank holding company registered with the Federal Reserve. Bank holding companies are subject to capital adequacy requirements of the Federal Reserve under the Bank Holding Company Act of 1956, as amended, and the regulations of the Federal Reserve.  Bank holding companies with less than $3.0 billion in assets are generally not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expects the holding company’s subsidiary bank to be well capitalized under the prompt corrective action regulations. If the Company were subject to regulatory guidelines for bank holding companies with $3.0 billion or more in assets at March 31, 2023, it would have exceeded all regulatory capital requirements. For informational purposes, the regulatory capital ratios calculated for the Company at March 31, 2023 were 8.9% for Tier 1 leverage-based capital, 9.7% for Tier 1 risk-based capital, 13.0% for total risk-based capital, and 9.7% for CET 1 capital ratio.  The regulatory capital ratios calculated for the Company at December 31, 2022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were 9.7% for Tier 1 leverage-based capital, 10.7% for Tier 1 risk-based capital, 14.0% for total risk-based capital, and 10.7% for CET 1 capital ratio.</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bookmarkStart w:id="3440" w:name="assignedliabilitiestofundsegmentassets_1"/>
      <w:bookmarkStart w:id="3441" w:name="segmentassets_454564"/>
      <w:bookmarkEnd w:id="3440"/>
      <w:bookmarkEnd w:id="3441"/>
      <w:r>
        <w:rPr>
          <w:rFonts w:ascii="Times New Roman;Times;serif" w:hAnsi="Times New Roman;Times;serif"/>
          <w:b/>
          <w:sz w:val="20"/>
        </w:rPr>
        <w:t>NOTE 15 – BUSINESS SEGMENTS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business segments are determined based on the products and services provided, as well as the nature of the related business activities, and they reflect the manner in which financial information is currently evaluated by management. This process is dynamic and is based on management’s current view of the Company’s operations and is not necessarily comparable with similar information for other financial institutions. The Company defines its business segments by product type and customer segment which it has organized into two lines of business: commercial and consumer banking and home lending.</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uses various management accounting methodologies to assign certain income statement items to the responsible operating segment, including:</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00"/>
              <w:jc w:val="both"/>
              <w:rPr/>
            </w:pPr>
            <w:r>
              <w:rPr/>
              <w:t>●</w:t>
            </w:r>
          </w:p>
        </w:tc>
        <w:tc>
          <w:tcPr>
            <w:tcW w:w="9934"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 funds transfer pricing (“FTP”) system, which allocates interest income credits and funding charges between the segments, assigning to each segment a funding credit for its liabilities, such as deposits, and a charge to fund its assets;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00"/>
              <w:jc w:val="both"/>
              <w:rPr/>
            </w:pPr>
            <w:r>
              <w:rPr/>
              <w:t>●</w:t>
            </w:r>
          </w:p>
        </w:tc>
        <w:tc>
          <w:tcPr>
            <w:tcW w:w="9934"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 cost per loan serviced allocation based on the number of loans being serviced on the balance sheet and the number of loans serviced for third parties;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00"/>
              <w:jc w:val="both"/>
              <w:rPr/>
            </w:pPr>
            <w:r>
              <w:rPr/>
              <w:t>●</w:t>
            </w:r>
          </w:p>
        </w:tc>
        <w:tc>
          <w:tcPr>
            <w:tcW w:w="9934"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an allocation based upon the approximate square footage utilized by the home lending segment in Company owned locations;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00"/>
              <w:jc w:val="both"/>
              <w:rPr/>
            </w:pPr>
            <w:r>
              <w:rPr/>
              <w:t>●</w:t>
            </w:r>
          </w:p>
        </w:tc>
        <w:tc>
          <w:tcPr>
            <w:tcW w:w="9934"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an allocation of charges for services rendered to the segments by centralized functions, such as corporate overhead, which are generally based on the number of full-time employees (“FTEs”) in each segment; and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00"/>
              <w:jc w:val="both"/>
              <w:rPr/>
            </w:pPr>
            <w:r>
              <w:rPr/>
              <w:t>●</w:t>
            </w:r>
          </w:p>
        </w:tc>
        <w:tc>
          <w:tcPr>
            <w:tcW w:w="9934"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an allocation of the Company’s consolidated income taxes which are based on the effective tax rate applied to the segment’s pretax income or loss.</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FTP methodology is based on management’s estimated cost of originating funds including the cost of overhead for deposit generation.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 description of the Company’s business segments and the products and services that they provide is as follows: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Commercial and Consumer Banking Segment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March 31, 2023, the Company’s retail deposit branch network consisted of 27 branches in the Pacific Northwest. This segment is also responsible for the management of the investment portfolio and other assets of the Bank.</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Home Lending Segment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home lending segment originates one-to-four-family residential mortgage loans primarily for sale in the secondary markets as well as  loans held for investment. The majority of mortgage loans are sold to or securitized by FNMA, FHLMC, GNMA, or the FHLB of Des Moines, while the Company generally retains the right to service these loans. Loans originated under the guidelines of the Federal Housing Administration or (“FHA”), US Department of Veterans Affairs or VA, and United States Department of Agriculture or USDA are generally sold servicing released to a correspondent bank or mortgage company. The Company has the option to sell loans on a servicing-released or servicing-retained basis to securitizers and correspondent lenders. A small percentage of its loans are brokered to other lenders. On occasion, the Company may sell a portion of its MSR portfolio and may sell small pools of loans initially originated to be held in the loan portfolio. The Company manages the loan funding and the interest rate risk associated with the secondary market loan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3442" w:name="Tc_W6xR-rk7ikSejfsfQtpeig_11_0"/>
      <w:bookmarkStart w:id="3443" w:name="Tc_C9FWt5AyBU-41by1RrGpmQ_10_8"/>
      <w:bookmarkStart w:id="3444" w:name="Tc_IMteBc_-t0K1udMi1xt-AA_10_5"/>
      <w:bookmarkStart w:id="3445" w:name="Tc_AiNblLWLmUKo_brN7aeC_w_10_2"/>
      <w:bookmarkStart w:id="3446" w:name="Tc_sgBN8xqx502i7NrXsB6roQ_10_0"/>
      <w:bookmarkStart w:id="3447" w:name="Tc_zldYne8YYU2dF9Fdf18VCA_9_8"/>
      <w:bookmarkStart w:id="3448" w:name="Tc_UdXYOArPMEydfUoZXYlyWw_9_5"/>
      <w:bookmarkStart w:id="3449" w:name="Tc_bdb1kopm9kWvLF_AADjqFg_9_2"/>
      <w:bookmarkStart w:id="3450" w:name="Tc_Cs15i6cx20y8aYM8BEufEA_9_0"/>
      <w:bookmarkStart w:id="3451" w:name="Tc_G-G_cV5UOkeTpsW1LRugwQ_8_0"/>
      <w:bookmarkStart w:id="3452" w:name="Tc_F9UdAuOWsEWwXtdigpk-_Q_7_0"/>
      <w:bookmarkStart w:id="3453" w:name="Tc_1msdinCciEmwaGhlikvr9Q_6_0"/>
      <w:bookmarkStart w:id="3454" w:name="Tc_cV8MHXeJp0mAVW_-0Z0_YA_5_0"/>
      <w:bookmarkStart w:id="3455" w:name="Tc_odt6xGvBG0aKi5N_a85m_Q_4_0"/>
      <w:bookmarkStart w:id="3456" w:name="Tc_vMC0sKK-0k61SWa43l89Xw_3_8"/>
      <w:bookmarkStart w:id="3457" w:name="Tc_HB_8Uhk-vEuC2G8yt6tKgQ_3_5"/>
      <w:bookmarkStart w:id="3458" w:name="Tc_iroTIOeFRk6iJ9bSYs551Q_3_2"/>
      <w:bookmarkStart w:id="3459" w:name="Tc_Bx5NCWXafE2-OZTu9RayXw_3_0"/>
      <w:bookmarkStart w:id="3460" w:name="Tc_yiBvWjmXX0GTn6fPdvBhMg_2_8"/>
      <w:bookmarkStart w:id="3461" w:name="Tc_N-QNPjL5qESEk-mHbJ8YMA_2_5"/>
      <w:bookmarkStart w:id="3462" w:name="Tc_6nET1cMF2UO-lyBCwVYn1Q_2_2"/>
      <w:bookmarkStart w:id="3463" w:name="Tc_ZRfDPo_YIkaT4DPpj9vtCA_2_0"/>
      <w:bookmarkStart w:id="3464" w:name="Tc_CiwcsyI54EC7uZzTaJnXQA_1_2"/>
      <w:bookmarkStart w:id="3465" w:name="_fc1ee87b_4b98_4912_866f_583bbf9a0ab8"/>
      <w:bookmarkStart w:id="3466" w:name="Tc_IyT9Wg6ZXU-7pRKFzJ2azw_11_0"/>
      <w:bookmarkStart w:id="3467" w:name="Tc_QGdEGjvtxU-kxYiV7KNM6w_10_8"/>
      <w:bookmarkStart w:id="3468" w:name="Tc_sDB0G2hg5EeL1wtRrGh1xg_10_5"/>
      <w:bookmarkStart w:id="3469" w:name="Tc_D8UUd9uhGkOqb6HwY0MlEA_10_2"/>
      <w:bookmarkStart w:id="3470" w:name="Tc_W3TfEIc2Ok6d_LZTwHlPNg_10_0"/>
      <w:bookmarkStart w:id="3471" w:name="Tc_t3NEGeNZj0e_q1_5tddbRw_9_8"/>
      <w:bookmarkStart w:id="3472" w:name="Tc_FdoH81Sfnk-sycquGUno8w_9_5"/>
      <w:bookmarkStart w:id="3473" w:name="Tc_Vz3Fj54o9U2rJcHfH9vlMQ_9_2"/>
      <w:bookmarkStart w:id="3474" w:name="Tc_lHbIesDYLkqoy12hTqezfA_9_0"/>
      <w:bookmarkStart w:id="3475" w:name="Tc_EEVvZRvcXUqzwdk8LDUi3Q_8_0"/>
      <w:bookmarkStart w:id="3476" w:name="Tc_fepPwI9qkEK0wprlDecxMg_7_0"/>
      <w:bookmarkStart w:id="3477" w:name="Tc_zwkM3y0ueESZBURLVtBMOw_6_0"/>
      <w:bookmarkStart w:id="3478" w:name="Tc_DL6kzfj-xU-MiKxtQ2_8ag_5_0"/>
      <w:bookmarkStart w:id="3479" w:name="Tc_m35QcnTq70iJ1I4NQji5Bw_4_0"/>
      <w:bookmarkStart w:id="3480" w:name="Tc_OtKyfC_UdkqY_FMqVUNZqw_3_8"/>
      <w:bookmarkStart w:id="3481" w:name="Tc_T4HdI1Gym0KLb3dT1jlNtw_3_5"/>
      <w:bookmarkStart w:id="3482" w:name="Tc_U7irKfjQFUae5qajMrKHSw_3_2"/>
      <w:bookmarkStart w:id="3483" w:name="Tc_zdDHhSOIs0SgIyy-LXRz1w_3_0"/>
      <w:bookmarkStart w:id="3484" w:name="Tc_QjYUMsKYoUi7SjYQ1sUogw_2_8"/>
      <w:bookmarkStart w:id="3485" w:name="Tc_v8e4tCWKL0en9ZnFbNRANQ_2_5"/>
      <w:bookmarkStart w:id="3486" w:name="Tc_DCU64NDmQkWZTT73nhXwAA_2_2"/>
      <w:bookmarkStart w:id="3487" w:name="Tc_JhHi1QaIVUyrD_jCHzKb6Q_2_0"/>
      <w:bookmarkStart w:id="3488" w:name="Tc_ZFKxyeKnJ0CHMW5S2fsflg_1_2"/>
      <w:bookmarkStart w:id="3489" w:name="_fd1dec90_3eb0_46ea_8a7b_6034265c75b4"/>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r>
        <w:rPr>
          <w:rFonts w:ascii="Times New Roman;Times;serif" w:hAnsi="Times New Roman;Times;serif"/>
          <w:sz w:val="20"/>
        </w:rPr>
        <w:t>sales and the retained one-to-four-family mortgage servicing rights within this business segment. One-to-four-family loans originated for investment and held in this segment are allocated to the home lending segment with a corresponding provision expense and FTP for cost of funds.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Segment Financial Results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tables below summarize the financial results for each segment based on the factors mentioned above within each segment for the three months ended March 31, 2023 and 2022:</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736"/>
        <w:gridCol w:w="326"/>
        <w:gridCol w:w="534"/>
        <w:gridCol w:w="2358"/>
        <w:gridCol w:w="346"/>
        <w:gridCol w:w="273"/>
        <w:gridCol w:w="1017"/>
        <w:gridCol w:w="346"/>
        <w:gridCol w:w="224"/>
        <w:gridCol w:w="1045"/>
      </w:tblGrid>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34" w:type="dxa"/>
            <w:tcBorders/>
            <w:shd w:fill="auto" w:val="clear"/>
            <w:vAlign w:val="center"/>
          </w:tcPr>
          <w:p>
            <w:pPr>
              <w:pStyle w:val="TableContents"/>
              <w:spacing w:before="0" w:after="0"/>
              <w:ind w:left="0" w:right="0" w:hanging="0"/>
              <w:rPr/>
            </w:pPr>
            <w:r>
              <w:rPr/>
              <w:t>​</w:t>
            </w:r>
          </w:p>
        </w:tc>
        <w:tc>
          <w:tcPr>
            <w:tcW w:w="2358"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1017"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w:t>
            </w:r>
          </w:p>
        </w:tc>
        <w:tc>
          <w:tcPr>
            <w:tcW w:w="1045" w:type="dxa"/>
            <w:tcBorders/>
            <w:shd w:fill="auto" w:val="clear"/>
            <w:vAlign w:val="center"/>
          </w:tcPr>
          <w:p>
            <w:pPr>
              <w:pStyle w:val="TableContents"/>
              <w:spacing w:before="0" w:after="0"/>
              <w:ind w:left="0" w:right="0" w:hanging="0"/>
              <w:rPr/>
            </w:pPr>
            <w:r>
              <w:rPr/>
              <w:t>​</w: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14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Three Months Ended March 31, 2023</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Condensed income statement:</w:t>
            </w:r>
          </w:p>
        </w:tc>
        <w:tc>
          <w:tcPr>
            <w:tcW w:w="326" w:type="dxa"/>
            <w:tcBorders/>
            <w:shd w:fill="auto" w:val="clear"/>
            <w:vAlign w:val="center"/>
          </w:tcPr>
          <w:p>
            <w:pPr>
              <w:pStyle w:val="TableContents"/>
              <w:spacing w:before="0" w:after="0"/>
              <w:ind w:left="0" w:right="0" w:hanging="0"/>
              <w:jc w:val="center"/>
              <w:rPr/>
            </w:pPr>
            <w:r>
              <w:rPr/>
              <w:t>    </w:t>
            </w:r>
          </w:p>
        </w:tc>
        <w:tc>
          <w:tcPr>
            <w:tcW w:w="28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Commercial and Consumer Banking</w:t>
            </w:r>
          </w:p>
        </w:tc>
        <w:tc>
          <w:tcPr>
            <w:tcW w:w="34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Home Lending</w:t>
            </w:r>
          </w:p>
        </w:tc>
        <w:tc>
          <w:tcPr>
            <w:tcW w:w="346" w:type="dxa"/>
            <w:tcBorders/>
            <w:shd w:fill="auto" w:val="clear"/>
            <w:vAlign w:val="center"/>
          </w:tcPr>
          <w:p>
            <w:pPr>
              <w:pStyle w:val="TableContents"/>
              <w:spacing w:before="0" w:after="0"/>
              <w:ind w:left="0" w:right="0" w:hanging="0"/>
              <w:jc w:val="center"/>
              <w:rPr/>
            </w:pPr>
            <w:r>
              <w:rPr/>
              <w:t>    </w:t>
            </w:r>
          </w:p>
        </w:tc>
        <w:tc>
          <w:tcPr>
            <w:tcW w:w="12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73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Net interest income </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 </w:t>
            </w:r>
          </w:p>
        </w:tc>
        <w:tc>
          <w:tcPr>
            <w:tcW w:w="5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3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27,500</w:t>
            </w:r>
          </w:p>
        </w:tc>
        <w:tc>
          <w:tcPr>
            <w:tcW w:w="34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3,162</w:t>
            </w:r>
          </w:p>
        </w:tc>
        <w:tc>
          <w:tcPr>
            <w:tcW w:w="346"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30,662</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(Provision for) reversal of credit losses on loans </w:t>
            </w:r>
          </w:p>
        </w:tc>
        <w:tc>
          <w:tcPr>
            <w:tcW w:w="326" w:type="dxa"/>
            <w:tcBorders/>
            <w:shd w:fill="auto" w:val="clear"/>
            <w:vAlign w:val="center"/>
          </w:tcPr>
          <w:p>
            <w:pPr>
              <w:pStyle w:val="TableContents"/>
              <w:spacing w:before="0" w:after="0"/>
              <w:ind w:left="0" w:right="0" w:hanging="0"/>
              <w:rPr/>
            </w:pPr>
            <w:r>
              <w:rPr/>
              <w:t>​</w:t>
            </w:r>
          </w:p>
        </w:tc>
        <w:tc>
          <w:tcPr>
            <w:tcW w:w="534" w:type="dxa"/>
            <w:tcBorders/>
            <w:shd w:fill="auto" w:val="clear"/>
            <w:vAlign w:val="center"/>
          </w:tcPr>
          <w:p>
            <w:pPr>
              <w:pStyle w:val="TableContents"/>
              <w:spacing w:before="0" w:after="0"/>
              <w:ind w:left="0" w:right="0" w:hanging="0"/>
              <w:rPr/>
            </w:pPr>
            <w:r>
              <w:rPr/>
              <w:t> </w:t>
            </w:r>
          </w:p>
        </w:tc>
        <w:tc>
          <w:tcPr>
            <w:tcW w:w="23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(2,122)</w:t>
            </w:r>
          </w:p>
        </w:tc>
        <w:tc>
          <w:tcPr>
            <w:tcW w:w="34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10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104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(2,108)</w:t>
            </w:r>
          </w:p>
        </w:tc>
      </w:tr>
      <w:tr>
        <w:trPr/>
        <w:tc>
          <w:tcPr>
            <w:tcW w:w="373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Noninterest income </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534" w:type="dxa"/>
            <w:tcBorders/>
            <w:shd w:fill="CCEEFF" w:val="clear"/>
            <w:vAlign w:val="center"/>
          </w:tcPr>
          <w:p>
            <w:pPr>
              <w:pStyle w:val="TableContents"/>
              <w:spacing w:before="0" w:after="0"/>
              <w:ind w:left="0" w:right="0" w:hanging="0"/>
              <w:rPr/>
            </w:pPr>
            <w:r>
              <w:rPr/>
              <w:t> </w:t>
            </w:r>
          </w:p>
        </w:tc>
        <w:tc>
          <w:tcPr>
            <w:tcW w:w="23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34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2,839</w:t>
            </w:r>
          </w:p>
        </w:tc>
        <w:tc>
          <w:tcPr>
            <w:tcW w:w="34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10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5,219</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Noninterest expense</w:t>
            </w:r>
          </w:p>
        </w:tc>
        <w:tc>
          <w:tcPr>
            <w:tcW w:w="326" w:type="dxa"/>
            <w:tcBorders/>
            <w:shd w:fill="auto" w:val="clear"/>
            <w:vAlign w:val="center"/>
          </w:tcPr>
          <w:p>
            <w:pPr>
              <w:pStyle w:val="TableContents"/>
              <w:spacing w:before="0" w:after="0"/>
              <w:ind w:left="0" w:right="0" w:hanging="0"/>
              <w:rPr/>
            </w:pPr>
            <w:r>
              <w:rPr/>
              <w:t>​</w:t>
            </w:r>
          </w:p>
        </w:tc>
        <w:tc>
          <w:tcPr>
            <w:tcW w:w="5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3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(18,610)</w:t>
            </w:r>
          </w:p>
        </w:tc>
        <w:tc>
          <w:tcPr>
            <w:tcW w:w="346" w:type="dxa"/>
            <w:tcBorders/>
            <w:shd w:fill="auto" w:val="clear"/>
            <w:vAlign w:val="center"/>
          </w:tcPr>
          <w:p>
            <w:pPr>
              <w:pStyle w:val="TableContents"/>
              <w:spacing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(4,914)</w:t>
            </w:r>
          </w:p>
        </w:tc>
        <w:tc>
          <w:tcPr>
            <w:tcW w:w="346" w:type="dxa"/>
            <w:tcBorders/>
            <w:shd w:fill="auto" w:val="clear"/>
            <w:vAlign w:val="center"/>
          </w:tcPr>
          <w:p>
            <w:pPr>
              <w:pStyle w:val="TableContents"/>
              <w:spacing w:before="0" w:after="0"/>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(23,524)</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spacing w:before="0" w:after="0"/>
              <w:ind w:left="0" w:right="0" w:hanging="0"/>
              <w:rPr/>
            </w:pPr>
            <w:r>
              <w:rPr/>
              <w:t>​</w:t>
            </w:r>
          </w:p>
        </w:tc>
        <w:tc>
          <w:tcPr>
            <w:tcW w:w="534" w:type="dxa"/>
            <w:tcBorders/>
            <w:shd w:fill="CCEEFF" w:val="clear"/>
            <w:vAlign w:val="center"/>
          </w:tcPr>
          <w:p>
            <w:pPr>
              <w:pStyle w:val="TableContents"/>
              <w:spacing w:before="0" w:after="0"/>
              <w:ind w:left="0" w:right="0" w:hanging="0"/>
              <w:rPr/>
            </w:pPr>
            <w:r>
              <w:rPr/>
              <w:t> </w:t>
            </w:r>
          </w:p>
        </w:tc>
        <w:tc>
          <w:tcPr>
            <w:tcW w:w="23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9,148</w:t>
            </w:r>
          </w:p>
        </w:tc>
        <w:tc>
          <w:tcPr>
            <w:tcW w:w="34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1,101</w:t>
            </w:r>
          </w:p>
        </w:tc>
        <w:tc>
          <w:tcPr>
            <w:tcW w:w="34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10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10,249</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auto" w:val="clear"/>
            <w:vAlign w:val="center"/>
          </w:tcPr>
          <w:p>
            <w:pPr>
              <w:pStyle w:val="TableContents"/>
              <w:spacing w:before="0" w:after="0"/>
              <w:ind w:left="0" w:right="0" w:hanging="0"/>
              <w:rPr/>
            </w:pPr>
            <w:r>
              <w:rPr/>
              <w:t>​</w:t>
            </w:r>
          </w:p>
        </w:tc>
        <w:tc>
          <w:tcPr>
            <w:tcW w:w="5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3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c>
          <w:tcPr>
            <w:tcW w:w="346" w:type="dxa"/>
            <w:tcBorders/>
            <w:shd w:fill="auto" w:val="clear"/>
            <w:vAlign w:val="center"/>
          </w:tcPr>
          <w:p>
            <w:pPr>
              <w:pStyle w:val="TableContents"/>
              <w:spacing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shd w:fill="auto" w:val="clear"/>
            <w:vAlign w:val="center"/>
          </w:tcPr>
          <w:p>
            <w:pPr>
              <w:pStyle w:val="TableContents"/>
              <w:spacing w:before="0" w:after="0"/>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spacing w:before="0" w:after="0"/>
              <w:ind w:left="0" w:right="0" w:hanging="0"/>
              <w:rPr/>
            </w:pPr>
            <w:r>
              <w:rPr/>
              <w:t> </w:t>
            </w:r>
          </w:p>
        </w:tc>
        <w:tc>
          <w:tcPr>
            <w:tcW w:w="5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35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7,339</w:t>
            </w:r>
          </w:p>
        </w:tc>
        <w:tc>
          <w:tcPr>
            <w:tcW w:w="346" w:type="dxa"/>
            <w:tcBorders/>
            <w:shd w:fill="CCEEFF" w:val="clear"/>
            <w:vAlign w:val="center"/>
          </w:tcPr>
          <w:p>
            <w:pPr>
              <w:pStyle w:val="TableContents"/>
              <w:spacing w:before="0" w:after="0"/>
              <w:ind w:left="0" w:right="0" w:hanging="0"/>
              <w:rPr/>
            </w:pPr>
            <w:r>
              <w:rPr/>
              <w:t>​</w:t>
            </w:r>
          </w:p>
        </w:tc>
        <w:tc>
          <w:tcPr>
            <w:tcW w:w="27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shd w:fill="CCEEFF" w:val="clear"/>
            <w:vAlign w:val="center"/>
          </w:tcPr>
          <w:p>
            <w:pPr>
              <w:pStyle w:val="TableContents"/>
              <w:spacing w:before="0" w:after="0"/>
              <w:ind w:left="0" w:right="0" w:hanging="0"/>
              <w:rPr/>
            </w:pPr>
            <w:r>
              <w:rPr/>
              <w:t> </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8,212</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average assets for period ended</w:t>
            </w:r>
          </w:p>
        </w:tc>
        <w:tc>
          <w:tcPr>
            <w:tcW w:w="326" w:type="dxa"/>
            <w:tcBorders/>
            <w:shd w:fill="auto" w:val="clear"/>
            <w:vAlign w:val="center"/>
          </w:tcPr>
          <w:p>
            <w:pPr>
              <w:pStyle w:val="TableContents"/>
              <w:spacing w:before="0" w:after="0"/>
              <w:ind w:left="0" w:right="0" w:hanging="0"/>
              <w:rPr/>
            </w:pPr>
            <w:r>
              <w:rPr/>
              <w:t> </w:t>
            </w:r>
          </w:p>
        </w:tc>
        <w:tc>
          <w:tcPr>
            <w:tcW w:w="5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35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2,250,052</w:t>
            </w:r>
          </w:p>
        </w:tc>
        <w:tc>
          <w:tcPr>
            <w:tcW w:w="346" w:type="dxa"/>
            <w:tcBorders/>
            <w:shd w:fill="auto" w:val="clear"/>
            <w:vAlign w:val="center"/>
          </w:tcPr>
          <w:p>
            <w:pPr>
              <w:pStyle w:val="TableContents"/>
              <w:spacing w:before="0" w:after="0"/>
              <w:ind w:left="0" w:right="0" w:hanging="0"/>
              <w:rPr/>
            </w:pPr>
            <w:r>
              <w:rPr/>
              <w:t>​</w:t>
            </w:r>
          </w:p>
        </w:tc>
        <w:tc>
          <w:tcPr>
            <w:tcW w:w="2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491,974</w:t>
            </w:r>
          </w:p>
        </w:tc>
        <w:tc>
          <w:tcPr>
            <w:tcW w:w="346" w:type="dxa"/>
            <w:tcBorders/>
            <w:shd w:fill="auto" w:val="clear"/>
            <w:vAlign w:val="center"/>
          </w:tcPr>
          <w:p>
            <w:pPr>
              <w:pStyle w:val="TableContents"/>
              <w:spacing w:before="0" w:after="0"/>
              <w:ind w:left="0" w:right="0" w:hanging="0"/>
              <w:rPr/>
            </w:pPr>
            <w:r>
              <w:rPr/>
              <w:t> </w:t>
            </w:r>
          </w:p>
        </w:tc>
        <w:tc>
          <w:tcPr>
            <w:tcW w:w="2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2,742,026</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Full-time employees ("FTEs")</w:t>
            </w:r>
          </w:p>
        </w:tc>
        <w:tc>
          <w:tcPr>
            <w:tcW w:w="326" w:type="dxa"/>
            <w:tcBorders/>
            <w:shd w:fill="CCEEFF" w:val="clear"/>
            <w:vAlign w:val="center"/>
          </w:tcPr>
          <w:p>
            <w:pPr>
              <w:pStyle w:val="TableContents"/>
              <w:spacing w:before="0" w:after="0"/>
              <w:ind w:left="0" w:right="0" w:hanging="0"/>
              <w:rPr/>
            </w:pPr>
            <w:r>
              <w:rPr/>
              <w:t>​</w:t>
            </w:r>
          </w:p>
        </w:tc>
        <w:tc>
          <w:tcPr>
            <w:tcW w:w="53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235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shd w:fill="CCEEFF" w:val="clear"/>
            <w:vAlign w:val="center"/>
          </w:tcPr>
          <w:p>
            <w:pPr>
              <w:pStyle w:val="TableContents"/>
              <w:spacing w:before="0" w:after="0"/>
              <w:ind w:left="0" w:right="0" w:hanging="0"/>
              <w:rPr/>
            </w:pPr>
            <w:r>
              <w:rPr/>
              <w:t>​</w:t>
            </w:r>
          </w:p>
        </w:tc>
        <w:tc>
          <w:tcPr>
            <w:tcW w:w="273"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shd w:fill="CCEEFF" w:val="clear"/>
            <w:vAlign w:val="center"/>
          </w:tcPr>
          <w:p>
            <w:pPr>
              <w:pStyle w:val="TableContents"/>
              <w:spacing w:before="0" w:after="0"/>
              <w:ind w:left="0" w:right="0" w:hanging="0"/>
              <w:rPr/>
            </w:pPr>
            <w:r>
              <w:rPr/>
              <w:t>​</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4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586</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736"/>
        <w:gridCol w:w="326"/>
        <w:gridCol w:w="534"/>
        <w:gridCol w:w="2358"/>
        <w:gridCol w:w="346"/>
        <w:gridCol w:w="273"/>
        <w:gridCol w:w="1017"/>
        <w:gridCol w:w="346"/>
        <w:gridCol w:w="224"/>
        <w:gridCol w:w="1045"/>
      </w:tblGrid>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34" w:type="dxa"/>
            <w:tcBorders/>
            <w:shd w:fill="auto" w:val="clear"/>
            <w:vAlign w:val="center"/>
          </w:tcPr>
          <w:p>
            <w:pPr>
              <w:pStyle w:val="TableContents"/>
              <w:spacing w:before="0" w:after="0"/>
              <w:ind w:left="0" w:right="0" w:hanging="0"/>
              <w:rPr/>
            </w:pPr>
            <w:r>
              <w:rPr/>
              <w:t>​</w:t>
            </w:r>
          </w:p>
        </w:tc>
        <w:tc>
          <w:tcPr>
            <w:tcW w:w="2358"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1017"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w:t>
            </w:r>
          </w:p>
        </w:tc>
        <w:tc>
          <w:tcPr>
            <w:tcW w:w="1045" w:type="dxa"/>
            <w:tcBorders/>
            <w:shd w:fill="auto" w:val="clear"/>
            <w:vAlign w:val="center"/>
          </w:tcPr>
          <w:p>
            <w:pPr>
              <w:pStyle w:val="TableContents"/>
              <w:spacing w:before="0" w:after="0"/>
              <w:ind w:left="0" w:right="0" w:hanging="0"/>
              <w:rPr/>
            </w:pPr>
            <w:r>
              <w:rPr/>
              <w:t>​</w: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14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Three Months Ended March 31, 2022</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Condensed income statement:</w:t>
            </w:r>
          </w:p>
        </w:tc>
        <w:tc>
          <w:tcPr>
            <w:tcW w:w="326" w:type="dxa"/>
            <w:tcBorders/>
            <w:shd w:fill="auto" w:val="clear"/>
            <w:vAlign w:val="center"/>
          </w:tcPr>
          <w:p>
            <w:pPr>
              <w:pStyle w:val="TableContents"/>
              <w:spacing w:before="0" w:after="0"/>
              <w:ind w:left="0" w:right="0" w:hanging="0"/>
              <w:jc w:val="center"/>
              <w:rPr/>
            </w:pPr>
            <w:r>
              <w:rPr/>
              <w:t>    </w:t>
            </w:r>
          </w:p>
        </w:tc>
        <w:tc>
          <w:tcPr>
            <w:tcW w:w="28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Commercial and Consumer Banking</w:t>
            </w:r>
          </w:p>
        </w:tc>
        <w:tc>
          <w:tcPr>
            <w:tcW w:w="34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Home Lending</w:t>
            </w:r>
          </w:p>
        </w:tc>
        <w:tc>
          <w:tcPr>
            <w:tcW w:w="346" w:type="dxa"/>
            <w:tcBorders/>
            <w:shd w:fill="auto" w:val="clear"/>
            <w:vAlign w:val="center"/>
          </w:tcPr>
          <w:p>
            <w:pPr>
              <w:pStyle w:val="TableContents"/>
              <w:spacing w:before="0" w:after="0"/>
              <w:ind w:left="0" w:right="0" w:hanging="0"/>
              <w:jc w:val="center"/>
              <w:rPr/>
            </w:pPr>
            <w:r>
              <w:rPr/>
              <w:t>    </w:t>
            </w:r>
          </w:p>
        </w:tc>
        <w:tc>
          <w:tcPr>
            <w:tcW w:w="12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73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Net interest income </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 </w:t>
            </w:r>
          </w:p>
        </w:tc>
        <w:tc>
          <w:tcPr>
            <w:tcW w:w="5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3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20,278</w:t>
            </w:r>
          </w:p>
        </w:tc>
        <w:tc>
          <w:tcPr>
            <w:tcW w:w="34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2,444</w:t>
            </w:r>
          </w:p>
        </w:tc>
        <w:tc>
          <w:tcPr>
            <w:tcW w:w="346" w:type="dxa"/>
            <w:tcBorders/>
            <w:shd w:fill="CCEEFF" w:val="clear"/>
            <w:vAlign w:val="center"/>
          </w:tcPr>
          <w:p>
            <w:pPr>
              <w:pStyle w:val="TableContents"/>
              <w:spacing w:before="0" w:after="0"/>
              <w:ind w:left="0" w:right="0" w:hanging="0"/>
              <w:rPr/>
            </w:pPr>
            <w:r>
              <w:rPr/>
              <w:t> </w:t>
            </w:r>
          </w:p>
        </w:tc>
        <w:tc>
          <w:tcPr>
            <w:tcW w:w="2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22,722</w:t>
            </w:r>
          </w:p>
        </w:tc>
      </w:tr>
      <w:tr>
        <w:trPr/>
        <w:tc>
          <w:tcPr>
            <w:tcW w:w="373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(Provision for) reversal of credit losses on loans </w:t>
            </w:r>
          </w:p>
        </w:tc>
        <w:tc>
          <w:tcPr>
            <w:tcW w:w="326" w:type="dxa"/>
            <w:tcBorders/>
            <w:shd w:fill="auto" w:val="clear"/>
            <w:vAlign w:val="center"/>
          </w:tcPr>
          <w:p>
            <w:pPr>
              <w:pStyle w:val="TableContents"/>
              <w:spacing w:before="0" w:after="0"/>
              <w:ind w:left="0" w:right="0" w:hanging="0"/>
              <w:rPr/>
            </w:pPr>
            <w:r>
              <w:rPr/>
              <w:t>​</w:t>
            </w:r>
          </w:p>
        </w:tc>
        <w:tc>
          <w:tcPr>
            <w:tcW w:w="534" w:type="dxa"/>
            <w:tcBorders/>
            <w:shd w:fill="auto" w:val="clear"/>
            <w:vAlign w:val="center"/>
          </w:tcPr>
          <w:p>
            <w:pPr>
              <w:pStyle w:val="TableContents"/>
              <w:spacing w:before="0" w:after="0"/>
              <w:ind w:left="0" w:right="0" w:hanging="0"/>
              <w:rPr/>
            </w:pPr>
            <w:r>
              <w:rPr/>
              <w:t> </w:t>
            </w:r>
          </w:p>
        </w:tc>
        <w:tc>
          <w:tcPr>
            <w:tcW w:w="23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34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10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104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r>
      <w:tr>
        <w:trPr/>
        <w:tc>
          <w:tcPr>
            <w:tcW w:w="373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Noninterest income </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534" w:type="dxa"/>
            <w:tcBorders/>
            <w:shd w:fill="CCEEFF" w:val="clear"/>
            <w:vAlign w:val="center"/>
          </w:tcPr>
          <w:p>
            <w:pPr>
              <w:pStyle w:val="TableContents"/>
              <w:spacing w:before="0" w:after="0"/>
              <w:ind w:left="0" w:right="0" w:hanging="0"/>
              <w:rPr/>
            </w:pPr>
            <w:r>
              <w:rPr/>
              <w:t> </w:t>
            </w:r>
          </w:p>
        </w:tc>
        <w:tc>
          <w:tcPr>
            <w:tcW w:w="23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2,505</w:t>
            </w:r>
          </w:p>
        </w:tc>
        <w:tc>
          <w:tcPr>
            <w:tcW w:w="34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3,371</w:t>
            </w:r>
          </w:p>
        </w:tc>
        <w:tc>
          <w:tcPr>
            <w:tcW w:w="34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10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5,876</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Noninterest expense</w:t>
            </w:r>
          </w:p>
        </w:tc>
        <w:tc>
          <w:tcPr>
            <w:tcW w:w="326" w:type="dxa"/>
            <w:tcBorders/>
            <w:shd w:fill="auto" w:val="clear"/>
            <w:vAlign w:val="center"/>
          </w:tcPr>
          <w:p>
            <w:pPr>
              <w:pStyle w:val="TableContents"/>
              <w:spacing w:before="0" w:after="0"/>
              <w:ind w:left="0" w:right="0" w:hanging="0"/>
              <w:rPr/>
            </w:pPr>
            <w:r>
              <w:rPr/>
              <w:t>​</w:t>
            </w:r>
          </w:p>
        </w:tc>
        <w:tc>
          <w:tcPr>
            <w:tcW w:w="5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3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(14,176)</w:t>
            </w:r>
          </w:p>
        </w:tc>
        <w:tc>
          <w:tcPr>
            <w:tcW w:w="346" w:type="dxa"/>
            <w:tcBorders/>
            <w:shd w:fill="auto" w:val="clear"/>
            <w:vAlign w:val="center"/>
          </w:tcPr>
          <w:p>
            <w:pPr>
              <w:pStyle w:val="TableContents"/>
              <w:spacing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(4,891)</w:t>
            </w:r>
          </w:p>
        </w:tc>
        <w:tc>
          <w:tcPr>
            <w:tcW w:w="346" w:type="dxa"/>
            <w:tcBorders/>
            <w:shd w:fill="auto" w:val="clear"/>
            <w:vAlign w:val="center"/>
          </w:tcPr>
          <w:p>
            <w:pPr>
              <w:pStyle w:val="TableContents"/>
              <w:spacing w:before="0" w:after="0"/>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(19,067)</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spacing w:before="0" w:after="0"/>
              <w:ind w:left="0" w:right="0" w:hanging="0"/>
              <w:rPr/>
            </w:pPr>
            <w:r>
              <w:rPr/>
              <w:t>​</w:t>
            </w:r>
          </w:p>
        </w:tc>
        <w:tc>
          <w:tcPr>
            <w:tcW w:w="534" w:type="dxa"/>
            <w:tcBorders/>
            <w:shd w:fill="CCEEFF" w:val="clear"/>
            <w:vAlign w:val="center"/>
          </w:tcPr>
          <w:p>
            <w:pPr>
              <w:pStyle w:val="TableContents"/>
              <w:spacing w:before="0" w:after="0"/>
              <w:ind w:left="0" w:right="0" w:hanging="0"/>
              <w:rPr/>
            </w:pPr>
            <w:r>
              <w:rPr/>
              <w:t> </w:t>
            </w:r>
          </w:p>
        </w:tc>
        <w:tc>
          <w:tcPr>
            <w:tcW w:w="23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7,410</w:t>
            </w:r>
          </w:p>
        </w:tc>
        <w:tc>
          <w:tcPr>
            <w:tcW w:w="34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10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1,078</w:t>
            </w:r>
          </w:p>
        </w:tc>
        <w:tc>
          <w:tcPr>
            <w:tcW w:w="346"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10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8,488</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auto" w:val="clear"/>
            <w:vAlign w:val="center"/>
          </w:tcPr>
          <w:p>
            <w:pPr>
              <w:pStyle w:val="TableContents"/>
              <w:spacing w:before="0" w:after="0"/>
              <w:ind w:left="0" w:right="0" w:hanging="0"/>
              <w:rPr/>
            </w:pPr>
            <w:r>
              <w:rPr/>
              <w:t>​</w:t>
            </w:r>
          </w:p>
        </w:tc>
        <w:tc>
          <w:tcPr>
            <w:tcW w:w="5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3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46" w:type="dxa"/>
            <w:tcBorders/>
            <w:shd w:fill="auto" w:val="clear"/>
            <w:vAlign w:val="center"/>
          </w:tcPr>
          <w:p>
            <w:pPr>
              <w:pStyle w:val="TableContents"/>
              <w:spacing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shd w:fill="auto" w:val="clear"/>
            <w:vAlign w:val="center"/>
          </w:tcPr>
          <w:p>
            <w:pPr>
              <w:pStyle w:val="TableContents"/>
              <w:spacing w:before="0" w:after="0"/>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 </w:t>
            </w:r>
          </w:p>
        </w:tc>
        <w:tc>
          <w:tcPr>
            <w:tcW w:w="5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35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46" w:type="dxa"/>
            <w:tcBorders/>
            <w:shd w:fill="CCEEFF" w:val="clear"/>
            <w:vAlign w:val="center"/>
          </w:tcPr>
          <w:p>
            <w:pPr>
              <w:pStyle w:val="TableContents"/>
              <w:spacing w:before="0" w:after="0"/>
              <w:ind w:left="0" w:right="0" w:hanging="0"/>
              <w:rPr/>
            </w:pPr>
            <w:r>
              <w:rPr/>
              <w:t>​</w:t>
            </w:r>
          </w:p>
        </w:tc>
        <w:tc>
          <w:tcPr>
            <w:tcW w:w="27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346" w:type="dxa"/>
            <w:tcBorders/>
            <w:shd w:fill="CCEEFF" w:val="clear"/>
            <w:vAlign w:val="center"/>
          </w:tcPr>
          <w:p>
            <w:pPr>
              <w:pStyle w:val="TableContents"/>
              <w:spacing w:before="0" w:after="0"/>
              <w:ind w:left="0" w:right="0" w:hanging="0"/>
              <w:rPr/>
            </w:pPr>
            <w:r>
              <w:rPr/>
              <w:t> </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6,870</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average assets for period ended</w:t>
            </w:r>
          </w:p>
        </w:tc>
        <w:tc>
          <w:tcPr>
            <w:tcW w:w="326" w:type="dxa"/>
            <w:tcBorders/>
            <w:shd w:fill="auto" w:val="clear"/>
            <w:vAlign w:val="center"/>
          </w:tcPr>
          <w:p>
            <w:pPr>
              <w:pStyle w:val="TableContents"/>
              <w:spacing w:before="0" w:after="0"/>
              <w:ind w:left="0" w:right="0" w:hanging="0"/>
              <w:rPr/>
            </w:pPr>
            <w:r>
              <w:rPr/>
              <w:t> </w:t>
            </w:r>
          </w:p>
        </w:tc>
        <w:tc>
          <w:tcPr>
            <w:tcW w:w="5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35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1,884,820</w:t>
            </w:r>
          </w:p>
        </w:tc>
        <w:tc>
          <w:tcPr>
            <w:tcW w:w="346" w:type="dxa"/>
            <w:tcBorders/>
            <w:shd w:fill="auto" w:val="clear"/>
            <w:vAlign w:val="center"/>
          </w:tcPr>
          <w:p>
            <w:pPr>
              <w:pStyle w:val="TableContents"/>
              <w:spacing w:before="0" w:after="0"/>
              <w:ind w:left="0" w:right="0" w:hanging="0"/>
              <w:rPr/>
            </w:pPr>
            <w:r>
              <w:rPr/>
              <w:t>​</w:t>
            </w:r>
          </w:p>
        </w:tc>
        <w:tc>
          <w:tcPr>
            <w:tcW w:w="2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385,451</w:t>
            </w:r>
          </w:p>
        </w:tc>
        <w:tc>
          <w:tcPr>
            <w:tcW w:w="346" w:type="dxa"/>
            <w:tcBorders/>
            <w:shd w:fill="auto" w:val="clear"/>
            <w:vAlign w:val="center"/>
          </w:tcPr>
          <w:p>
            <w:pPr>
              <w:pStyle w:val="TableContents"/>
              <w:spacing w:before="0" w:after="0"/>
              <w:ind w:left="0" w:right="0" w:hanging="0"/>
              <w:rPr/>
            </w:pPr>
            <w:r>
              <w:rPr/>
              <w:t> </w:t>
            </w:r>
          </w:p>
        </w:tc>
        <w:tc>
          <w:tcPr>
            <w:tcW w:w="2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2,270,271</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FTEs</w:t>
            </w:r>
          </w:p>
        </w:tc>
        <w:tc>
          <w:tcPr>
            <w:tcW w:w="326" w:type="dxa"/>
            <w:tcBorders/>
            <w:shd w:fill="CCEEFF" w:val="clear"/>
            <w:vAlign w:val="center"/>
          </w:tcPr>
          <w:p>
            <w:pPr>
              <w:pStyle w:val="TableContents"/>
              <w:spacing w:before="0" w:after="0"/>
              <w:ind w:left="0" w:right="0" w:hanging="0"/>
              <w:rPr/>
            </w:pPr>
            <w:r>
              <w:rPr/>
              <w:t>​</w:t>
            </w:r>
          </w:p>
        </w:tc>
        <w:tc>
          <w:tcPr>
            <w:tcW w:w="53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235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shd w:fill="CCEEFF" w:val="clear"/>
            <w:vAlign w:val="center"/>
          </w:tcPr>
          <w:p>
            <w:pPr>
              <w:pStyle w:val="TableContents"/>
              <w:spacing w:before="0" w:after="0"/>
              <w:ind w:left="0" w:right="0" w:hanging="0"/>
              <w:rPr/>
            </w:pPr>
            <w:r>
              <w:rPr/>
              <w:t>​</w:t>
            </w:r>
          </w:p>
        </w:tc>
        <w:tc>
          <w:tcPr>
            <w:tcW w:w="273"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spacing w:before="0" w:after="0"/>
              <w:ind w:left="0" w:right="0" w:hanging="0"/>
              <w:rPr/>
            </w:pPr>
            <w:r>
              <w:rPr/>
              <w:t>​</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4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536</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_____________________________</w:t>
      </w:r>
    </w:p>
    <w:p>
      <w:pPr>
        <w:pStyle w:val="TextBody"/>
        <w:pBdr/>
        <w:spacing w:before="0" w:after="120"/>
        <w:ind w:left="0" w:right="0" w:hanging="288"/>
        <w:jc w:val="both"/>
        <w:rPr>
          <w:rFonts w:ascii="Times New Roman;Times;serif" w:hAnsi="Times New Roman;Times;serif"/>
          <w:sz w:val="20"/>
        </w:rPr>
      </w:pPr>
      <w:r>
        <w:rPr>
          <w:rFonts w:ascii="Times New Roman;Times;serif" w:hAnsi="Times New Roman;Times;serif"/>
          <w:sz w:val="20"/>
        </w:rPr>
        <w:t>(1) Net interest income is the difference between interest earned on assets and the cost of liabilities to fund those assets. Interest earned includes actual interest earned on segment assets and, if the segment has excess liabilities, interest credits for providing funding to the other segment. The cost of liabilities includes interest expense on segment liabilities and, if the segment does not have enough liabilities to fund its assets, a funding charge based on the cost of assigned liabilities to fund segment assets.</w:t>
      </w:r>
    </w:p>
    <w:p>
      <w:pPr>
        <w:pStyle w:val="TextBody"/>
        <w:spacing w:before="0" w:after="200"/>
        <w:ind w:left="0" w:right="0" w:hanging="0"/>
        <w:jc w:val="both"/>
        <w:rPr/>
      </w:pPr>
      <w:r>
        <w:rPr/>
        <w:t>​</w:t>
      </w:r>
    </w:p>
    <w:p>
      <w:pPr>
        <w:pStyle w:val="TextBody"/>
        <w:spacing w:before="0" w:after="200"/>
        <w:ind w:left="0" w:right="0" w:hanging="0"/>
        <w:jc w:val="both"/>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16 – GOODWILL AND OTHER INTANGIBLE ASSETS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Goodwill and certain other intangibles generally arise from business combinations accounted for under the acquisition method of accounting.  Goodwill totaled $3.6 million at March 31, 2023, and $2.3 million at December 31, 2022, and represents the excess of the total acquisition price paid over the fair value of the assets acquired, net of the fair values of liabilities assumed as a result of the Branch Purchase on February 24, 2023 and the purchase of four retail bank branches from Bank of America on January 22, 2016.  Goodwill is not amortized but is evaluated for impairment on an annual basis at December 31 of each year or whenever events or changes in circumstances indicate the carrying value may not be recoverable. The Company performed an impairment analysis at December 31, 2022, and determined that no impairment of goodwill existed.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3490" w:name="Tc_7-apMDeEr0el8-ss6cdz7w_7_2"/>
      <w:bookmarkStart w:id="3491" w:name="Tc_8WD8DYhSt0e2KroAfgMlAQ_7_0"/>
      <w:bookmarkStart w:id="3492" w:name="Tc_383JNJRgg0qISsjXEBnrQQ_6_0"/>
      <w:bookmarkStart w:id="3493" w:name="Tc_hc1JZ1hESU2OWEUHUn1xPQ_5_0"/>
      <w:bookmarkStart w:id="3494" w:name="Tc_A3kFVaEp4kWeSnYGbrcv_w_4_0"/>
      <w:bookmarkStart w:id="3495" w:name="Tc_bztzWfy5r0S8iTmcg4zXyg_3_0"/>
      <w:bookmarkStart w:id="3496" w:name="Tc_T5Q8HfowAki62oUEZVlSFA_2_0"/>
      <w:bookmarkStart w:id="3497" w:name="Tc_NVjTVkJz906J537cqgBpAQ_1_2"/>
      <w:bookmarkStart w:id="3498" w:name="Tc_ezpFCJG-nUeXNRZHVOQMTg_1_0"/>
      <w:bookmarkStart w:id="3499" w:name="Tc_qAFVatgbgkaVEUaMS_5vcw_9_8"/>
      <w:bookmarkStart w:id="3500" w:name="Tc_-Cd40NXUsk-LJH5IDChkjQ_9_5"/>
      <w:bookmarkStart w:id="3501" w:name="Tc_zGp1aoBP50OnfpSgawGPUA_9_2"/>
      <w:bookmarkStart w:id="3502" w:name="Tc_Z12EVU8woUu-GtsQHyP1zw_9_0"/>
      <w:bookmarkStart w:id="3503" w:name="Tc_BPZNjew73UuPf-Gw2RDbyA_8_3"/>
      <w:bookmarkStart w:id="3504" w:name="Tc_uzNvjzZDR0a3XPX5xtpTUA_8_0"/>
      <w:bookmarkStart w:id="3505" w:name="Tc_Qo6K94PQZEee47oSDlQ0eQ_7_6"/>
      <w:bookmarkStart w:id="3506" w:name="Tc_MuqY4PwX3UqnuavECDhnaw_7_0"/>
      <w:bookmarkStart w:id="3507" w:name="Tc_GjvALT1kqUeFUNz--MzOew_6_0"/>
      <w:bookmarkStart w:id="3508" w:name="Tc_YmySNw9Nm0q70NXs7JDOdA_5_3"/>
      <w:bookmarkStart w:id="3509" w:name="Tc_vYvB4AvKh0qDgVmze89Ekg_5_0"/>
      <w:bookmarkStart w:id="3510" w:name="Tc_YQEEwcPVvk-l8qnfviZq5g_4_8"/>
      <w:bookmarkStart w:id="3511" w:name="Tc_s3SVC9K--kqDzDXctFesLA_4_5"/>
      <w:bookmarkStart w:id="3512" w:name="Tc_NjZDUOWaZ0-Ivn2lifB-iQ_4_2"/>
      <w:bookmarkStart w:id="3513" w:name="Tc_f7RgNJ2EMk-QUz2gy5wtyQ_4_0"/>
      <w:bookmarkStart w:id="3514" w:name="Tc_Om5drMzIYUSx25ALc8PuFg_3_8"/>
      <w:bookmarkStart w:id="3515" w:name="Tc_tIVw_M6JTkGdFaSAnLl32g_3_5"/>
      <w:bookmarkStart w:id="3516" w:name="Tc_NCCHBsKDF02uzSMowXVH8Q_3_2"/>
      <w:bookmarkStart w:id="3517" w:name="Tc_FaJAkt2WkkerOERiDINN3Q_2_5"/>
      <w:bookmarkStart w:id="3518" w:name="Tc_QljNa2itIku0LACfWhErxw_1_2"/>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r>
        <w:rPr>
          <w:rFonts w:ascii="Times New Roman;Times;serif" w:hAnsi="Times New Roman;Times;serif"/>
          <w:sz w:val="20"/>
        </w:rPr>
        <w:t>Core deposit intangible (“CDI”) is evaluated for impairment whenever events or changes in circumstances indicate that its carrying amount may not be recoverable, with any changes in estimated useful life accounted for prospectively over the revised remaining life.  As of March 31, 2023, management believes that there have been no events or changes in the circumstances that would indicate a potential impairment of CDI.</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the changes in the Company’s other intangible assets comprised solely of CDI for the year ended December 31, 2022, and the three months ended March 31, 2023.</w:t>
      </w:r>
    </w:p>
    <w:p>
      <w:pPr>
        <w:pStyle w:val="TextBody"/>
        <w:spacing w:before="0" w:after="0"/>
        <w:ind w:left="0" w:right="0" w:hanging="0"/>
        <w:rPr/>
      </w:pPr>
      <w:r>
        <w:rPr/>
        <w:t>​</w:t>
      </w:r>
    </w:p>
    <w:tbl>
      <w:tblPr>
        <w:tblW w:w="7762" w:type="dxa"/>
        <w:jc w:val="left"/>
        <w:tblInd w:w="0" w:type="dxa"/>
        <w:tblCellMar>
          <w:top w:w="0" w:type="dxa"/>
          <w:left w:w="0" w:type="dxa"/>
          <w:bottom w:w="0" w:type="dxa"/>
          <w:right w:w="0" w:type="dxa"/>
        </w:tblCellMar>
      </w:tblPr>
      <w:tblGrid>
        <w:gridCol w:w="3676"/>
        <w:gridCol w:w="326"/>
        <w:gridCol w:w="221"/>
        <w:gridCol w:w="709"/>
        <w:gridCol w:w="326"/>
        <w:gridCol w:w="297"/>
        <w:gridCol w:w="889"/>
        <w:gridCol w:w="326"/>
        <w:gridCol w:w="211"/>
        <w:gridCol w:w="781"/>
      </w:tblGrid>
      <w:tr>
        <w:trPr/>
        <w:tc>
          <w:tcPr>
            <w:tcW w:w="3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334260" cy="175260"/>
                      <wp:effectExtent l="0" t="0" r="0" b="0"/>
                      <wp:wrapNone/>
                      <wp:docPr id="706" name="Frame706"/>
                      <a:graphic xmlns:a="http://schemas.openxmlformats.org/drawingml/2006/main">
                        <a:graphicData uri="http://schemas.microsoft.com/office/word/2010/wordprocessingShape">
                          <wps:wsp>
                            <wps:cNvSpPr txBox="1"/>
                            <wps:spPr>
                              <a:xfrm>
                                <a:off x="0" y="0"/>
                                <a:ext cx="2334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07010" cy="175260"/>
                      <wp:effectExtent l="0" t="0" r="0" b="0"/>
                      <wp:wrapNone/>
                      <wp:docPr id="707" name="Frame7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40335" cy="175260"/>
                      <wp:effectExtent l="0" t="0" r="0" b="0"/>
                      <wp:wrapNone/>
                      <wp:docPr id="708" name="Frame708"/>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450215" cy="175260"/>
                      <wp:effectExtent l="0" t="0" r="0" b="0"/>
                      <wp:wrapNone/>
                      <wp:docPr id="709" name="Frame709"/>
                      <a:graphic xmlns:a="http://schemas.openxmlformats.org/drawingml/2006/main">
                        <a:graphicData uri="http://schemas.microsoft.com/office/word/2010/wordprocessingShape">
                          <wps:wsp>
                            <wps:cNvSpPr txBox="1"/>
                            <wps:spPr>
                              <a:xfrm>
                                <a:off x="0" y="0"/>
                                <a:ext cx="450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07010" cy="175260"/>
                      <wp:effectExtent l="0" t="0" r="0" b="0"/>
                      <wp:wrapNone/>
                      <wp:docPr id="710" name="Frame7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88595" cy="175260"/>
                      <wp:effectExtent l="0" t="0" r="0" b="0"/>
                      <wp:wrapNone/>
                      <wp:docPr id="711" name="Frame711"/>
                      <a:graphic xmlns:a="http://schemas.openxmlformats.org/drawingml/2006/main">
                        <a:graphicData uri="http://schemas.microsoft.com/office/word/2010/wordprocessingShape">
                          <wps:wsp>
                            <wps:cNvSpPr txBox="1"/>
                            <wps:spPr>
                              <a:xfrm>
                                <a:off x="0" y="0"/>
                                <a:ext cx="188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564515" cy="175260"/>
                      <wp:effectExtent l="0" t="0" r="0" b="0"/>
                      <wp:wrapNone/>
                      <wp:docPr id="712" name="Frame712"/>
                      <a:graphic xmlns:a="http://schemas.openxmlformats.org/drawingml/2006/main">
                        <a:graphicData uri="http://schemas.microsoft.com/office/word/2010/wordprocessingShape">
                          <wps:wsp>
                            <wps:cNvSpPr txBox="1"/>
                            <wps:spPr>
                              <a:xfrm>
                                <a:off x="0" y="0"/>
                                <a:ext cx="5645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207010" cy="175260"/>
                      <wp:effectExtent l="0" t="0" r="0" b="0"/>
                      <wp:wrapNone/>
                      <wp:docPr id="713" name="Frame7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133985" cy="175260"/>
                      <wp:effectExtent l="0" t="0" r="0" b="0"/>
                      <wp:wrapNone/>
                      <wp:docPr id="714" name="Frame7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495935" cy="175260"/>
                      <wp:effectExtent l="0" t="0" r="0" b="0"/>
                      <wp:wrapNone/>
                      <wp:docPr id="715" name="Frame71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760"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Other Intangible Assets</w:t>
            </w:r>
          </w:p>
        </w:tc>
      </w:tr>
      <w:tr>
        <w:trPr/>
        <w:tc>
          <w:tcPr>
            <w:tcW w:w="3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w:t>
            </w:r>
          </w:p>
        </w:tc>
        <w:tc>
          <w:tcPr>
            <w:tcW w:w="7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86"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Accumulated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r>
      <w:tr>
        <w:trPr/>
        <w:tc>
          <w:tcPr>
            <w:tcW w:w="3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Gross CDI</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Amortization</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Net CDI</w:t>
            </w:r>
          </w:p>
        </w:tc>
      </w:tr>
      <w:tr>
        <w:trPr/>
        <w:tc>
          <w:tcPr>
            <w:tcW w:w="36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December 31, 2021</w:t>
            </w:r>
          </w:p>
        </w:tc>
        <w:tc>
          <w:tcPr>
            <w:tcW w:w="326"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7,490</w:t>
            </w:r>
          </w:p>
        </w:tc>
        <w:tc>
          <w:tcPr>
            <w:tcW w:w="326" w:type="dxa"/>
            <w:tcBorders/>
            <w:shd w:fill="CCEEFF" w:val="clear"/>
            <w:vAlign w:val="center"/>
          </w:tcPr>
          <w:p>
            <w:pPr>
              <w:pStyle w:val="TableContents"/>
              <w:spacing w:before="0" w:after="1"/>
              <w:ind w:left="0" w:right="0" w:hanging="0"/>
              <w:rPr/>
            </w:pPr>
            <w:r>
              <w:rPr/>
              <w:t>​</w:t>
            </w:r>
          </w:p>
        </w:tc>
        <w:tc>
          <w:tcPr>
            <w:tcW w:w="2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(3,430)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4,060</w:t>
            </w:r>
          </w:p>
        </w:tc>
      </w:tr>
      <w:tr>
        <w:trPr/>
        <w:tc>
          <w:tcPr>
            <w:tcW w:w="36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w:t>
            </w:r>
          </w:p>
        </w:tc>
        <w:tc>
          <w:tcPr>
            <w:tcW w:w="326" w:type="dxa"/>
            <w:tcBorders/>
            <w:shd w:fill="auto" w:val="clear"/>
            <w:vAlign w:val="center"/>
          </w:tcPr>
          <w:p>
            <w:pPr>
              <w:pStyle w:val="TableContents"/>
              <w:spacing w:before="0" w:after="1"/>
              <w:ind w:left="0" w:right="0" w:hanging="0"/>
              <w:rPr/>
            </w:pPr>
            <w:r>
              <w:rPr/>
              <w:t>​</w:t>
            </w:r>
          </w:p>
        </w:tc>
        <w:tc>
          <w:tcPr>
            <w:tcW w:w="22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70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7"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8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36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w:t>
            </w:r>
          </w:p>
        </w:tc>
        <w:tc>
          <w:tcPr>
            <w:tcW w:w="7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7,490</w:t>
            </w:r>
          </w:p>
        </w:tc>
        <w:tc>
          <w:tcPr>
            <w:tcW w:w="326" w:type="dxa"/>
            <w:tcBorders/>
            <w:shd w:fill="CCEEFF" w:val="clear"/>
            <w:vAlign w:val="center"/>
          </w:tcPr>
          <w:p>
            <w:pPr>
              <w:pStyle w:val="TableContents"/>
              <w:spacing w:before="0" w:after="1"/>
              <w:ind w:left="0" w:right="0" w:hanging="0"/>
              <w:rPr/>
            </w:pPr>
            <w:r>
              <w:rPr/>
              <w:t>​</w:t>
            </w:r>
          </w:p>
        </w:tc>
        <w:tc>
          <w:tcPr>
            <w:tcW w:w="297" w:type="dxa"/>
            <w:tcBorders/>
            <w:shd w:fill="CCEEFF" w:val="clear"/>
            <w:vAlign w:val="center"/>
          </w:tcPr>
          <w:p>
            <w:pPr>
              <w:pStyle w:val="TableContents"/>
              <w:spacing w:before="0" w:after="1"/>
              <w:ind w:left="0" w:right="0" w:hanging="0"/>
              <w:rPr/>
            </w:pPr>
            <w:r>
              <w:rPr/>
              <w:t>​</w:t>
            </w:r>
          </w:p>
        </w:tc>
        <w:tc>
          <w:tcPr>
            <w:tcW w:w="88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3,369</w:t>
            </w:r>
          </w:p>
        </w:tc>
      </w:tr>
      <w:tr>
        <w:trPr/>
        <w:tc>
          <w:tcPr>
            <w:tcW w:w="36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 as a result of the Branch Purchase</w:t>
            </w:r>
          </w:p>
        </w:tc>
        <w:tc>
          <w:tcPr>
            <w:tcW w:w="326"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w:t>
            </w:r>
          </w:p>
        </w:tc>
        <w:tc>
          <w:tcPr>
            <w:tcW w:w="70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17,438</w:t>
            </w:r>
          </w:p>
        </w:tc>
        <w:tc>
          <w:tcPr>
            <w:tcW w:w="326" w:type="dxa"/>
            <w:tcBorders/>
            <w:shd w:fill="auto" w:val="clear"/>
            <w:vAlign w:val="center"/>
          </w:tcPr>
          <w:p>
            <w:pPr>
              <w:pStyle w:val="TableContents"/>
              <w:spacing w:before="0" w:after="1"/>
              <w:ind w:left="0" w:right="0" w:hanging="0"/>
              <w:rPr/>
            </w:pPr>
            <w:r>
              <w:rPr/>
              <w:t>​</w:t>
            </w:r>
          </w:p>
        </w:tc>
        <w:tc>
          <w:tcPr>
            <w:tcW w:w="297" w:type="dxa"/>
            <w:tcBorders/>
            <w:shd w:fill="auto" w:val="clear"/>
            <w:vAlign w:val="center"/>
          </w:tcPr>
          <w:p>
            <w:pPr>
              <w:pStyle w:val="TableContents"/>
              <w:spacing w:before="0" w:after="1"/>
              <w:ind w:left="0" w:right="0" w:hanging="0"/>
              <w:rPr/>
            </w:pPr>
            <w:r>
              <w:rPr/>
              <w:t>​</w:t>
            </w:r>
          </w:p>
        </w:tc>
        <w:tc>
          <w:tcPr>
            <w:tcW w:w="88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17,438</w:t>
            </w:r>
          </w:p>
        </w:tc>
      </w:tr>
      <w:tr>
        <w:trPr/>
        <w:tc>
          <w:tcPr>
            <w:tcW w:w="36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w:t>
            </w:r>
          </w:p>
        </w:tc>
        <w:tc>
          <w:tcPr>
            <w:tcW w:w="326" w:type="dxa"/>
            <w:tcBorders/>
            <w:shd w:fill="CCEEFF" w:val="clear"/>
            <w:vAlign w:val="center"/>
          </w:tcPr>
          <w:p>
            <w:pPr>
              <w:pStyle w:val="TableContents"/>
              <w:spacing w:before="0" w:after="1"/>
              <w:ind w:left="0" w:right="0" w:hanging="0"/>
              <w:rPr/>
            </w:pPr>
            <w:r>
              <w:rPr/>
              <w:t>​</w:t>
            </w:r>
          </w:p>
        </w:tc>
        <w:tc>
          <w:tcPr>
            <w:tcW w:w="221"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c>
          <w:tcPr>
            <w:tcW w:w="70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7"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c>
          <w:tcPr>
            <w:tcW w:w="8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36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March 31, 2023</w:t>
            </w:r>
          </w:p>
        </w:tc>
        <w:tc>
          <w:tcPr>
            <w:tcW w:w="326" w:type="dxa"/>
            <w:tcBorders/>
            <w:shd w:fill="auto" w:val="clear"/>
            <w:vAlign w:val="center"/>
          </w:tcPr>
          <w:p>
            <w:pPr>
              <w:pStyle w:val="TableContents"/>
              <w:spacing w:before="0" w:after="1"/>
              <w:ind w:left="0" w:right="0" w:hanging="0"/>
              <w:rPr/>
            </w:pPr>
            <w:r>
              <w:rPr/>
              <w:t>​</w:t>
            </w:r>
          </w:p>
        </w:tc>
        <w:tc>
          <w:tcPr>
            <w:tcW w:w="22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24,928</w:t>
            </w:r>
          </w:p>
        </w:tc>
        <w:tc>
          <w:tcPr>
            <w:tcW w:w="326" w:type="dxa"/>
            <w:tcBorders/>
            <w:shd w:fill="auto" w:val="clear"/>
            <w:vAlign w:val="center"/>
          </w:tcPr>
          <w:p>
            <w:pPr>
              <w:pStyle w:val="TableContents"/>
              <w:spacing w:before="0" w:after="1"/>
              <w:ind w:left="0" w:right="0" w:hanging="0"/>
              <w:rPr/>
            </w:pPr>
            <w:r>
              <w:rPr/>
              <w:t>​</w:t>
            </w:r>
          </w:p>
        </w:tc>
        <w:tc>
          <w:tcPr>
            <w:tcW w:w="29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20,348</w:t>
            </w:r>
          </w:p>
        </w:tc>
      </w:tr>
    </w:tbl>
    <w:p>
      <w:pPr>
        <w:pStyle w:val="TextBody"/>
        <w:spacing w:before="0" w:after="20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CDI represents the fair value of the intangible core deposit base acquired in business combinations. The CDI will be amortized on an accelerated basis over 10 years for the CDI related to the Branch Purchase, on a straight-line basis over 10 years for the CDI related to the Anchor Bank acquisition in November 2018 (“Anchor Acquisition”) and on an accelerated basis over approximately nine years for the CDI related to the four retail bank purchase from Bank of America on January 22, 2016. Total amortization expense was $459,000 for the three months ended March 31, 2023, and $173,000  for the same period in 2022.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Amortization expense for CDI is expected to be as follows at March 31, 2023:</w:t>
      </w:r>
    </w:p>
    <w:p>
      <w:pPr>
        <w:pStyle w:val="TextBody"/>
        <w:spacing w:before="0" w:after="0"/>
        <w:ind w:left="0" w:right="0" w:hanging="0"/>
        <w:rPr/>
      </w:pPr>
      <w:r>
        <w:rPr/>
        <w:t>​</w:t>
      </w:r>
    </w:p>
    <w:tbl>
      <w:tblPr>
        <w:tblW w:w="2999" w:type="dxa"/>
        <w:jc w:val="left"/>
        <w:tblInd w:w="0" w:type="dxa"/>
        <w:tblCellMar>
          <w:top w:w="0" w:type="dxa"/>
          <w:left w:w="0" w:type="dxa"/>
          <w:bottom w:w="0" w:type="dxa"/>
          <w:right w:w="0" w:type="dxa"/>
        </w:tblCellMar>
      </w:tblPr>
      <w:tblGrid>
        <w:gridCol w:w="1681"/>
        <w:gridCol w:w="326"/>
        <w:gridCol w:w="211"/>
        <w:gridCol w:w="781"/>
      </w:tblGrid>
      <w:tr>
        <w:trPr/>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1067435" cy="175260"/>
                      <wp:effectExtent l="0" t="0" r="0" b="0"/>
                      <wp:wrapNone/>
                      <wp:docPr id="716" name="Frame716"/>
                      <a:graphic xmlns:a="http://schemas.openxmlformats.org/drawingml/2006/main">
                        <a:graphicData uri="http://schemas.microsoft.com/office/word/2010/wordprocessingShape">
                          <wps:wsp>
                            <wps:cNvSpPr txBox="1"/>
                            <wps:spPr>
                              <a:xfrm>
                                <a:off x="0" y="0"/>
                                <a:ext cx="1067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07010" cy="175260"/>
                      <wp:effectExtent l="0" t="0" r="0" b="0"/>
                      <wp:wrapNone/>
                      <wp:docPr id="717" name="Frame7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133985" cy="175260"/>
                      <wp:effectExtent l="0" t="0" r="0" b="0"/>
                      <wp:wrapNone/>
                      <wp:docPr id="718" name="Frame7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495935" cy="175260"/>
                      <wp:effectExtent l="0" t="0" r="0" b="0"/>
                      <wp:wrapNone/>
                      <wp:docPr id="719" name="Frame71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spacing w:before="0" w:after="0"/>
              <w:ind w:left="0" w:right="0" w:hanging="0"/>
              <w:jc w:val="center"/>
              <w:rPr/>
            </w:pPr>
            <w:r>
              <w:rPr/>
              <w:t>    </w:t>
            </w:r>
          </w:p>
        </w:tc>
        <w:tc>
          <w:tcPr>
            <w:tcW w:w="2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3,005</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3,633</w:t>
            </w:r>
          </w:p>
        </w:tc>
      </w:tr>
      <w:tr>
        <w:trPr/>
        <w:tc>
          <w:tcPr>
            <w:tcW w:w="1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2,846</w:t>
            </w:r>
          </w:p>
        </w:tc>
      </w:tr>
      <w:tr>
        <w:trPr/>
        <w:tc>
          <w:tcPr>
            <w:tcW w:w="1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5,173</w:t>
            </w:r>
          </w:p>
        </w:tc>
      </w:tr>
      <w:tr>
        <w:trPr/>
        <w:tc>
          <w:tcPr>
            <w:tcW w:w="1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20,348</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00"/>
        <w:ind w:left="0" w:right="0" w:hanging="0"/>
        <w:rPr>
          <w:rFonts w:ascii="Times New Roman;Times;serif" w:hAnsi="Times New Roman;Times;serif"/>
          <w:b/>
          <w:sz w:val="20"/>
        </w:rPr>
      </w:pPr>
      <w:bookmarkStart w:id="3519" w:name="NOTE17RevenuefromContracts"/>
      <w:bookmarkEnd w:id="3519"/>
      <w:r>
        <w:rPr>
          <w:rFonts w:ascii="Times New Roman;Times;serif" w:hAnsi="Times New Roman;Times;serif"/>
          <w:b/>
          <w:sz w:val="20"/>
        </w:rPr>
        <w:t>NOTE 17 – REVENUE FROM CONTRACTS WITH CUSTOMERS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Revenue Recognition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accordance with Topic 606, revenues are recognized when control of promised goods or services is transferred to customers in an amount that reflects the consideration the Company expects to be entitled to in exchange for those goods or services. To determine revenue recognition for arrangements that an entity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that are promised within each contract and identifies those that contain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bookmarkStart w:id="3520" w:name="Tc_o2fCWn1I5kCNqiBXAtTMHA_8_5"/>
      <w:bookmarkStart w:id="3521" w:name="Tc_GYYd0dq9BUmjGwOzbc9sug_8_2"/>
      <w:bookmarkStart w:id="3522" w:name="Tc_NZzYXWFnoUGgj5JbcTuznw_8_0"/>
      <w:bookmarkStart w:id="3523" w:name="Tc_hHY6Z3XKMEOBBKstG9VbhA_7_0"/>
      <w:bookmarkStart w:id="3524" w:name="Tc_eY5RipyOwEapaN1D6E28RA_6_0"/>
      <w:bookmarkStart w:id="3525" w:name="Tc_Fdgk7XKjQkeNKWo-LaTNIA_5_0"/>
      <w:bookmarkStart w:id="3526" w:name="Tc_SBm4nPuYkkyEr_Q4cai-xQ_4_5"/>
      <w:bookmarkStart w:id="3527" w:name="Tc_4SUdq4I11EKLJy1CKJvOkA_4_2"/>
      <w:bookmarkStart w:id="3528" w:name="Tc_OJo247n6UEaxI9msOZlqfQ_4_0"/>
      <w:bookmarkStart w:id="3529" w:name="Tc_t14pDPqxjECbgULTv6XauA_3_0"/>
      <w:bookmarkStart w:id="3530" w:name="Tc_x-Ow8C_zBE-pJVLArHSMiw_2_5"/>
      <w:bookmarkStart w:id="3531" w:name="Tc_DUrUAGmTMkW15fyFKcJ_JA_2_2"/>
      <w:bookmarkStart w:id="3532" w:name="Tc_xNZ50hAZ-UWBf8YY37WFrQ_2_0"/>
      <w:bookmarkStart w:id="3533" w:name="Tc_RsEkyVEbxkuLxsx8nP2dVQ_1_2"/>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r>
        <w:rPr>
          <w:rFonts w:ascii="Times New Roman;Times;serif" w:hAnsi="Times New Roman;Times;serif"/>
          <w:sz w:val="20"/>
        </w:rPr>
        <w:t>All the Company’s revenue from contracts with customers in-scope of ASC 606 is recognized in noninterest income and included in our commercial and consumer banking segment.  The following table presents noninterest income, segregated by revenue streams in-scope and out-of-scope of Topic 606, for the dates indicated.</w:t>
      </w:r>
    </w:p>
    <w:p>
      <w:pPr>
        <w:pStyle w:val="TextBody"/>
        <w:spacing w:before="0" w:after="0"/>
        <w:ind w:left="0" w:right="0" w:hanging="0"/>
        <w:rPr/>
      </w:pPr>
      <w:r>
        <w:rPr/>
        <w:t>​</w:t>
      </w:r>
    </w:p>
    <w:tbl>
      <w:tblPr>
        <w:tblW w:w="7706" w:type="dxa"/>
        <w:jc w:val="left"/>
        <w:tblInd w:w="0" w:type="dxa"/>
        <w:tblCellMar>
          <w:top w:w="0" w:type="dxa"/>
          <w:left w:w="0" w:type="dxa"/>
          <w:bottom w:w="0" w:type="dxa"/>
          <w:right w:w="0" w:type="dxa"/>
        </w:tblCellMar>
      </w:tblPr>
      <w:tblGrid>
        <w:gridCol w:w="3991"/>
        <w:gridCol w:w="326"/>
        <w:gridCol w:w="402"/>
        <w:gridCol w:w="1089"/>
        <w:gridCol w:w="207"/>
        <w:gridCol w:w="402"/>
        <w:gridCol w:w="1289"/>
      </w:tblGrid>
      <w:tr>
        <w:trPr/>
        <w:tc>
          <w:tcPr>
            <w:tcW w:w="3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534285" cy="175260"/>
                      <wp:effectExtent l="0" t="0" r="0" b="0"/>
                      <wp:wrapNone/>
                      <wp:docPr id="720" name="Frame720"/>
                      <a:graphic xmlns:a="http://schemas.openxmlformats.org/drawingml/2006/main">
                        <a:graphicData uri="http://schemas.microsoft.com/office/word/2010/wordprocessingShape">
                          <wps:wsp>
                            <wps:cNvSpPr txBox="1"/>
                            <wps:spPr>
                              <a:xfrm>
                                <a:off x="0" y="0"/>
                                <a:ext cx="2534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07010" cy="175260"/>
                      <wp:effectExtent l="0" t="0" r="0" b="0"/>
                      <wp:wrapNone/>
                      <wp:docPr id="721" name="Frame7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55270" cy="175260"/>
                      <wp:effectExtent l="0" t="0" r="0" b="0"/>
                      <wp:wrapNone/>
                      <wp:docPr id="722" name="Frame722"/>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691515" cy="175260"/>
                      <wp:effectExtent l="0" t="0" r="0" b="0"/>
                      <wp:wrapNone/>
                      <wp:docPr id="723" name="Frame723"/>
                      <a:graphic xmlns:a="http://schemas.openxmlformats.org/drawingml/2006/main">
                        <a:graphicData uri="http://schemas.microsoft.com/office/word/2010/wordprocessingShape">
                          <wps:wsp>
                            <wps:cNvSpPr txBox="1"/>
                            <wps:spPr>
                              <a:xfrm>
                                <a:off x="0" y="0"/>
                                <a:ext cx="6915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31445" cy="175260"/>
                      <wp:effectExtent l="0" t="0" r="0" b="0"/>
                      <wp:wrapNone/>
                      <wp:docPr id="724" name="Frame724"/>
                      <a:graphic xmlns:a="http://schemas.openxmlformats.org/drawingml/2006/main">
                        <a:graphicData uri="http://schemas.microsoft.com/office/word/2010/wordprocessingShape">
                          <wps:wsp>
                            <wps:cNvSpPr txBox="1"/>
                            <wps:spPr>
                              <a:xfrm>
                                <a:off x="0" y="0"/>
                                <a:ext cx="1314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55270" cy="175260"/>
                      <wp:effectExtent l="0" t="0" r="0" b="0"/>
                      <wp:wrapNone/>
                      <wp:docPr id="725" name="Frame725"/>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818515" cy="175260"/>
                      <wp:effectExtent l="0" t="0" r="0" b="0"/>
                      <wp:wrapNone/>
                      <wp:docPr id="726" name="Frame726"/>
                      <a:graphic xmlns:a="http://schemas.openxmlformats.org/drawingml/2006/main">
                        <a:graphicData uri="http://schemas.microsoft.com/office/word/2010/wordprocessingShape">
                          <wps:wsp>
                            <wps:cNvSpPr txBox="1"/>
                            <wps:spPr>
                              <a:xfrm>
                                <a:off x="0" y="0"/>
                                <a:ext cx="8185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38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For the Three Months Ended March 31, </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Noninterest income</w:t>
            </w:r>
          </w:p>
        </w:tc>
        <w:tc>
          <w:tcPr>
            <w:tcW w:w="326" w:type="dxa"/>
            <w:tcBorders/>
            <w:shd w:fill="auto" w:val="clear"/>
            <w:vAlign w:val="center"/>
          </w:tcPr>
          <w:p>
            <w:pPr>
              <w:pStyle w:val="TableContents"/>
              <w:spacing w:before="0" w:after="1"/>
              <w:ind w:left="0" w:right="0" w:hanging="0"/>
              <w:rPr/>
            </w:pPr>
            <w:r>
              <w:rPr/>
              <w:t>    </w:t>
            </w:r>
          </w:p>
        </w:tc>
        <w:tc>
          <w:tcPr>
            <w:tcW w:w="14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207" w:type="dxa"/>
            <w:tcBorders/>
            <w:shd w:fill="auto" w:val="clear"/>
            <w:vAlign w:val="center"/>
          </w:tcPr>
          <w:p>
            <w:pPr>
              <w:pStyle w:val="TableContents"/>
              <w:spacing w:before="0" w:after="1"/>
              <w:ind w:left="0" w:right="0" w:hanging="0"/>
              <w:jc w:val="center"/>
              <w:rPr/>
            </w:pPr>
            <w:r>
              <w:rPr/>
              <w:t>​</w:t>
            </w:r>
          </w:p>
        </w:tc>
        <w:tc>
          <w:tcPr>
            <w:tcW w:w="1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In-scope of Topic 606:</w:t>
            </w:r>
          </w:p>
        </w:tc>
        <w:tc>
          <w:tcPr>
            <w:tcW w:w="326" w:type="dxa"/>
            <w:tcBorders/>
            <w:shd w:fill="CCEEFF" w:val="clear"/>
            <w:vAlign w:val="center"/>
          </w:tcPr>
          <w:p>
            <w:pPr>
              <w:pStyle w:val="TableContents"/>
              <w:spacing w:before="0" w:after="1"/>
              <w:ind w:left="0" w:right="0" w:hanging="0"/>
              <w:rPr/>
            </w:pPr>
            <w:r>
              <w:rPr/>
              <w:t>​</w:t>
            </w:r>
          </w:p>
        </w:tc>
        <w:tc>
          <w:tcPr>
            <w:tcW w:w="402" w:type="dxa"/>
            <w:tcBorders/>
            <w:shd w:fill="CCEEFF" w:val="clear"/>
            <w:vAlign w:val="center"/>
          </w:tcPr>
          <w:p>
            <w:pPr>
              <w:pStyle w:val="TableContents"/>
              <w:spacing w:before="0" w:after="1"/>
              <w:ind w:left="0" w:right="0" w:hanging="0"/>
              <w:rPr/>
            </w:pPr>
            <w:r>
              <w:rPr/>
              <w:t>​</w:t>
            </w:r>
          </w:p>
        </w:tc>
        <w:tc>
          <w:tcPr>
            <w:tcW w:w="1089" w:type="dxa"/>
            <w:tcBorders/>
            <w:shd w:fill="CCEEFF" w:val="clear"/>
            <w:vAlign w:val="center"/>
          </w:tcPr>
          <w:p>
            <w:pPr>
              <w:pStyle w:val="TableContents"/>
              <w:spacing w:before="0" w:after="1"/>
              <w:ind w:left="0" w:right="0" w:hanging="0"/>
              <w:rPr/>
            </w:pPr>
            <w:r>
              <w:rPr/>
              <w:t>​</w:t>
            </w:r>
          </w:p>
        </w:tc>
        <w:tc>
          <w:tcPr>
            <w:tcW w:w="207" w:type="dxa"/>
            <w:tcBorders/>
            <w:shd w:fill="CCEEFF" w:val="clear"/>
            <w:vAlign w:val="center"/>
          </w:tcPr>
          <w:p>
            <w:pPr>
              <w:pStyle w:val="TableContents"/>
              <w:spacing w:before="0" w:after="1"/>
              <w:ind w:left="0" w:right="0" w:hanging="0"/>
              <w:rPr/>
            </w:pPr>
            <w:r>
              <w:rPr/>
              <w:t>​</w:t>
            </w:r>
          </w:p>
        </w:tc>
        <w:tc>
          <w:tcPr>
            <w:tcW w:w="402" w:type="dxa"/>
            <w:tcBorders/>
            <w:shd w:fill="CCEEFF" w:val="clear"/>
            <w:vAlign w:val="center"/>
          </w:tcPr>
          <w:p>
            <w:pPr>
              <w:pStyle w:val="TableContents"/>
              <w:spacing w:before="0" w:after="1"/>
              <w:ind w:left="0" w:right="0" w:hanging="0"/>
              <w:rPr/>
            </w:pPr>
            <w:r>
              <w:rPr/>
              <w:t>​</w:t>
            </w:r>
          </w:p>
        </w:tc>
        <w:tc>
          <w:tcPr>
            <w:tcW w:w="1289" w:type="dxa"/>
            <w:tcBorders/>
            <w:shd w:fill="CCEEFF" w:val="clear"/>
            <w:vAlign w:val="center"/>
          </w:tcPr>
          <w:p>
            <w:pPr>
              <w:pStyle w:val="TableContents"/>
              <w:spacing w:before="0" w:after="1"/>
              <w:ind w:left="0" w:right="0" w:hanging="0"/>
              <w:rPr/>
            </w:pPr>
            <w:r>
              <w:rPr/>
              <w:t>​</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Debit card interchange fees</w:t>
            </w:r>
          </w:p>
        </w:tc>
        <w:tc>
          <w:tcPr>
            <w:tcW w:w="326" w:type="dxa"/>
            <w:tcBorders/>
            <w:shd w:fill="auto" w:val="clear"/>
            <w:vAlign w:val="center"/>
          </w:tcPr>
          <w:p>
            <w:pPr>
              <w:pStyle w:val="TableContents"/>
              <w:spacing w:before="0" w:after="1"/>
              <w:ind w:left="0" w:right="0" w:hanging="0"/>
              <w:rPr/>
            </w:pPr>
            <w:r>
              <w:rPr/>
              <w:t>​</w:t>
            </w:r>
          </w:p>
        </w:tc>
        <w:tc>
          <w:tcPr>
            <w:tcW w:w="4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c>
          <w:tcPr>
            <w:tcW w:w="207" w:type="dxa"/>
            <w:tcBorders/>
            <w:shd w:fill="auto" w:val="clear"/>
            <w:vAlign w:val="center"/>
          </w:tcPr>
          <w:p>
            <w:pPr>
              <w:pStyle w:val="TableContents"/>
              <w:spacing w:before="0" w:after="1"/>
              <w:ind w:left="0" w:right="0" w:hanging="0"/>
              <w:jc w:val="right"/>
              <w:rPr/>
            </w:pPr>
            <w:r>
              <w:rPr/>
              <w:t>​</w:t>
            </w:r>
          </w:p>
        </w:tc>
        <w:tc>
          <w:tcPr>
            <w:tcW w:w="4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Deposit service and account maintenance fees</w:t>
            </w:r>
          </w:p>
        </w:tc>
        <w:tc>
          <w:tcPr>
            <w:tcW w:w="326" w:type="dxa"/>
            <w:tcBorders/>
            <w:shd w:fill="CCEEFF" w:val="clear"/>
            <w:vAlign w:val="center"/>
          </w:tcPr>
          <w:p>
            <w:pPr>
              <w:pStyle w:val="TableContents"/>
              <w:spacing w:before="0" w:after="1"/>
              <w:ind w:left="0" w:right="0" w:hanging="0"/>
              <w:rPr/>
            </w:pPr>
            <w:r>
              <w:rPr/>
              <w:t>​</w:t>
            </w:r>
          </w:p>
        </w:tc>
        <w:tc>
          <w:tcPr>
            <w:tcW w:w="40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207" w:type="dxa"/>
            <w:tcBorders/>
            <w:shd w:fill="CCEEFF" w:val="clear"/>
            <w:vAlign w:val="center"/>
          </w:tcPr>
          <w:p>
            <w:pPr>
              <w:pStyle w:val="TableContents"/>
              <w:spacing w:before="0" w:after="1"/>
              <w:ind w:left="0" w:right="0" w:hanging="0"/>
              <w:jc w:val="right"/>
              <w:rPr/>
            </w:pPr>
            <w:r>
              <w:rPr/>
              <w:t>​</w:t>
            </w:r>
          </w:p>
        </w:tc>
        <w:tc>
          <w:tcPr>
            <w:tcW w:w="40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Noninterest income (in-scope of Topic 606)</w:t>
            </w:r>
          </w:p>
        </w:tc>
        <w:tc>
          <w:tcPr>
            <w:tcW w:w="326" w:type="dxa"/>
            <w:tcBorders/>
            <w:shd w:fill="auto" w:val="clear"/>
            <w:vAlign w:val="center"/>
          </w:tcPr>
          <w:p>
            <w:pPr>
              <w:pStyle w:val="TableContents"/>
              <w:spacing w:before="0" w:after="1"/>
              <w:ind w:left="0" w:right="0" w:hanging="0"/>
              <w:rPr/>
            </w:pPr>
            <w:r>
              <w:rPr/>
              <w:t>​</w:t>
            </w:r>
          </w:p>
        </w:tc>
        <w:tc>
          <w:tcPr>
            <w:tcW w:w="402" w:type="dxa"/>
            <w:tcBorders/>
            <w:shd w:fill="auto" w:val="clear"/>
            <w:vAlign w:val="center"/>
          </w:tcPr>
          <w:p>
            <w:pPr>
              <w:pStyle w:val="TableContents"/>
              <w:spacing w:before="0" w:after="1"/>
              <w:ind w:left="0" w:right="0" w:hanging="0"/>
              <w:rPr/>
            </w:pPr>
            <w:r>
              <w:rPr/>
              <w:t>​</w:t>
            </w:r>
          </w:p>
        </w:tc>
        <w:tc>
          <w:tcPr>
            <w:tcW w:w="10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207" w:type="dxa"/>
            <w:tcBorders/>
            <w:shd w:fill="auto" w:val="clear"/>
            <w:vAlign w:val="center"/>
          </w:tcPr>
          <w:p>
            <w:pPr>
              <w:pStyle w:val="TableContents"/>
              <w:spacing w:before="0" w:after="1"/>
              <w:ind w:left="0" w:right="0" w:hanging="0"/>
              <w:jc w:val="right"/>
              <w:rPr/>
            </w:pPr>
            <w:r>
              <w:rPr/>
              <w:t>​</w:t>
            </w:r>
          </w:p>
        </w:tc>
        <w:tc>
          <w:tcPr>
            <w:tcW w:w="402" w:type="dxa"/>
            <w:tcBorders/>
            <w:shd w:fill="auto" w:val="clear"/>
            <w:vAlign w:val="center"/>
          </w:tcPr>
          <w:p>
            <w:pPr>
              <w:pStyle w:val="TableContents"/>
              <w:spacing w:before="0" w:after="1"/>
              <w:ind w:left="0" w:right="0" w:hanging="0"/>
              <w:rPr/>
            </w:pPr>
            <w:r>
              <w:rPr/>
              <w:t>​</w:t>
            </w:r>
          </w:p>
        </w:tc>
        <w:tc>
          <w:tcPr>
            <w:tcW w:w="128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Noninterest income (out-of-scope of Topic 606)</w:t>
            </w:r>
          </w:p>
        </w:tc>
        <w:tc>
          <w:tcPr>
            <w:tcW w:w="326" w:type="dxa"/>
            <w:tcBorders/>
            <w:shd w:fill="CCEEFF" w:val="clear"/>
            <w:vAlign w:val="center"/>
          </w:tcPr>
          <w:p>
            <w:pPr>
              <w:pStyle w:val="TableContents"/>
              <w:spacing w:before="0" w:after="1"/>
              <w:ind w:left="0" w:right="0" w:hanging="0"/>
              <w:rPr/>
            </w:pPr>
            <w:r>
              <w:rPr/>
              <w:t>​</w:t>
            </w:r>
          </w:p>
        </w:tc>
        <w:tc>
          <w:tcPr>
            <w:tcW w:w="40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4,305</w:t>
            </w:r>
          </w:p>
        </w:tc>
        <w:tc>
          <w:tcPr>
            <w:tcW w:w="207" w:type="dxa"/>
            <w:tcBorders/>
            <w:shd w:fill="CCEEFF" w:val="clear"/>
            <w:vAlign w:val="center"/>
          </w:tcPr>
          <w:p>
            <w:pPr>
              <w:pStyle w:val="TableContents"/>
              <w:spacing w:before="0" w:after="1"/>
              <w:ind w:left="0" w:right="0" w:hanging="0"/>
              <w:jc w:val="right"/>
              <w:rPr/>
            </w:pPr>
            <w:r>
              <w:rPr/>
              <w:t>​</w:t>
            </w:r>
          </w:p>
        </w:tc>
        <w:tc>
          <w:tcPr>
            <w:tcW w:w="40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5,117</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noninterest income</w:t>
            </w:r>
          </w:p>
        </w:tc>
        <w:tc>
          <w:tcPr>
            <w:tcW w:w="326" w:type="dxa"/>
            <w:tcBorders/>
            <w:shd w:fill="auto" w:val="clear"/>
            <w:vAlign w:val="center"/>
          </w:tcPr>
          <w:p>
            <w:pPr>
              <w:pStyle w:val="TableContents"/>
              <w:spacing w:before="0" w:after="1"/>
              <w:ind w:left="0" w:right="0" w:hanging="0"/>
              <w:rPr/>
            </w:pPr>
            <w:r>
              <w:rPr/>
              <w:t>​</w:t>
            </w:r>
          </w:p>
        </w:tc>
        <w:tc>
          <w:tcPr>
            <w:tcW w:w="40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5,219</w:t>
            </w:r>
          </w:p>
        </w:tc>
        <w:tc>
          <w:tcPr>
            <w:tcW w:w="207" w:type="dxa"/>
            <w:tcBorders/>
            <w:shd w:fill="auto" w:val="clear"/>
            <w:vAlign w:val="center"/>
          </w:tcPr>
          <w:p>
            <w:pPr>
              <w:pStyle w:val="TableContents"/>
              <w:spacing w:before="0" w:after="1"/>
              <w:ind w:left="0" w:right="0" w:hanging="0"/>
              <w:jc w:val="right"/>
              <w:rPr/>
            </w:pPr>
            <w:r>
              <w:rPr/>
              <w:t>​</w:t>
            </w:r>
          </w:p>
        </w:tc>
        <w:tc>
          <w:tcPr>
            <w:tcW w:w="40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89"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5,876</w:t>
            </w:r>
          </w:p>
        </w:tc>
      </w:tr>
    </w:tbl>
    <w:p>
      <w:pPr>
        <w:pStyle w:val="TextBody"/>
        <w:spacing w:before="0" w:after="200"/>
        <w:ind w:left="0" w:right="0" w:hanging="0"/>
        <w:jc w:val="both"/>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Deposit Service and Account Maintenance Fees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Bank earns fees from its deposit customers for account maintenance, transaction-based services, and overdraft charges.  Account maintenance fees consist primarily of account fees and analyzed account fees charged on deposit accounts on a monthly basis.  The performance obligation is satisfied and the fees are recognized on a monthly basis as the service period is completed. Transaction-based fees on deposit accounts are charged to deposit customers for specific services provided to the customer, such as wire fees, as well as charges against the account, such as fees for non-sufficient funds and overdrafts. The performance obligation is completed as the transaction occurs and the fees are recognized at the time each specific service is provided to the customer.  </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Debit Interchange Income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Debit and ATM interchange income represent fees earned when a debit card issued by the Bank is used.  The Bank earns interchange fees from debit cardholder transactions through the Visa payment network.  Interchange fees from cardholder transactions represent a percentage of the underlying transaction value and are recognized daily, concurrently with the transaction processing services provided to the cardholder. The performance obligation is satisfied and the fees are earned when the cost of the transaction is charged to the cardholders’ debit card.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3534" w:name="Item2ManagementsDiscussion_793392"/>
      <w:bookmarkStart w:id="3535" w:name="_2280d30d_051b_4a20_aa83_d12580416a1c"/>
      <w:bookmarkEnd w:id="3534"/>
      <w:bookmarkEnd w:id="3535"/>
      <w:r>
        <w:rPr>
          <w:rFonts w:ascii="Times New Roman;Times;serif" w:hAnsi="Times New Roman;Times;serif"/>
          <w:b/>
          <w:sz w:val="20"/>
        </w:rPr>
        <w:t>Item 2.  Management’s Discussion and Analysis of Financial Condition and Results of Operations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Forward–Looking Statements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This report contains forward-looking statements, which can be identified by the use of words such as “believes,” “expects,” “anticipates,” “estimates,” or similar expressions. Forward-looking statements include, but are not limited to:</w:t>
      </w:r>
    </w:p>
    <w:tbl>
      <w:tblPr>
        <w:tblW w:w="4727" w:type="dxa"/>
        <w:jc w:val="left"/>
        <w:tblInd w:w="0" w:type="dxa"/>
        <w:tblCellMar>
          <w:top w:w="0" w:type="dxa"/>
          <w:left w:w="0" w:type="dxa"/>
          <w:bottom w:w="0" w:type="dxa"/>
          <w:right w:w="0" w:type="dxa"/>
        </w:tblCellMar>
      </w:tblPr>
      <w:tblGrid>
        <w:gridCol w:w="271"/>
        <w:gridCol w:w="4456"/>
      </w:tblGrid>
      <w:tr>
        <w:trPr/>
        <w:tc>
          <w:tcPr>
            <w:tcW w:w="271" w:type="dxa"/>
            <w:tcBorders/>
            <w:shd w:fill="auto" w:val="clear"/>
            <w:vAlign w:val="center"/>
          </w:tcPr>
          <w:p>
            <w:pPr>
              <w:pStyle w:val="TableContents"/>
              <w:spacing w:before="0" w:after="283"/>
              <w:rPr/>
            </w:pPr>
            <w:r>
              <w:rPr/>
              <w:t>●</w:t>
            </w:r>
          </w:p>
        </w:tc>
        <w:tc>
          <w:tcPr>
            <w:tcW w:w="44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our goals, intentions, and expectations;</w:t>
            </w:r>
          </w:p>
        </w:tc>
      </w:tr>
    </w:tbl>
    <w:tbl>
      <w:tblPr>
        <w:tblW w:w="7232" w:type="dxa"/>
        <w:jc w:val="left"/>
        <w:tblInd w:w="0" w:type="dxa"/>
        <w:tblCellMar>
          <w:top w:w="0" w:type="dxa"/>
          <w:left w:w="0" w:type="dxa"/>
          <w:bottom w:w="0" w:type="dxa"/>
          <w:right w:w="0" w:type="dxa"/>
        </w:tblCellMar>
      </w:tblPr>
      <w:tblGrid>
        <w:gridCol w:w="271"/>
        <w:gridCol w:w="6961"/>
      </w:tblGrid>
      <w:tr>
        <w:trPr/>
        <w:tc>
          <w:tcPr>
            <w:tcW w:w="271" w:type="dxa"/>
            <w:tcBorders/>
            <w:shd w:fill="auto" w:val="clear"/>
            <w:vAlign w:val="center"/>
          </w:tcPr>
          <w:p>
            <w:pPr>
              <w:pStyle w:val="TableContents"/>
              <w:spacing w:before="0" w:after="283"/>
              <w:rPr/>
            </w:pPr>
            <w:r>
              <w:rPr/>
              <w:t>●</w:t>
            </w:r>
          </w:p>
        </w:tc>
        <w:tc>
          <w:tcPr>
            <w:tcW w:w="69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our business plans, prospects, growth, and operating strategies;</w:t>
            </w:r>
          </w:p>
        </w:tc>
      </w:tr>
    </w:tbl>
    <w:tbl>
      <w:tblPr>
        <w:tblW w:w="6497" w:type="dxa"/>
        <w:jc w:val="left"/>
        <w:tblInd w:w="0" w:type="dxa"/>
        <w:tblCellMar>
          <w:top w:w="0" w:type="dxa"/>
          <w:left w:w="0" w:type="dxa"/>
          <w:bottom w:w="0" w:type="dxa"/>
          <w:right w:w="0" w:type="dxa"/>
        </w:tblCellMar>
      </w:tblPr>
      <w:tblGrid>
        <w:gridCol w:w="271"/>
        <w:gridCol w:w="6226"/>
      </w:tblGrid>
      <w:tr>
        <w:trPr/>
        <w:tc>
          <w:tcPr>
            <w:tcW w:w="271" w:type="dxa"/>
            <w:tcBorders/>
            <w:shd w:fill="auto" w:val="clear"/>
            <w:vAlign w:val="center"/>
          </w:tcPr>
          <w:p>
            <w:pPr>
              <w:pStyle w:val="TableContents"/>
              <w:spacing w:before="0" w:after="283"/>
              <w:rPr/>
            </w:pPr>
            <w:r>
              <w:rPr/>
              <w:t>●</w:t>
            </w:r>
          </w:p>
        </w:tc>
        <w:tc>
          <w:tcPr>
            <w:tcW w:w="6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the quality of our loan and investment portfolios; and</w:t>
            </w:r>
          </w:p>
        </w:tc>
      </w:tr>
    </w:tbl>
    <w:tbl>
      <w:tblPr>
        <w:tblW w:w="4517" w:type="dxa"/>
        <w:jc w:val="left"/>
        <w:tblInd w:w="0" w:type="dxa"/>
        <w:tblCellMar>
          <w:top w:w="0" w:type="dxa"/>
          <w:left w:w="0" w:type="dxa"/>
          <w:bottom w:w="0" w:type="dxa"/>
          <w:right w:w="0" w:type="dxa"/>
        </w:tblCellMar>
      </w:tblPr>
      <w:tblGrid>
        <w:gridCol w:w="271"/>
        <w:gridCol w:w="4246"/>
      </w:tblGrid>
      <w:tr>
        <w:trPr/>
        <w:tc>
          <w:tcPr>
            <w:tcW w:w="271" w:type="dxa"/>
            <w:tcBorders/>
            <w:shd w:fill="auto" w:val="clear"/>
            <w:vAlign w:val="center"/>
          </w:tcPr>
          <w:p>
            <w:pPr>
              <w:pStyle w:val="TableContents"/>
              <w:spacing w:before="0" w:after="283"/>
              <w:rPr/>
            </w:pPr>
            <w:r>
              <w:rPr/>
              <w:t>●</w:t>
            </w:r>
          </w:p>
        </w:tc>
        <w:tc>
          <w:tcPr>
            <w:tcW w:w="42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risks and future costs and benefits.</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These forward-looking statements are subject to significant risks and uncertainties. Actual results may differ materially from those contemplated by the forward-looking statements due to, among others, the following factors:</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revenues, cost savings, synergies and other benefits from our  recently completed Branch Purchase, might not be realized within the expected time frames or at all and costs or difficulties relating to integration matters, including but not limited to customer and employee retention, might be greater than expected; and the requisite regulatory approvals for the acquisition might not be obtained;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adverse impacts to economic conditions in the Company’s local market areas, other markets where the Company has lending relationships, or other aspects of the Company’s business operations or financial markets, including, without limitation, as a result of employment levels; labor shortages, the effects of inflation, a potential recession or slowed economic growth caused by increasing political instability from acts of war, including Russia’s invasion of Ukraine, as well as increasing prices and supply chain disruptions, and any governmental or societal response to new COVID-19 variants;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risks of lending activities, including changes in the level and trend of loan delinquencies, write offs, changes in our ACL for loans, and provision for credit losses on loans that may be impacted by deterioration in the housing and commercial real estate markets;</w:t>
            </w:r>
          </w:p>
        </w:tc>
      </w:tr>
    </w:tbl>
    <w:tbl>
      <w:tblPr>
        <w:tblW w:w="9302" w:type="dxa"/>
        <w:jc w:val="left"/>
        <w:tblInd w:w="0" w:type="dxa"/>
        <w:tblCellMar>
          <w:top w:w="0" w:type="dxa"/>
          <w:left w:w="0" w:type="dxa"/>
          <w:bottom w:w="0" w:type="dxa"/>
          <w:right w:w="0" w:type="dxa"/>
        </w:tblCellMar>
      </w:tblPr>
      <w:tblGrid>
        <w:gridCol w:w="271"/>
        <w:gridCol w:w="9031"/>
      </w:tblGrid>
      <w:tr>
        <w:trPr/>
        <w:tc>
          <w:tcPr>
            <w:tcW w:w="271" w:type="dxa"/>
            <w:tcBorders/>
            <w:shd w:fill="auto" w:val="clear"/>
            <w:vAlign w:val="center"/>
          </w:tcPr>
          <w:p>
            <w:pPr>
              <w:pStyle w:val="TableContents"/>
              <w:spacing w:before="0" w:after="283"/>
              <w:rPr/>
            </w:pPr>
            <w:r>
              <w:rPr/>
              <w:t>●</w:t>
            </w:r>
          </w:p>
        </w:tc>
        <w:tc>
          <w:tcPr>
            <w:tcW w:w="90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market conditions and our ability to originate loans for sale and sell loans in the secondary market;</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demand for loans, the number of unsold homes, land and other properties, and fluctuations in real estate values in our market area;</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staffing fluctuations in response to product demand or the implementation of corporate strategies that affect our workforce and potential associated charges;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estimates in determining fair value of certain of our assets, which estimates may prove to be incorrect and result in significant declines in valuation;</w:t>
            </w:r>
          </w:p>
        </w:tc>
      </w:tr>
    </w:tbl>
    <w:tbl>
      <w:tblPr>
        <w:tblW w:w="10187" w:type="dxa"/>
        <w:jc w:val="left"/>
        <w:tblInd w:w="0" w:type="dxa"/>
        <w:tblCellMar>
          <w:top w:w="0" w:type="dxa"/>
          <w:left w:w="0" w:type="dxa"/>
          <w:bottom w:w="0" w:type="dxa"/>
          <w:right w:w="0" w:type="dxa"/>
        </w:tblCellMar>
      </w:tblPr>
      <w:tblGrid>
        <w:gridCol w:w="271"/>
        <w:gridCol w:w="9916"/>
      </w:tblGrid>
      <w:tr>
        <w:trPr/>
        <w:tc>
          <w:tcPr>
            <w:tcW w:w="271" w:type="dxa"/>
            <w:tcBorders/>
            <w:shd w:fill="auto" w:val="clear"/>
            <w:vAlign w:val="center"/>
          </w:tcPr>
          <w:p>
            <w:pPr>
              <w:pStyle w:val="TableContents"/>
              <w:spacing w:before="0" w:after="283"/>
              <w:rPr/>
            </w:pPr>
            <w:r>
              <w:rPr/>
              <w:t>●</w:t>
            </w:r>
          </w:p>
        </w:tc>
        <w:tc>
          <w:tcPr>
            <w:tcW w:w="99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interest rate environment that reduce our interest margins or reduce the fair value of financial instruments;</w:t>
            </w:r>
          </w:p>
        </w:tc>
      </w:tr>
    </w:tbl>
    <w:tbl>
      <w:tblPr>
        <w:tblW w:w="8987" w:type="dxa"/>
        <w:jc w:val="left"/>
        <w:tblInd w:w="0" w:type="dxa"/>
        <w:tblCellMar>
          <w:top w:w="0" w:type="dxa"/>
          <w:left w:w="0" w:type="dxa"/>
          <w:bottom w:w="0" w:type="dxa"/>
          <w:right w:w="0" w:type="dxa"/>
        </w:tblCellMar>
      </w:tblPr>
      <w:tblGrid>
        <w:gridCol w:w="271"/>
        <w:gridCol w:w="8716"/>
      </w:tblGrid>
      <w:tr>
        <w:trPr/>
        <w:tc>
          <w:tcPr>
            <w:tcW w:w="271" w:type="dxa"/>
            <w:tcBorders/>
            <w:shd w:fill="auto" w:val="clear"/>
            <w:vAlign w:val="center"/>
          </w:tcPr>
          <w:p>
            <w:pPr>
              <w:pStyle w:val="TableContents"/>
              <w:spacing w:before="0" w:after="283"/>
              <w:rPr/>
            </w:pPr>
            <w:r>
              <w:rPr/>
              <w:t>●</w:t>
            </w:r>
          </w:p>
        </w:tc>
        <w:tc>
          <w:tcPr>
            <w:tcW w:w="87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away from the London Interbank Offered Rate (“LIBOR”), toward new interest rate benchmarks;</w:t>
            </w:r>
          </w:p>
        </w:tc>
      </w:tr>
    </w:tbl>
    <w:tbl>
      <w:tblPr>
        <w:tblW w:w="6017" w:type="dxa"/>
        <w:jc w:val="left"/>
        <w:tblInd w:w="0" w:type="dxa"/>
        <w:tblCellMar>
          <w:top w:w="0" w:type="dxa"/>
          <w:left w:w="0" w:type="dxa"/>
          <w:bottom w:w="0" w:type="dxa"/>
          <w:right w:w="0" w:type="dxa"/>
        </w:tblCellMar>
      </w:tblPr>
      <w:tblGrid>
        <w:gridCol w:w="271"/>
        <w:gridCol w:w="5746"/>
      </w:tblGrid>
      <w:tr>
        <w:trPr/>
        <w:tc>
          <w:tcPr>
            <w:tcW w:w="271" w:type="dxa"/>
            <w:tcBorders/>
            <w:shd w:fill="auto" w:val="clear"/>
            <w:vAlign w:val="center"/>
          </w:tcPr>
          <w:p>
            <w:pPr>
              <w:pStyle w:val="TableContents"/>
              <w:spacing w:before="0" w:after="283"/>
              <w:rPr/>
            </w:pPr>
            <w:r>
              <w:rPr/>
              <w:t>●</w:t>
            </w:r>
          </w:p>
        </w:tc>
        <w:tc>
          <w:tcPr>
            <w:tcW w:w="57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competitive pressures among financial services companies;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plans to grow our residential construction lending, our home lending operations, our warehouse lending, and the geographic expansion of our indirect home improvement lending;</w:t>
            </w:r>
          </w:p>
        </w:tc>
      </w:tr>
    </w:tbl>
    <w:tbl>
      <w:tblPr>
        <w:tblW w:w="3677" w:type="dxa"/>
        <w:jc w:val="left"/>
        <w:tblInd w:w="0" w:type="dxa"/>
        <w:tblCellMar>
          <w:top w:w="0" w:type="dxa"/>
          <w:left w:w="0" w:type="dxa"/>
          <w:bottom w:w="0" w:type="dxa"/>
          <w:right w:w="0" w:type="dxa"/>
        </w:tblCellMar>
      </w:tblPr>
      <w:tblGrid>
        <w:gridCol w:w="271"/>
        <w:gridCol w:w="3406"/>
      </w:tblGrid>
      <w:tr>
        <w:trPr/>
        <w:tc>
          <w:tcPr>
            <w:tcW w:w="271" w:type="dxa"/>
            <w:tcBorders/>
            <w:shd w:fill="auto" w:val="clear"/>
            <w:vAlign w:val="center"/>
          </w:tcPr>
          <w:p>
            <w:pPr>
              <w:pStyle w:val="TableContents"/>
              <w:spacing w:before="0" w:after="283"/>
              <w:rPr/>
            </w:pPr>
            <w:r>
              <w:rPr/>
              <w:t>●</w:t>
            </w:r>
          </w:p>
        </w:tc>
        <w:tc>
          <w:tcPr>
            <w:tcW w:w="34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deposits;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tc>
      </w:tr>
    </w:tbl>
    <w:tbl>
      <w:tblPr>
        <w:tblW w:w="4577" w:type="dxa"/>
        <w:jc w:val="left"/>
        <w:tblInd w:w="0" w:type="dxa"/>
        <w:tblCellMar>
          <w:top w:w="0" w:type="dxa"/>
          <w:left w:w="0" w:type="dxa"/>
          <w:bottom w:w="0" w:type="dxa"/>
          <w:right w:w="0" w:type="dxa"/>
        </w:tblCellMar>
      </w:tblPr>
      <w:tblGrid>
        <w:gridCol w:w="271"/>
        <w:gridCol w:w="4306"/>
      </w:tblGrid>
      <w:tr>
        <w:trPr/>
        <w:tc>
          <w:tcPr>
            <w:tcW w:w="271" w:type="dxa"/>
            <w:tcBorders/>
            <w:shd w:fill="auto" w:val="clear"/>
            <w:vAlign w:val="center"/>
          </w:tcPr>
          <w:p>
            <w:pPr>
              <w:pStyle w:val="TableContents"/>
              <w:spacing w:before="0" w:after="283"/>
              <w:rPr/>
            </w:pPr>
            <w:r>
              <w:rPr/>
              <w:t>●</w:t>
            </w:r>
          </w:p>
        </w:tc>
        <w:tc>
          <w:tcPr>
            <w:tcW w:w="43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control operating costs and expenses;</w:t>
            </w:r>
          </w:p>
        </w:tc>
      </w:tr>
    </w:tbl>
    <w:tbl>
      <w:tblPr>
        <w:tblW w:w="5747" w:type="dxa"/>
        <w:jc w:val="left"/>
        <w:tblInd w:w="0" w:type="dxa"/>
        <w:tblCellMar>
          <w:top w:w="0" w:type="dxa"/>
          <w:left w:w="0" w:type="dxa"/>
          <w:bottom w:w="0" w:type="dxa"/>
          <w:right w:w="0" w:type="dxa"/>
        </w:tblCellMar>
      </w:tblPr>
      <w:tblGrid>
        <w:gridCol w:w="271"/>
        <w:gridCol w:w="5476"/>
      </w:tblGrid>
      <w:tr>
        <w:trPr/>
        <w:tc>
          <w:tcPr>
            <w:tcW w:w="271" w:type="dxa"/>
            <w:tcBorders/>
            <w:shd w:fill="auto" w:val="clear"/>
            <w:vAlign w:val="center"/>
          </w:tcPr>
          <w:p>
            <w:pPr>
              <w:pStyle w:val="TableContents"/>
              <w:spacing w:before="0" w:after="283"/>
              <w:rPr/>
            </w:pPr>
            <w:r>
              <w:rPr/>
              <w:t>●</w:t>
            </w:r>
          </w:p>
        </w:tc>
        <w:tc>
          <w:tcPr>
            <w:tcW w:w="54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members of our senior management team;</w:t>
            </w:r>
          </w:p>
        </w:tc>
      </w:tr>
    </w:tbl>
    <w:tbl>
      <w:tblPr>
        <w:tblW w:w="5492" w:type="dxa"/>
        <w:jc w:val="left"/>
        <w:tblInd w:w="0" w:type="dxa"/>
        <w:tblCellMar>
          <w:top w:w="0" w:type="dxa"/>
          <w:left w:w="0" w:type="dxa"/>
          <w:bottom w:w="0" w:type="dxa"/>
          <w:right w:w="0" w:type="dxa"/>
        </w:tblCellMar>
      </w:tblPr>
      <w:tblGrid>
        <w:gridCol w:w="271"/>
        <w:gridCol w:w="5221"/>
      </w:tblGrid>
      <w:tr>
        <w:trPr/>
        <w:tc>
          <w:tcPr>
            <w:tcW w:w="271" w:type="dxa"/>
            <w:tcBorders/>
            <w:shd w:fill="auto" w:val="clear"/>
            <w:vAlign w:val="center"/>
          </w:tcPr>
          <w:p>
            <w:pPr>
              <w:pStyle w:val="TableContents"/>
              <w:spacing w:before="0" w:after="283"/>
              <w:rPr/>
            </w:pPr>
            <w:r>
              <w:rPr/>
              <w:t>●</w:t>
            </w:r>
          </w:p>
        </w:tc>
        <w:tc>
          <w:tcPr>
            <w:tcW w:w="52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spending, borrowing, and savings habits;</w:t>
            </w:r>
          </w:p>
        </w:tc>
      </w:tr>
    </w:tbl>
    <w:tbl>
      <w:tblPr>
        <w:tblW w:w="4187" w:type="dxa"/>
        <w:jc w:val="left"/>
        <w:tblInd w:w="0" w:type="dxa"/>
        <w:tblCellMar>
          <w:top w:w="0" w:type="dxa"/>
          <w:left w:w="0" w:type="dxa"/>
          <w:bottom w:w="0" w:type="dxa"/>
          <w:right w:w="0" w:type="dxa"/>
        </w:tblCellMar>
      </w:tblPr>
      <w:tblGrid>
        <w:gridCol w:w="271"/>
        <w:gridCol w:w="3916"/>
      </w:tblGrid>
      <w:tr>
        <w:trPr/>
        <w:tc>
          <w:tcPr>
            <w:tcW w:w="271" w:type="dxa"/>
            <w:tcBorders/>
            <w:shd w:fill="auto" w:val="clear"/>
            <w:vAlign w:val="center"/>
          </w:tcPr>
          <w:p>
            <w:pPr>
              <w:pStyle w:val="TableContents"/>
              <w:spacing w:before="0" w:after="283"/>
              <w:rPr/>
            </w:pPr>
            <w:r>
              <w:rPr/>
              <w:t>●</w:t>
            </w:r>
          </w:p>
        </w:tc>
        <w:tc>
          <w:tcPr>
            <w:tcW w:w="39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manage our growth;</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or regulatory changes that adversely affect our business including changes in banking, securities and tax law, and in regulatory policies and principles, or the interpretation of regulatory capital or other rules, and other governmental initiatives affecting the financial services industry;</w:t>
            </w:r>
          </w:p>
        </w:tc>
      </w:tr>
    </w:tbl>
    <w:tbl>
      <w:tblPr>
        <w:tblW w:w="4547" w:type="dxa"/>
        <w:jc w:val="left"/>
        <w:tblInd w:w="0" w:type="dxa"/>
        <w:tblCellMar>
          <w:top w:w="0" w:type="dxa"/>
          <w:left w:w="0" w:type="dxa"/>
          <w:bottom w:w="0" w:type="dxa"/>
          <w:right w:w="0" w:type="dxa"/>
        </w:tblCellMar>
      </w:tblPr>
      <w:tblGrid>
        <w:gridCol w:w="271"/>
        <w:gridCol w:w="4276"/>
      </w:tblGrid>
      <w:tr>
        <w:trPr/>
        <w:tc>
          <w:tcPr>
            <w:tcW w:w="271" w:type="dxa"/>
            <w:tcBorders/>
            <w:shd w:fill="auto" w:val="clear"/>
            <w:vAlign w:val="center"/>
          </w:tcPr>
          <w:p>
            <w:pPr>
              <w:pStyle w:val="TableContents"/>
              <w:spacing w:before="0" w:after="283"/>
              <w:rPr/>
            </w:pPr>
            <w:r>
              <w:rPr/>
              <w:t>●</w:t>
            </w:r>
          </w:p>
        </w:tc>
        <w:tc>
          <w:tcPr>
            <w:tcW w:w="42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dividends on our common stock;</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037" w:type="dxa"/>
        <w:jc w:val="left"/>
        <w:tblInd w:w="0" w:type="dxa"/>
        <w:tblCellMar>
          <w:top w:w="0" w:type="dxa"/>
          <w:left w:w="0" w:type="dxa"/>
          <w:bottom w:w="0" w:type="dxa"/>
          <w:right w:w="0" w:type="dxa"/>
        </w:tblCellMar>
      </w:tblPr>
      <w:tblGrid>
        <w:gridCol w:w="271"/>
        <w:gridCol w:w="9766"/>
      </w:tblGrid>
      <w:tr>
        <w:trPr/>
        <w:tc>
          <w:tcPr>
            <w:tcW w:w="271" w:type="dxa"/>
            <w:tcBorders/>
            <w:shd w:fill="auto" w:val="clear"/>
            <w:vAlign w:val="center"/>
          </w:tcPr>
          <w:p>
            <w:pPr>
              <w:pStyle w:val="TableContents"/>
              <w:spacing w:before="0" w:after="283"/>
              <w:rPr/>
            </w:pPr>
            <w:r>
              <w:rPr/>
              <w:t>●</w:t>
            </w:r>
          </w:p>
        </w:tc>
        <w:tc>
          <w:tcPr>
            <w:tcW w:w="976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and composition of our securities portfolio and the impact of any adverse changes in the securities markets;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policies and practices, as may be adopted by the bank regulatory agencies, the Public Company Accounting Oversight Board or the Financial Accounting Standards Board (“FASB”);</w:t>
            </w:r>
          </w:p>
        </w:tc>
      </w:tr>
    </w:tbl>
    <w:tbl>
      <w:tblPr>
        <w:tblW w:w="5912" w:type="dxa"/>
        <w:jc w:val="left"/>
        <w:tblInd w:w="0" w:type="dxa"/>
        <w:tblCellMar>
          <w:top w:w="0" w:type="dxa"/>
          <w:left w:w="0" w:type="dxa"/>
          <w:bottom w:w="0" w:type="dxa"/>
          <w:right w:w="0" w:type="dxa"/>
        </w:tblCellMar>
      </w:tblPr>
      <w:tblGrid>
        <w:gridCol w:w="271"/>
        <w:gridCol w:w="5641"/>
      </w:tblGrid>
      <w:tr>
        <w:trPr/>
        <w:tc>
          <w:tcPr>
            <w:tcW w:w="271" w:type="dxa"/>
            <w:tcBorders/>
            <w:shd w:fill="auto" w:val="clear"/>
            <w:vAlign w:val="center"/>
          </w:tcPr>
          <w:p>
            <w:pPr>
              <w:pStyle w:val="TableContents"/>
              <w:spacing w:before="0" w:after="283"/>
              <w:rPr/>
            </w:pPr>
            <w:r>
              <w:rPr/>
              <w:t>●</w:t>
            </w:r>
          </w:p>
        </w:tc>
        <w:tc>
          <w:tcPr>
            <w:tcW w:w="56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effects of litigation, including settlements and judgments;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security breaches, or other adverse events, failures, or interruptions in, or attacks on, our information technology systems or on the third-party vendors who perform several of our critical processing functions;</w:t>
            </w:r>
          </w:p>
        </w:tc>
      </w:tr>
    </w:tbl>
    <w:tbl>
      <w:tblPr>
        <w:tblW w:w="6107" w:type="dxa"/>
        <w:jc w:val="left"/>
        <w:tblInd w:w="0" w:type="dxa"/>
        <w:tblCellMar>
          <w:top w:w="0" w:type="dxa"/>
          <w:left w:w="0" w:type="dxa"/>
          <w:bottom w:w="0" w:type="dxa"/>
          <w:right w:w="0" w:type="dxa"/>
        </w:tblCellMar>
      </w:tblPr>
      <w:tblGrid>
        <w:gridCol w:w="271"/>
        <w:gridCol w:w="5836"/>
      </w:tblGrid>
      <w:tr>
        <w:trPr/>
        <w:tc>
          <w:tcPr>
            <w:tcW w:w="271" w:type="dxa"/>
            <w:tcBorders/>
            <w:shd w:fill="auto" w:val="clear"/>
            <w:vAlign w:val="center"/>
          </w:tcPr>
          <w:p>
            <w:pPr>
              <w:pStyle w:val="TableContents"/>
              <w:spacing w:before="0" w:after="283"/>
              <w:rPr/>
            </w:pPr>
            <w:r>
              <w:rPr/>
              <w:t>●</w:t>
            </w:r>
          </w:p>
        </w:tc>
        <w:tc>
          <w:tcPr>
            <w:tcW w:w="58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of key third-party vendors to perform their obligations to us;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economic impact of climate change, severe weather events, natural disasters, pandemics, epidemics and other public health crises, acts of war or terrorism, and other external events on our business;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economic, competitive, governmental, regulatory, and technical factors affecting our operations, pricing, products and services, and </w:t>
            </w:r>
          </w:p>
        </w:tc>
      </w:tr>
    </w:tbl>
    <w:tbl>
      <w:tblPr>
        <w:tblW w:w="8627" w:type="dxa"/>
        <w:jc w:val="left"/>
        <w:tblInd w:w="0" w:type="dxa"/>
        <w:tblCellMar>
          <w:top w:w="0" w:type="dxa"/>
          <w:left w:w="0" w:type="dxa"/>
          <w:bottom w:w="0" w:type="dxa"/>
          <w:right w:w="0" w:type="dxa"/>
        </w:tblCellMar>
      </w:tblPr>
      <w:tblGrid>
        <w:gridCol w:w="271"/>
        <w:gridCol w:w="8356"/>
      </w:tblGrid>
      <w:tr>
        <w:trPr/>
        <w:tc>
          <w:tcPr>
            <w:tcW w:w="271" w:type="dxa"/>
            <w:tcBorders/>
            <w:shd w:fill="auto" w:val="clear"/>
            <w:vAlign w:val="center"/>
          </w:tcPr>
          <w:p>
            <w:pPr>
              <w:pStyle w:val="TableContents"/>
              <w:spacing w:before="0" w:after="283"/>
              <w:rPr/>
            </w:pPr>
            <w:r>
              <w:rPr/>
              <w:t>●</w:t>
            </w:r>
          </w:p>
        </w:tc>
        <w:tc>
          <w:tcPr>
            <w:tcW w:w="83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described elsewhere in this Form 10-Q and our other reports filed with or furnished to SEC.</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Any of the forward-looking statements made in this Form 10-Q and in other public statements may turn out to be wrong because of inaccurate assumptions we might make, because of the factors illustrated above or because of other factors that we cannot foresee. Forward-looking statements are based upon management’s beliefs and assumptions at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pStyle w:val="TextBody"/>
        <w:spacing w:before="120" w:after="20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FS Bancorp and its subsidiary bank, 1st Security Bank have been serving the Puget Sound area since 1936. Originally chartered as a credit union, known as Washington’s Credit Union, the credit union served various select employment groups. On April 1, 2004, the credit union converted to a Washington state-chartered mutual savings bank. On July 9, 2012, the Bank converted from mutual to stock ownership and became the wholly owned subsidiary of FS Bancorp.</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relationship-driven, delivering banking and financial services to local families, local and regional businesses and industry niches in suburban communities in the greater Puget Sound area, the Kennewick-Pasco-Richland metropolitan area of Washington, also know as the Tri-Cities, Goldendale, Vancouver, and White Salmon, Washington and Manzanita, Newport, Ontario, Tillamook and Waldport, Oregon. On February 24, 2023, the Company completed its previously announced Branch Purchase of seven retail bank branches from Columbia State Bank and acquired approximately $425.5 million in deposits and $66.1 million in loans.  The seven acquired branches are located in the communities of  White Salmon and Goldendale, Washington, and Newport, Waldport, Ontario, Manzanita,  and Tillamook, Oregon.  The Branch Purchase expanded our Puget Sound-focused retail footprint into southeast Washington and the state of Oregon as well as providing an opportunity to extend our unique brand of community banking into those communities.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also maintains its long-standing indirect consumer lending platform which operates primarily throughout the Western United States, and has been expanding our partnership with companies present in other areas of the country as well. The Company emphasizes long-term relationships with families and businesses within the communities served, working with them to meet their financial needs. The Company is also actively involved in community activities and events within these market areas, which further strengthens our relationships within those markets.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focuses on diversifying revenues, expanding lending channels, and growing the banking franchise. Management remains focused on building diversified revenue streams based upon credit, interest rate, and concentration risks. Our business plan remains as follows:</w:t>
      </w:r>
    </w:p>
    <w:tbl>
      <w:tblPr>
        <w:tblW w:w="4052" w:type="dxa"/>
        <w:jc w:val="left"/>
        <w:tblInd w:w="0" w:type="dxa"/>
        <w:tblCellMar>
          <w:top w:w="0" w:type="dxa"/>
          <w:left w:w="0" w:type="dxa"/>
          <w:bottom w:w="0" w:type="dxa"/>
          <w:right w:w="0" w:type="dxa"/>
        </w:tblCellMar>
      </w:tblPr>
      <w:tblGrid>
        <w:gridCol w:w="271"/>
        <w:gridCol w:w="3781"/>
      </w:tblGrid>
      <w:tr>
        <w:trPr/>
        <w:tc>
          <w:tcPr>
            <w:tcW w:w="271" w:type="dxa"/>
            <w:tcBorders/>
            <w:shd w:fill="auto" w:val="clear"/>
            <w:vAlign w:val="center"/>
          </w:tcPr>
          <w:p>
            <w:pPr>
              <w:pStyle w:val="TableContents"/>
              <w:spacing w:before="0" w:after="283"/>
              <w:rPr/>
            </w:pPr>
            <w:r>
              <w:rPr/>
              <w:t>●</w:t>
            </w:r>
          </w:p>
        </w:tc>
        <w:tc>
          <w:tcPr>
            <w:tcW w:w="37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and diversifying our loan portfolio;</w:t>
            </w:r>
          </w:p>
        </w:tc>
      </w:tr>
    </w:tbl>
    <w:tbl>
      <w:tblPr>
        <w:tblW w:w="3122" w:type="dxa"/>
        <w:jc w:val="left"/>
        <w:tblInd w:w="0" w:type="dxa"/>
        <w:tblCellMar>
          <w:top w:w="0" w:type="dxa"/>
          <w:left w:w="0" w:type="dxa"/>
          <w:bottom w:w="0" w:type="dxa"/>
          <w:right w:w="0" w:type="dxa"/>
        </w:tblCellMar>
      </w:tblPr>
      <w:tblGrid>
        <w:gridCol w:w="271"/>
        <w:gridCol w:w="2851"/>
      </w:tblGrid>
      <w:tr>
        <w:trPr/>
        <w:tc>
          <w:tcPr>
            <w:tcW w:w="271" w:type="dxa"/>
            <w:tcBorders/>
            <w:shd w:fill="auto" w:val="clear"/>
            <w:vAlign w:val="center"/>
          </w:tcPr>
          <w:p>
            <w:pPr>
              <w:pStyle w:val="TableContents"/>
              <w:spacing w:before="0" w:after="283"/>
              <w:rPr/>
            </w:pPr>
            <w:r>
              <w:rPr/>
              <w:t>●</w:t>
            </w:r>
          </w:p>
        </w:tc>
        <w:tc>
          <w:tcPr>
            <w:tcW w:w="28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strong asset quality;</w:t>
            </w:r>
          </w:p>
        </w:tc>
      </w:tr>
    </w:tbl>
    <w:tbl>
      <w:tblPr>
        <w:tblW w:w="7307" w:type="dxa"/>
        <w:jc w:val="left"/>
        <w:tblInd w:w="0" w:type="dxa"/>
        <w:tblCellMar>
          <w:top w:w="0" w:type="dxa"/>
          <w:left w:w="0" w:type="dxa"/>
          <w:bottom w:w="0" w:type="dxa"/>
          <w:right w:w="0" w:type="dxa"/>
        </w:tblCellMar>
      </w:tblPr>
      <w:tblGrid>
        <w:gridCol w:w="271"/>
        <w:gridCol w:w="7036"/>
      </w:tblGrid>
      <w:tr>
        <w:trPr/>
        <w:tc>
          <w:tcPr>
            <w:tcW w:w="271" w:type="dxa"/>
            <w:tcBorders/>
            <w:shd w:fill="auto" w:val="clear"/>
            <w:vAlign w:val="center"/>
          </w:tcPr>
          <w:p>
            <w:pPr>
              <w:pStyle w:val="TableContents"/>
              <w:spacing w:before="0" w:after="283"/>
              <w:rPr/>
            </w:pPr>
            <w:r>
              <w:rPr/>
              <w:t>●</w:t>
            </w:r>
          </w:p>
        </w:tc>
        <w:tc>
          <w:tcPr>
            <w:tcW w:w="70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Emphasizing lower cost core deposits to reduce the costs of funding our loan growth;</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Capturing our customers’ full relationship by offering a wide range of products and services by leveraging our well-established involvement in our communities and by selectively emphasizing products and services designed to meet our customers’ banking needs; and</w:t>
            </w:r>
          </w:p>
        </w:tc>
      </w:tr>
    </w:tbl>
    <w:tbl>
      <w:tblPr>
        <w:tblW w:w="3317" w:type="dxa"/>
        <w:jc w:val="left"/>
        <w:tblInd w:w="0" w:type="dxa"/>
        <w:tblCellMar>
          <w:top w:w="0" w:type="dxa"/>
          <w:left w:w="0" w:type="dxa"/>
          <w:bottom w:w="0" w:type="dxa"/>
          <w:right w:w="0" w:type="dxa"/>
        </w:tblCellMar>
      </w:tblPr>
      <w:tblGrid>
        <w:gridCol w:w="271"/>
        <w:gridCol w:w="3046"/>
      </w:tblGrid>
      <w:tr>
        <w:trPr/>
        <w:tc>
          <w:tcPr>
            <w:tcW w:w="271" w:type="dxa"/>
            <w:tcBorders/>
            <w:shd w:fill="auto" w:val="clear"/>
            <w:vAlign w:val="center"/>
          </w:tcPr>
          <w:p>
            <w:pPr>
              <w:pStyle w:val="TableContents"/>
              <w:spacing w:before="0" w:after="283"/>
              <w:rPr/>
            </w:pPr>
            <w:r>
              <w:rPr/>
              <w:t>●</w:t>
            </w:r>
          </w:p>
        </w:tc>
        <w:tc>
          <w:tcPr>
            <w:tcW w:w="30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the Company’s markets.</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a diversified lender with a focus on the origination of one-to-four-family loans, commercial real estate mortgage loans, second mortgage or home equity loan products, consumer loans including indirect home improvement (“fixture secured”) loans which also include solar-related home improvement loans, marine lending, and commercial business loans. As part of our expanding lending products, the Company additionally offers residential mortgage and commercial construction warehouse lending consistent with our business plan to further diversify revenues.  Historically, consumer loans, in particular, fixture secured loans had represented the largest portion of the Company’s loan portfolio and had traditionally been the mainstay of the Company’s lending strategy.  At March 31, 2023, consumer loans represented 26.0% of the Company’s total gross loan portfolio, compared to 24.4% at March 31, 2022.  In recent years, the Company has placed more of an emphasis on real estate lending products, such as one-to-four-family loans, commercial real estate loans, including speculative residential construction loans, and commercial business loans, while growing the current size of the consumer loan portfolio.</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Fixture secured loans to finance window, gutter, siding replacement, solar panels, spas, and other improvement renovations are a large and regionally expanding segment of the consumer loan portfolio. These fixture secured consumer loans are dependent on the Bank’s contractor/dealer network of 90 active dealers located throughout Washington, Oregon, California, Idaho, Colorado, Nevada, Arizona, Minnesota, Texas, Utah, Massachusetts, and Montana with four contractor/dealers responsible for 52.5% of the funded loans dollar volume for the three months ended March 31, 2023. The Company funded $67.8 million, or approximately 2,700 loans during the quarter ended March 31, 2023.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details fixture secured loan originations by state for the periods indicated:</w:t>
      </w:r>
    </w:p>
    <w:tbl>
      <w:tblPr>
        <w:tblW w:w="7006" w:type="dxa"/>
        <w:jc w:val="left"/>
        <w:tblInd w:w="0" w:type="dxa"/>
        <w:tblCellMar>
          <w:top w:w="0" w:type="dxa"/>
          <w:left w:w="0" w:type="dxa"/>
          <w:bottom w:w="0" w:type="dxa"/>
          <w:right w:w="0" w:type="dxa"/>
        </w:tblCellMar>
      </w:tblPr>
      <w:tblGrid>
        <w:gridCol w:w="2281"/>
        <w:gridCol w:w="109"/>
        <w:gridCol w:w="224"/>
        <w:gridCol w:w="775"/>
        <w:gridCol w:w="167"/>
        <w:gridCol w:w="723"/>
        <w:gridCol w:w="271"/>
        <w:gridCol w:w="386"/>
        <w:gridCol w:w="211"/>
        <w:gridCol w:w="781"/>
        <w:gridCol w:w="146"/>
        <w:gridCol w:w="631"/>
        <w:gridCol w:w="301"/>
      </w:tblGrid>
      <w:tr>
        <w:trPr/>
        <w:tc>
          <w:tcPr>
            <w:tcW w:w="2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1448435" cy="175260"/>
                      <wp:effectExtent l="0" t="0" r="0" b="0"/>
                      <wp:wrapNone/>
                      <wp:docPr id="727" name="Frame727"/>
                      <a:graphic xmlns:a="http://schemas.openxmlformats.org/drawingml/2006/main">
                        <a:graphicData uri="http://schemas.microsoft.com/office/word/2010/wordprocessingShape">
                          <wps:wsp>
                            <wps:cNvSpPr txBox="1"/>
                            <wps:spPr>
                              <a:xfrm>
                                <a:off x="0" y="0"/>
                                <a:ext cx="144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69215" cy="175260"/>
                      <wp:effectExtent l="0" t="0" r="0" b="0"/>
                      <wp:wrapNone/>
                      <wp:docPr id="728" name="Frame7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42240" cy="175260"/>
                      <wp:effectExtent l="0" t="0" r="0" b="0"/>
                      <wp:wrapNone/>
                      <wp:docPr id="729" name="Frame729"/>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492125" cy="175260"/>
                      <wp:effectExtent l="0" t="0" r="0" b="0"/>
                      <wp:wrapNone/>
                      <wp:docPr id="730" name="Frame730"/>
                      <a:graphic xmlns:a="http://schemas.openxmlformats.org/drawingml/2006/main">
                        <a:graphicData uri="http://schemas.microsoft.com/office/word/2010/wordprocessingShape">
                          <wps:wsp>
                            <wps:cNvSpPr txBox="1"/>
                            <wps:spPr>
                              <a:xfrm>
                                <a:off x="0" y="0"/>
                                <a:ext cx="492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06045" cy="175260"/>
                      <wp:effectExtent l="0" t="0" r="0" b="0"/>
                      <wp:wrapNone/>
                      <wp:docPr id="731" name="Frame731"/>
                      <a:graphic xmlns:a="http://schemas.openxmlformats.org/drawingml/2006/main">
                        <a:graphicData uri="http://schemas.microsoft.com/office/word/2010/wordprocessingShape">
                          <wps:wsp>
                            <wps:cNvSpPr txBox="1"/>
                            <wps:spPr>
                              <a:xfrm>
                                <a:off x="0" y="0"/>
                                <a:ext cx="106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459105" cy="175260"/>
                      <wp:effectExtent l="0" t="0" r="0" b="0"/>
                      <wp:wrapNone/>
                      <wp:docPr id="732" name="Frame732"/>
                      <a:graphic xmlns:a="http://schemas.openxmlformats.org/drawingml/2006/main">
                        <a:graphicData uri="http://schemas.microsoft.com/office/word/2010/wordprocessingShape">
                          <wps:wsp>
                            <wps:cNvSpPr txBox="1"/>
                            <wps:spPr>
                              <a:xfrm>
                                <a:off x="0" y="0"/>
                                <a:ext cx="459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172085" cy="175260"/>
                      <wp:effectExtent l="0" t="0" r="0" b="0"/>
                      <wp:wrapNone/>
                      <wp:docPr id="733" name="Frame733"/>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45110" cy="175260"/>
                      <wp:effectExtent l="0" t="0" r="0" b="0"/>
                      <wp:wrapNone/>
                      <wp:docPr id="734" name="Frame734"/>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33985" cy="175260"/>
                      <wp:effectExtent l="0" t="0" r="0" b="0"/>
                      <wp:wrapNone/>
                      <wp:docPr id="735" name="Frame7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495935" cy="175260"/>
                      <wp:effectExtent l="0" t="0" r="0" b="0"/>
                      <wp:wrapNone/>
                      <wp:docPr id="736" name="Frame73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92710" cy="175260"/>
                      <wp:effectExtent l="0" t="0" r="0" b="0"/>
                      <wp:wrapNone/>
                      <wp:docPr id="737" name="Frame73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400685" cy="175260"/>
                      <wp:effectExtent l="0" t="0" r="0" b="0"/>
                      <wp:wrapNone/>
                      <wp:docPr id="738" name="Frame738"/>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191135" cy="175260"/>
                      <wp:effectExtent l="0" t="0" r="0" b="0"/>
                      <wp:wrapNone/>
                      <wp:docPr id="739" name="Frame739"/>
                      <a:graphic xmlns:a="http://schemas.openxmlformats.org/drawingml/2006/main">
                        <a:graphicData uri="http://schemas.microsoft.com/office/word/2010/wordprocessingShape">
                          <wps:wsp>
                            <wps:cNvSpPr txBox="1"/>
                            <wps:spPr>
                              <a:xfrm>
                                <a:off x="0" y="0"/>
                                <a:ext cx="191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(Dollars in thousands)</w:t>
            </w:r>
          </w:p>
        </w:tc>
        <w:tc>
          <w:tcPr>
            <w:tcW w:w="109" w:type="dxa"/>
            <w:tcBorders/>
            <w:shd w:fill="auto" w:val="clear"/>
            <w:vAlign w:val="center"/>
          </w:tcPr>
          <w:p>
            <w:pPr>
              <w:pStyle w:val="TableContents"/>
              <w:spacing w:before="0" w:after="0"/>
              <w:ind w:left="0" w:right="0" w:hanging="0"/>
              <w:rPr/>
            </w:pPr>
            <w:r>
              <w:rPr/>
              <w:t>​</w:t>
            </w:r>
          </w:p>
        </w:tc>
        <w:tc>
          <w:tcPr>
            <w:tcW w:w="1889" w:type="dxa"/>
            <w:gridSpan w:val="4"/>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 the Quarter Ended</w:t>
            </w:r>
          </w:p>
        </w:tc>
        <w:tc>
          <w:tcPr>
            <w:tcW w:w="271"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1769" w:type="dxa"/>
            <w:gridSpan w:val="4"/>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 the Year Ended</w:t>
            </w:r>
          </w:p>
        </w:tc>
        <w:tc>
          <w:tcPr>
            <w:tcW w:w="301" w:type="dxa"/>
            <w:tcBorders/>
            <w:shd w:fill="auto" w:val="clear"/>
            <w:vAlign w:val="center"/>
          </w:tcPr>
          <w:p>
            <w:pPr>
              <w:pStyle w:val="TableContents"/>
              <w:spacing w:before="0" w:after="0"/>
              <w:ind w:left="0" w:right="0" w:hanging="0"/>
              <w:rPr/>
            </w:pPr>
            <w:r>
              <w:rPr/>
              <w:t>​</w:t>
            </w:r>
          </w:p>
        </w:tc>
      </w:tr>
      <w:tr>
        <w:trPr/>
        <w:tc>
          <w:tcPr>
            <w:tcW w:w="22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88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c>
          <w:tcPr>
            <w:tcW w:w="271" w:type="dxa"/>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jc w:val="center"/>
              <w:rPr/>
            </w:pPr>
            <w:r>
              <w:rPr/>
              <w:t>     </w:t>
            </w:r>
          </w:p>
        </w:tc>
        <w:tc>
          <w:tcPr>
            <w:tcW w:w="176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c>
          <w:tcPr>
            <w:tcW w:w="301" w:type="dxa"/>
            <w:tcBorders/>
            <w:shd w:fill="auto" w:val="clear"/>
            <w:vAlign w:val="center"/>
          </w:tcPr>
          <w:p>
            <w:pPr>
              <w:pStyle w:val="TableContents"/>
              <w:spacing w:before="0" w:after="0"/>
              <w:ind w:left="0" w:right="0" w:hanging="0"/>
              <w:rPr/>
            </w:pPr>
            <w:r>
              <w:rPr/>
              <w:t>​</w:t>
            </w:r>
          </w:p>
        </w:tc>
      </w:tr>
      <w:tr>
        <w:trPr/>
        <w:tc>
          <w:tcPr>
            <w:tcW w:w="22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w:t>
            </w:r>
          </w:p>
        </w:tc>
        <w:tc>
          <w:tcPr>
            <w:tcW w:w="109" w:type="dxa"/>
            <w:tcBorders/>
            <w:shd w:fill="auto" w:val="clear"/>
            <w:vAlign w:val="center"/>
          </w:tcPr>
          <w:p>
            <w:pPr>
              <w:pStyle w:val="TableContents"/>
              <w:spacing w:before="0" w:after="0"/>
              <w:ind w:left="0" w:right="0" w:hanging="0"/>
              <w:rPr/>
            </w:pPr>
            <w:r>
              <w:rPr/>
              <w:t>​</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Amount</w:t>
            </w:r>
          </w:p>
        </w:tc>
        <w:tc>
          <w:tcPr>
            <w:tcW w:w="167" w:type="dxa"/>
            <w:tcBorders/>
            <w:shd w:fill="auto" w:val="clear"/>
            <w:vAlign w:val="center"/>
          </w:tcPr>
          <w:p>
            <w:pPr>
              <w:pStyle w:val="TableContents"/>
              <w:spacing w:before="0" w:after="0"/>
              <w:ind w:left="0" w:right="0" w:hanging="0"/>
              <w:rPr/>
            </w:pPr>
            <w:r>
              <w:rPr/>
              <w:t>​</w:t>
            </w:r>
          </w:p>
        </w:tc>
        <w:tc>
          <w:tcPr>
            <w:tcW w:w="72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Percent</w:t>
            </w:r>
          </w:p>
        </w:tc>
        <w:tc>
          <w:tcPr>
            <w:tcW w:w="271"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Amount</w:t>
            </w:r>
          </w:p>
        </w:tc>
        <w:tc>
          <w:tcPr>
            <w:tcW w:w="146" w:type="dxa"/>
            <w:tcBorders/>
            <w:shd w:fill="auto" w:val="clear"/>
            <w:vAlign w:val="center"/>
          </w:tcPr>
          <w:p>
            <w:pPr>
              <w:pStyle w:val="TableContents"/>
              <w:spacing w:before="0" w:after="0"/>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Percent</w:t>
            </w:r>
          </w:p>
        </w:tc>
        <w:tc>
          <w:tcPr>
            <w:tcW w:w="301" w:type="dxa"/>
            <w:tcBorders/>
            <w:shd w:fill="auto" w:val="clear"/>
            <w:vAlign w:val="center"/>
          </w:tcPr>
          <w:p>
            <w:pPr>
              <w:pStyle w:val="TableContents"/>
              <w:spacing w:before="0" w:after="0"/>
              <w:ind w:left="0" w:right="0" w:hanging="0"/>
              <w:rPr/>
            </w:pPr>
            <w:r>
              <w:rPr/>
              <w:t>​</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Washington</w:t>
            </w:r>
          </w:p>
        </w:tc>
        <w:tc>
          <w:tcPr>
            <w:tcW w:w="109"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24,331</w:t>
            </w:r>
          </w:p>
        </w:tc>
        <w:tc>
          <w:tcPr>
            <w:tcW w:w="167"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102,981</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Oregon</w:t>
            </w:r>
          </w:p>
        </w:tc>
        <w:tc>
          <w:tcPr>
            <w:tcW w:w="109"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w:t>
            </w:r>
          </w:p>
        </w:tc>
        <w:tc>
          <w:tcPr>
            <w:tcW w:w="7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13,832</w:t>
            </w:r>
          </w:p>
        </w:tc>
        <w:tc>
          <w:tcPr>
            <w:tcW w:w="167" w:type="dxa"/>
            <w:tcBorders/>
            <w:shd w:fill="auto" w:val="clear"/>
            <w:vAlign w:val="center"/>
          </w:tcPr>
          <w:p>
            <w:pPr>
              <w:pStyle w:val="TableContents"/>
              <w:spacing w:before="0" w:after="0"/>
              <w:ind w:left="0" w:right="0" w:hanging="0"/>
              <w:rPr/>
            </w:pPr>
            <w:r>
              <w:rPr/>
              <w:t> </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271"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73,110</w:t>
            </w:r>
          </w:p>
        </w:tc>
        <w:tc>
          <w:tcPr>
            <w:tcW w:w="14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01" w:type="dxa"/>
            <w:tcBorders/>
            <w:shd w:fill="auto" w:val="clear"/>
            <w:vAlign w:val="center"/>
          </w:tcPr>
          <w:p>
            <w:pPr>
              <w:pStyle w:val="TableContents"/>
              <w:spacing w:before="0" w:after="0"/>
              <w:ind w:left="0" w:right="0" w:hanging="0"/>
              <w:rPr/>
            </w:pPr>
            <w:r>
              <w:rPr/>
              <w:t>​</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California</w:t>
            </w:r>
          </w:p>
        </w:tc>
        <w:tc>
          <w:tcPr>
            <w:tcW w:w="109"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7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10,888</w:t>
            </w:r>
          </w:p>
        </w:tc>
        <w:tc>
          <w:tcPr>
            <w:tcW w:w="167"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271" w:type="dxa"/>
            <w:tcBorders/>
            <w:shd w:fill="CCEEFF" w:val="clear"/>
            <w:vAlign w:val="center"/>
          </w:tcPr>
          <w:p>
            <w:pPr>
              <w:pStyle w:val="TableContents"/>
              <w:spacing w:before="0" w:after="0"/>
              <w:ind w:left="0" w:right="0" w:hanging="0"/>
              <w:rPr/>
            </w:pPr>
            <w:r>
              <w:rPr/>
              <w:t> </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59,175</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01" w:type="dxa"/>
            <w:tcBorders/>
            <w:shd w:fill="CCEEFF" w:val="clear"/>
            <w:vAlign w:val="center"/>
          </w:tcPr>
          <w:p>
            <w:pPr>
              <w:pStyle w:val="TableContents"/>
              <w:spacing w:before="0" w:after="0"/>
              <w:ind w:left="0" w:right="0" w:hanging="0"/>
              <w:rPr/>
            </w:pPr>
            <w:r>
              <w:rPr/>
              <w:t>​</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Idaho</w:t>
            </w:r>
          </w:p>
        </w:tc>
        <w:tc>
          <w:tcPr>
            <w:tcW w:w="109"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 </w:t>
            </w:r>
          </w:p>
        </w:tc>
        <w:tc>
          <w:tcPr>
            <w:tcW w:w="7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5,799</w:t>
            </w:r>
          </w:p>
        </w:tc>
        <w:tc>
          <w:tcPr>
            <w:tcW w:w="167"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271" w:type="dxa"/>
            <w:tcBorders/>
            <w:shd w:fill="auto" w:val="clear"/>
            <w:vAlign w:val="center"/>
          </w:tcPr>
          <w:p>
            <w:pPr>
              <w:pStyle w:val="TableContents"/>
              <w:spacing w:before="0" w:after="0"/>
              <w:ind w:left="0" w:right="0" w:hanging="0"/>
              <w:rPr/>
            </w:pPr>
            <w:r>
              <w:rPr/>
              <w:t> </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22,744</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01" w:type="dxa"/>
            <w:tcBorders/>
            <w:shd w:fill="auto" w:val="clear"/>
            <w:vAlign w:val="center"/>
          </w:tcPr>
          <w:p>
            <w:pPr>
              <w:pStyle w:val="TableContents"/>
              <w:spacing w:before="0" w:after="0"/>
              <w:ind w:left="0" w:right="0" w:hanging="0"/>
              <w:rPr/>
            </w:pPr>
            <w:r>
              <w:rPr/>
              <w:t>​</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c>
          <w:tcPr>
            <w:tcW w:w="109"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 </w:t>
            </w:r>
          </w:p>
        </w:tc>
        <w:tc>
          <w:tcPr>
            <w:tcW w:w="7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2,287</w:t>
            </w:r>
          </w:p>
        </w:tc>
        <w:tc>
          <w:tcPr>
            <w:tcW w:w="167"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shd w:fill="CCEEFF" w:val="clear"/>
            <w:vAlign w:val="center"/>
          </w:tcPr>
          <w:p>
            <w:pPr>
              <w:pStyle w:val="TableContents"/>
              <w:spacing w:before="0" w:after="0"/>
              <w:ind w:left="0" w:right="0" w:hanging="0"/>
              <w:rPr/>
            </w:pPr>
            <w:r>
              <w:rPr/>
              <w:t> </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14,584</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01" w:type="dxa"/>
            <w:tcBorders/>
            <w:shd w:fill="CCEEFF" w:val="clear"/>
            <w:vAlign w:val="center"/>
          </w:tcPr>
          <w:p>
            <w:pPr>
              <w:pStyle w:val="TableContents"/>
              <w:spacing w:before="0" w:after="0"/>
              <w:ind w:left="0" w:right="0" w:hanging="0"/>
              <w:rPr/>
            </w:pPr>
            <w:r>
              <w:rPr/>
              <w:t>​</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Arizona</w:t>
            </w:r>
          </w:p>
        </w:tc>
        <w:tc>
          <w:tcPr>
            <w:tcW w:w="109"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w:t>
            </w:r>
          </w:p>
        </w:tc>
        <w:tc>
          <w:tcPr>
            <w:tcW w:w="7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1,659</w:t>
            </w:r>
          </w:p>
        </w:tc>
        <w:tc>
          <w:tcPr>
            <w:tcW w:w="167"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5,029</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01" w:type="dxa"/>
            <w:tcBorders/>
            <w:shd w:fill="auto" w:val="clear"/>
            <w:vAlign w:val="center"/>
          </w:tcPr>
          <w:p>
            <w:pPr>
              <w:pStyle w:val="TableContents"/>
              <w:spacing w:before="0" w:after="0"/>
              <w:ind w:left="0" w:right="0" w:hanging="0"/>
              <w:rPr/>
            </w:pPr>
            <w:r>
              <w:rPr/>
              <w:t>​</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Nevada</w:t>
            </w:r>
          </w:p>
        </w:tc>
        <w:tc>
          <w:tcPr>
            <w:tcW w:w="109"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w:t>
            </w:r>
          </w:p>
        </w:tc>
        <w:tc>
          <w:tcPr>
            <w:tcW w:w="7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167"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71" w:type="dxa"/>
            <w:tcBorders/>
            <w:shd w:fill="CCEEFF" w:val="clear"/>
            <w:vAlign w:val="center"/>
          </w:tcPr>
          <w:p>
            <w:pPr>
              <w:pStyle w:val="TableContents"/>
              <w:spacing w:before="0" w:after="0"/>
              <w:ind w:left="0" w:right="0" w:hanging="0"/>
              <w:rPr/>
            </w:pPr>
            <w:r>
              <w:rPr/>
              <w:t>​</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4,869</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01" w:type="dxa"/>
            <w:tcBorders/>
            <w:shd w:fill="CCEEFF" w:val="clear"/>
            <w:vAlign w:val="center"/>
          </w:tcPr>
          <w:p>
            <w:pPr>
              <w:pStyle w:val="TableContents"/>
              <w:spacing w:before="0" w:after="0"/>
              <w:ind w:left="0" w:right="0" w:hanging="0"/>
              <w:rPr/>
            </w:pPr>
            <w:r>
              <w:rPr/>
              <w:t>​</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Minnesota</w:t>
            </w:r>
          </w:p>
        </w:tc>
        <w:tc>
          <w:tcPr>
            <w:tcW w:w="109"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w:t>
            </w:r>
          </w:p>
        </w:tc>
        <w:tc>
          <w:tcPr>
            <w:tcW w:w="7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167"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271"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28,503</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01" w:type="dxa"/>
            <w:tcBorders/>
            <w:shd w:fill="auto" w:val="clear"/>
            <w:vAlign w:val="center"/>
          </w:tcPr>
          <w:p>
            <w:pPr>
              <w:pStyle w:val="TableContents"/>
              <w:spacing w:before="0" w:after="0"/>
              <w:ind w:left="0" w:right="0" w:hanging="0"/>
              <w:rPr/>
            </w:pPr>
            <w:r>
              <w:rPr/>
              <w:t>​</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Texas</w:t>
            </w:r>
          </w:p>
        </w:tc>
        <w:tc>
          <w:tcPr>
            <w:tcW w:w="109"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w:t>
            </w:r>
          </w:p>
        </w:tc>
        <w:tc>
          <w:tcPr>
            <w:tcW w:w="7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167"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spacing w:before="0" w:after="0"/>
              <w:ind w:left="0" w:right="0" w:hanging="0"/>
              <w:rPr/>
            </w:pPr>
            <w:r>
              <w:rPr/>
              <w:t>​</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01" w:type="dxa"/>
            <w:tcBorders/>
            <w:shd w:fill="CCEEFF" w:val="clear"/>
            <w:vAlign w:val="center"/>
          </w:tcPr>
          <w:p>
            <w:pPr>
              <w:pStyle w:val="TableContents"/>
              <w:spacing w:before="0" w:after="0"/>
              <w:ind w:left="0" w:right="0" w:hanging="0"/>
              <w:rPr/>
            </w:pPr>
            <w:r>
              <w:rPr/>
              <w:t>​</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Utah</w:t>
            </w:r>
          </w:p>
        </w:tc>
        <w:tc>
          <w:tcPr>
            <w:tcW w:w="109" w:type="dxa"/>
            <w:tcBorders/>
            <w:shd w:fill="auto" w:val="clear"/>
            <w:vAlign w:val="center"/>
          </w:tcPr>
          <w:p>
            <w:pPr>
              <w:pStyle w:val="TableContents"/>
              <w:spacing w:before="0" w:after="0"/>
              <w:ind w:left="0" w:right="0" w:hanging="0"/>
              <w:rPr/>
            </w:pPr>
            <w:r>
              <w:rPr/>
              <w:t>​</w:t>
            </w:r>
          </w:p>
        </w:tc>
        <w:tc>
          <w:tcPr>
            <w:tcW w:w="224" w:type="dxa"/>
            <w:tcBorders/>
            <w:shd w:fill="auto" w:val="clear"/>
            <w:vAlign w:val="center"/>
          </w:tcPr>
          <w:p>
            <w:pPr>
              <w:pStyle w:val="TableContents"/>
              <w:spacing w:before="0" w:after="0"/>
              <w:ind w:left="0" w:right="0" w:hanging="0"/>
              <w:rPr/>
            </w:pPr>
            <w:r>
              <w:rPr/>
              <w:t>​</w:t>
            </w:r>
          </w:p>
        </w:tc>
        <w:tc>
          <w:tcPr>
            <w:tcW w:w="7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c>
          <w:tcPr>
            <w:tcW w:w="167"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71"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2,674</w:t>
            </w:r>
          </w:p>
        </w:tc>
        <w:tc>
          <w:tcPr>
            <w:tcW w:w="14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01" w:type="dxa"/>
            <w:tcBorders/>
            <w:shd w:fill="auto" w:val="clear"/>
            <w:vAlign w:val="center"/>
          </w:tcPr>
          <w:p>
            <w:pPr>
              <w:pStyle w:val="TableContents"/>
              <w:spacing w:before="0" w:after="0"/>
              <w:ind w:left="0" w:right="0" w:hanging="0"/>
              <w:rPr/>
            </w:pPr>
            <w:r>
              <w:rPr/>
              <w:t>​</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Massachusetts</w:t>
            </w:r>
          </w:p>
        </w:tc>
        <w:tc>
          <w:tcPr>
            <w:tcW w:w="109" w:type="dxa"/>
            <w:tcBorders/>
            <w:shd w:fill="CCEEFF" w:val="clear"/>
            <w:vAlign w:val="center"/>
          </w:tcPr>
          <w:p>
            <w:pPr>
              <w:pStyle w:val="TableContents"/>
              <w:spacing w:before="0" w:after="0"/>
              <w:ind w:left="0" w:right="0" w:hanging="0"/>
              <w:rPr/>
            </w:pPr>
            <w:r>
              <w:rPr/>
              <w:t>​</w:t>
            </w:r>
          </w:p>
        </w:tc>
        <w:tc>
          <w:tcPr>
            <w:tcW w:w="224" w:type="dxa"/>
            <w:tcBorders/>
            <w:shd w:fill="CCEEFF" w:val="clear"/>
            <w:vAlign w:val="center"/>
          </w:tcPr>
          <w:p>
            <w:pPr>
              <w:pStyle w:val="TableContents"/>
              <w:spacing w:before="0" w:after="0"/>
              <w:ind w:left="0" w:right="0" w:hanging="0"/>
              <w:rPr/>
            </w:pPr>
            <w:r>
              <w:rPr/>
              <w:t>​</w:t>
            </w:r>
          </w:p>
        </w:tc>
        <w:tc>
          <w:tcPr>
            <w:tcW w:w="7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67"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spacing w:before="0" w:after="0"/>
              <w:ind w:left="0" w:right="0" w:hanging="0"/>
              <w:rPr/>
            </w:pPr>
            <w:r>
              <w:rPr/>
              <w:t>​</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14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01" w:type="dxa"/>
            <w:tcBorders/>
            <w:shd w:fill="CCEEFF" w:val="clear"/>
            <w:vAlign w:val="center"/>
          </w:tcPr>
          <w:p>
            <w:pPr>
              <w:pStyle w:val="TableContents"/>
              <w:spacing w:before="0" w:after="0"/>
              <w:ind w:left="0" w:right="0" w:hanging="0"/>
              <w:rPr/>
            </w:pPr>
            <w:r>
              <w:rPr/>
              <w:t>​</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Montana</w:t>
            </w:r>
          </w:p>
        </w:tc>
        <w:tc>
          <w:tcPr>
            <w:tcW w:w="109" w:type="dxa"/>
            <w:tcBorders/>
            <w:shd w:fill="auto" w:val="clear"/>
            <w:vAlign w:val="center"/>
          </w:tcPr>
          <w:p>
            <w:pPr>
              <w:pStyle w:val="TableContents"/>
              <w:spacing w:before="0" w:after="0"/>
              <w:ind w:left="0" w:right="0" w:hanging="0"/>
              <w:rPr/>
            </w:pPr>
            <w:r>
              <w:rPr/>
              <w:t>​</w:t>
            </w:r>
          </w:p>
        </w:tc>
        <w:tc>
          <w:tcPr>
            <w:tcW w:w="2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c>
          <w:tcPr>
            <w:tcW w:w="167" w:type="dxa"/>
            <w:tcBorders/>
            <w:shd w:fill="auto" w:val="clear"/>
            <w:vAlign w:val="center"/>
          </w:tcPr>
          <w:p>
            <w:pPr>
              <w:pStyle w:val="TableContents"/>
              <w:spacing w:before="0" w:after="0"/>
              <w:ind w:left="0" w:right="0" w:hanging="0"/>
              <w:rPr/>
            </w:pPr>
            <w:r>
              <w:rPr/>
              <w:t>​</w:t>
            </w:r>
          </w:p>
        </w:tc>
        <w:tc>
          <w:tcPr>
            <w:tcW w:w="72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71"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146" w:type="dxa"/>
            <w:tcBorders/>
            <w:shd w:fill="auto" w:val="clear"/>
            <w:vAlign w:val="center"/>
          </w:tcPr>
          <w:p>
            <w:pPr>
              <w:pStyle w:val="TableContents"/>
              <w:spacing w:before="0" w:after="0"/>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01" w:type="dxa"/>
            <w:tcBorders/>
            <w:shd w:fill="auto" w:val="clear"/>
            <w:vAlign w:val="center"/>
          </w:tcPr>
          <w:p>
            <w:pPr>
              <w:pStyle w:val="TableContents"/>
              <w:spacing w:before="0" w:after="0"/>
              <w:ind w:left="0" w:right="0" w:hanging="0"/>
              <w:rPr/>
            </w:pPr>
            <w:r>
              <w:rPr/>
              <w:t>​</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fixture secured loans</w:t>
            </w:r>
          </w:p>
        </w:tc>
        <w:tc>
          <w:tcPr>
            <w:tcW w:w="109" w:type="dxa"/>
            <w:tcBorders/>
            <w:shd w:fill="CCEEFF" w:val="clear"/>
            <w:vAlign w:val="center"/>
          </w:tcPr>
          <w:p>
            <w:pPr>
              <w:pStyle w:val="TableContents"/>
              <w:spacing w:before="0" w:after="0"/>
              <w:ind w:left="0" w:right="0" w:hanging="0"/>
              <w:rPr/>
            </w:pPr>
            <w:r>
              <w:rPr/>
              <w:t>​</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67,764</w:t>
            </w:r>
          </w:p>
        </w:tc>
        <w:tc>
          <w:tcPr>
            <w:tcW w:w="167" w:type="dxa"/>
            <w:tcBorders/>
            <w:shd w:fill="CCEEFF" w:val="clear"/>
            <w:vAlign w:val="center"/>
          </w:tcPr>
          <w:p>
            <w:pPr>
              <w:pStyle w:val="TableContents"/>
              <w:spacing w:before="0" w:after="0"/>
              <w:ind w:left="0" w:right="0" w:hanging="0"/>
              <w:rPr/>
            </w:pPr>
            <w:r>
              <w:rPr/>
              <w:t>​</w:t>
            </w:r>
          </w:p>
        </w:tc>
        <w:tc>
          <w:tcPr>
            <w:tcW w:w="72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314,955</w:t>
            </w:r>
          </w:p>
        </w:tc>
        <w:tc>
          <w:tcPr>
            <w:tcW w:w="146" w:type="dxa"/>
            <w:tcBorders/>
            <w:shd w:fill="CCEEFF" w:val="clear"/>
            <w:vAlign w:val="center"/>
          </w:tcPr>
          <w:p>
            <w:pPr>
              <w:pStyle w:val="TableContents"/>
              <w:spacing w:before="0" w:after="0"/>
              <w:ind w:left="0" w:right="0" w:hanging="0"/>
              <w:rPr/>
            </w:pPr>
            <w:r>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r>
    </w:tbl>
    <w:p>
      <w:pPr>
        <w:pStyle w:val="TextBody"/>
        <w:spacing w:before="0" w:after="0"/>
        <w:ind w:left="0" w:right="0" w:hanging="0"/>
        <w:rPr/>
      </w:pPr>
      <w:r>
        <w:rPr/>
        <w:t>​</w:t>
      </w:r>
    </w:p>
    <w:p>
      <w:pPr>
        <w:pStyle w:val="TextBody"/>
        <w:spacing w:before="240" w:after="200"/>
        <w:ind w:left="0" w:right="0" w:hanging="0"/>
        <w:jc w:val="both"/>
        <w:rPr>
          <w:rFonts w:ascii="Times New Roman;Times;serif" w:hAnsi="Times New Roman;Times;serif"/>
          <w:sz w:val="20"/>
        </w:rPr>
      </w:pPr>
      <w:r>
        <w:rPr>
          <w:rFonts w:ascii="Times New Roman;Times;serif" w:hAnsi="Times New Roman;Times;serif"/>
          <w:sz w:val="20"/>
        </w:rPr>
        <w:t>The Company originates one-to-four-family residential mortgage loans through referrals from real estate agents, financial planners, builders, and from existing customers. Retail banking customers are also an important source of the Company’s loan originations. The Company originated $111.0 million of one-to-four-family loans which includes loans held for sale, loans held for investment, and fixed seconds in addition to loans brokered to other institutions of $3.2 million through the home lending segment during the three months ended March 31, 2023, of which $77.3 million were sold to investors. Of the loans sold to investors, $39.4 million were sold to the FNMA, FHLMC, FHLB, and/or GNMA with servicing rights retained for the purpose of further developing these customer relationships. At March 31, 2023, one-to-four-family residential mortgage loans held for investment, which excludes loans held for sale of $23.3 million, totaled $501.1 million, or 21.5%, of the total gross loan portfolio.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March 31, 2023, one-to-four-family loan originations and refinancing activity decreased as a result of increased market interest rates, compared to the same period in the prior year when home refinancing was stronger due to the low market interest rates resulting from the response to COVID-19.  Residential construction and development lending, while not as common as other loan origination options like one-to-four-family loans, will continue to be an important element in our total loan portfolio, and we will continue to take a disciplined approach by concentrating our efforts on loans to builders and developers in our market areas known to us. These short-term loans typically mature in six to 18 months. In addition, the funding is usually not fully disbursed at origination, thereby reducing our net loans receivable in the short term.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significantly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interest rates paid on these deposits and borrowings.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earnings are also significantly affected by fee income from mortgage banking activities, the provision for (recovery of) credit losses on loans, service charges and fees, gains from sales of assets, operating expenses and income taxes.  The Company recorded a provision for credit losses on loans of $2.4 million for the three months ended March 31, 2023, compared to $852,000 for the same period one year ago, primarily due to loan growth and the acquired loans from the Branch Purchase.</w:t>
      </w:r>
    </w:p>
    <w:p>
      <w:pPr>
        <w:pStyle w:val="TextBody"/>
        <w:spacing w:before="0" w:after="20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We prepare our consolidated financial statements in accordance with GAAP. In doing so, we have to make estimates and assumptions. Our critical accounting estimates are those estimates that involve a significant level of uncertainty at the time the estimate was made, and changes in the estimate that are reasonably likely to occur from period to period, or use of different estimates that we reasonably could have used in the current period, would have a material impact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 Management believes that its critical accounting policies include the following:</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Allowance for Credit Losses on Held-to-Maturity</w:t>
      </w:r>
      <w:r>
        <w:rPr>
          <w:rFonts w:ascii="Times New Roman;Times;serif" w:hAnsi="Times New Roman;Times;serif"/>
          <w:sz w:val="20"/>
        </w:rPr>
        <w:t xml:space="preserve"> </w:t>
      </w:r>
      <w:r>
        <w:rPr>
          <w:rFonts w:ascii="Times New Roman;Times;serif" w:hAnsi="Times New Roman;Times;serif"/>
          <w:b/>
          <w:i/>
          <w:sz w:val="20"/>
        </w:rPr>
        <w:t>Securities.</w:t>
      </w:r>
      <w:r>
        <w:rPr>
          <w:rFonts w:ascii="Times New Roman;Times;serif" w:hAnsi="Times New Roman;Times;serif"/>
          <w:sz w:val="20"/>
        </w:rPr>
        <w:t xml:space="preserve"> Management measures expected credit losses on held-to-maturity securities by individual security. Accrued interest receivable on held-to-maturity debt securities is excluded from the estimate of credit losses. The estimate of expected credit losses considers credit ratings and historical credit loss information that is adjusted for current conditions and reasonable and supportable forecasts.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held-to-maturity portfolio consists entirely of corporate securities. Securities are generally rated BBB- or higher. Securities are analyzed individually to establish a reserve.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Allowance for Credit Losses on Available-for-Sale Securities.</w:t>
      </w:r>
      <w:r>
        <w:rPr>
          <w:rFonts w:ascii="Times New Roman;Times;serif" w:hAnsi="Times New Roman;Times;serif"/>
          <w:sz w:val="20"/>
        </w:rPr>
        <w:t xml:space="preserve"> For available-for-sale securities in an unrealized loss position, management first assesses whether it intends to sell, or is more likely than not to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cash flows expected to be collected is less than the amortized cost basis, a credit loss exists and an ACL is recorded, limited by the amount that the fair value is less than the amortized cost basis.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Changes in the ACL are recorded as a provision for (or reversal of) credit loss expense. Losses are charged against the allowance when management believes the uncollectibility of an available-for-sale security is confirmed or when either of the criteria regarding intent or requirement to sell is met. Accrued interest receivable on available-for-sale debt securities is not included in the estimate of credit losses.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Allowance for Credit Losses on Loans. </w:t>
      </w:r>
      <w:r>
        <w:rPr>
          <w:rFonts w:ascii="Times New Roman;Times;serif" w:hAnsi="Times New Roman;Times;serif"/>
          <w:sz w:val="20"/>
        </w:rPr>
        <w:t xml:space="preserve">The ACL for loans is a valuation account that is deducted from the loans’ amortized cost basis to present the net amount expected to be collected on the loans. Loans are charged off against the allowance when management believes the uncollectibility of a loan balance is confirmed and recoveries are credited to the allowance when received. In the case of recoveries, amounts may not exceed the aggregate of amounts previously charged off.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Management utilizes relevant available information, from internal and external sources, relating to past events, current conditions, historical loss experience, and reasonable and supportable forecasts. The lookback period in the analysis includes historical data from 2009 to present. Adjustments to historical loss information are made when management determines historical data is not likely reflective of the current portfolio such as limited data sets or lack of default or loss history. Management may selectively apply external market data to subjectively adjust the Company’s own loss history including index or peer data. Accrued interest receivable is excluded from the estimate of credit losses for loans.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Collective Assessment.</w:t>
      </w:r>
      <w:r>
        <w:rPr>
          <w:rFonts w:ascii="Times New Roman;Times;serif" w:hAnsi="Times New Roman;Times;serif"/>
          <w:sz w:val="20"/>
        </w:rPr>
        <w:t xml:space="preserve"> The ACL for loans is measured on a collective cohort basis when similar risk characteristics exist. Generally, collectively assessed loans are grouped by call report code and then risk-grade grouping. Risk grade is grouped within each call report code by pass, watch, special mention, substandard, and doubtful. Other loan types are separated into their own cohorts due to specific risk characteristics for that pool of loans.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has elected a non-discounted cash flow methodology with probability of default (“PD”) and loss given default (“LGD”) for all call report code cohorts (“cohorts”), with the exception of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PD calculation looks at the historical loan portfolio at particular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LGD calculation looks at actual losses (net charge-offs) experienced over the entire lookback period for each cohort of loans. The aggregate loss amount is divided by the exposure at default to determine an LGD rate. All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very limited charge-off history, management uses index LGDs comprised of rates derived from the LGD experience of other community banks in place of the Company’s historical LGDs.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utilizes reasonable and supportable forecasts of future economic conditions when estimating the ACL for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very limited default history, management uses index PDs comprised of rates derived from the PD experience of other community banks in place of the Company’s historical PDs.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that all significant factors that affect the collectability of the loan portfolio must be considered to determine the estimated credit losses as of the evaluation date. Furthermore, the methodology, in and of itself and even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Individual Assessment.</w:t>
      </w:r>
      <w:r>
        <w:rPr>
          <w:rFonts w:ascii="Times New Roman;Times;serif" w:hAnsi="Times New Roman;Times;serif"/>
          <w:sz w:val="20"/>
        </w:rPr>
        <w:t xml:space="preserve"> Loans classified as nonaccrual, will be reviewed quarterly for potential individual assessment. Any loan classified as a nonaccrual that is not determined to need individual assessment will be evaluated collectively within its respective cohort.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Where the primary and/or expected source of repayment of a specific loan is believed to be the future liquidation of available collateral, impairment will generally be measured based upon expected future collateral proceeds, net of disposition expenses including sales commissions as well as other costs potentially necessary to sell the asset(s) (i.e., past due taxes, liens, etc.). Estimates of future collateral proceeds will be based upon available appraisals, reference to recent valuations of comparable properties, use of consultants or other professionals with relevant market and/or property-specific knowledge, and any other sources of information believed appropriate by management under the specific circumstances. When appraisals are ordered to support the impairment analysis of an impaired loan, the appraisal is reviewed by the Company’s internal appraisal reviewer.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Where the primary and/or expected source of repayment of a specific loan is believed to be the receipt of principal and interest payments from the borrower and/or the refinancing of the loan by another creditor, impairment will generally be measured based upon the present value of expected proceeds discounted at the contractual interest rate. Expected refinancing proceeds may be estimated from review of term sheets actually received by the borrower from other creditors and/or from the Company’s knowledge of terms generally available from other banks.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Determining the Contractual Term.</w:t>
      </w:r>
      <w:r>
        <w:rPr>
          <w:rFonts w:ascii="Times New Roman;Times;serif" w:hAnsi="Times New Roman;Times;serif"/>
          <w:sz w:val="20"/>
        </w:rPr>
        <w:t xml:space="preserve"> Expected credit losses are estimated over the contractual term of the loans, adjusted for expected prepayments when appropriate. The contractual term excludes expected extensions, renewals and modifications. Prepayment assumptions will be determined by analysis of historical behavior by loan cohort.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Allowance for Credit Losses on Unfunded Commitments.</w:t>
      </w:r>
      <w:r>
        <w:rPr>
          <w:rFonts w:ascii="Times New Roman;Times;serif" w:hAnsi="Times New Roman;Times;serif"/>
          <w:sz w:val="20"/>
        </w:rPr>
        <w:t xml:space="preserve"> The Company estimates expected credit losses over the contractual period in which the Company is exposed to credit risk via a contractual obligation to extend credit unless that obligation is unconditionally cancellable by the Company. The ACL for unfunded commitments is adjusted through a provision for credit loss expense. The estimate includes consideration of the likelihood that funding will occur and an estimate of expected credit losses on commitments expected to be funded over its estimated life. The estimate utilizes the same factors and assumptions as the ACL for loans and is applied at the same collective cohort level.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Mortgage Servicing Rights. </w:t>
      </w:r>
      <w:r>
        <w:rPr>
          <w:rFonts w:ascii="Times New Roman;Times;serif" w:hAnsi="Times New Roman;Times;serif"/>
          <w:sz w:val="20"/>
        </w:rPr>
        <w:t xml:space="preserve">Servicing assets are recognized as separate assets when rights are acquired through the purchase or through the sale of financial assets. Generally, purchased servicing rights are capitalized at the cost to acquire the rights. For sales of mortgage loans, the value of MSR is capitalized during the month of sale. Fair value is based on market prices for comparable mortgage contracts, when available, or alternatively, is based on a valuation model that calculates the present value of estimated future net servicing income. The valuation model incorporates assumptions that market participants would use in estimating future net servicing income, such as the cost to service, the discount rate, the custodial earnings rate, an inflation rate, ancillary income, prepayment speeds, and default rates and losses.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Servicing assets are evaluated quarterly for impairment based upon the fair value of the rights as compared to amortized cost. Impairment is determined by stratifying rights into tranches based on predominant characteristics, such as interest rate, loan type, and investor type. Impairment is recognized through a valuation allowance for an individual tranche, to the extent that fair value is less than the capitalized amount for the tranches. If the Company later determines that all or a portion of the impairment no longer exists for a particular tranche, a reduction of the allowance may be recorded as a recovery and an increase to income. Capitalized servicing rights are stated separately on the Consolidated Balance Sheets and are amortized into noninterest income in proportion to, and over the period of, the estimated future net servicing income of the underlying financial assets.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Derivatives and Hedging Activity. </w:t>
      </w:r>
      <w:r>
        <w:rPr>
          <w:rFonts w:ascii="Times New Roman;Times;serif" w:hAnsi="Times New Roman;Times;serif"/>
          <w:sz w:val="20"/>
        </w:rPr>
        <w:t>ASC 815, “</w:t>
      </w:r>
      <w:r>
        <w:rPr>
          <w:rFonts w:ascii="Times New Roman;Times;serif" w:hAnsi="Times New Roman;Times;serif"/>
          <w:i/>
          <w:sz w:val="20"/>
        </w:rPr>
        <w:t>Derivatives and Hedging,</w:t>
      </w:r>
      <w:r>
        <w:rPr>
          <w:rFonts w:ascii="Times New Roman;Times;serif" w:hAnsi="Times New Roman;Times;serif"/>
          <w:sz w:val="20"/>
        </w:rPr>
        <w:t xml:space="preserve">” requires that derivatives of the Company be recorded in the consolidated financial statements at fair value. Management considers its accounting policy for derivatives to be a critical accounting policy because these instruments have certain interest rate risk characteristics that change in value based upon changes in the capital markets. Fair values for derivative assets and liabilities are measured on a recurring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basis. The Company’s primary use of derivative instruments is related to the mortgage banking activities in the form of commitments to extend credit, commitments to sell loans, TBA mortgage-backed securities trades and option contracts to mitigate the risk of the commitments to extend credit. Estimates of the percentage of commitments to extend credit on loans to be held for sale that may not fund are based upon historical data and current market trends. The fair value adjustments of the derivatives are recorded on the Consolidated Statements of Income with offsets to other assets or other liabilities on the Consolidated Balance Sheets.</w:t>
      </w:r>
    </w:p>
    <w:p>
      <w:pPr>
        <w:pStyle w:val="TextBody"/>
        <w:spacing w:before="0" w:after="240"/>
        <w:ind w:left="0" w:right="0" w:hanging="0"/>
        <w:jc w:val="both"/>
        <w:rPr>
          <w:rFonts w:ascii="Times New Roman;Times;serif" w:hAnsi="Times New Roman;Times;serif"/>
          <w:color w:val="212529"/>
          <w:sz w:val="20"/>
        </w:rPr>
      </w:pPr>
      <w:r>
        <w:rPr>
          <w:rFonts w:ascii="Times New Roman;Times;serif" w:hAnsi="Times New Roman;Times;serif"/>
          <w:color w:val="212529"/>
          <w:sz w:val="20"/>
        </w:rPr>
        <w:t>Derivative instruments not related to mortgage banking activities primarily relate to interest rate swap agreements accounted for as cash flow hedges and fair value hedges. To qualify for hedge accounting, derivatives must be highly effective at reducing the risk associated with the exposure being hedged and must be designated as a hedge at the inception of the derivative contract. If derivative instruments are designated as fair value hedges, and such hedges are highly effective, both the change in the fair value of the hedge and the hedged item are included in current earnings.  If derivative instruments are designated as cash flow hedges, fair value adjustments related to the effective portion are recorded in other comprehensive income and are reclassified to earnings when the hedged transaction is reflected in earnings. If derivative instruments are designated as cash flow hedges, fair value adjustments related to the effective portion are recorded in other comprehensive income and are reclassified to earnings when the hedged transaction is reflected in earnings. Ineffective portions of cash flow hedges are reflected in earnings as they occur. Actual cash receipts and/or payments and related accruals on derivatives related to hedges are recorded as adjustments to the interest income or interest expense associated with the hedged item. During the life of the hedge, the Company formally assesses whether derivatives designated as hedging instruments continue to be highly effective in offsetting changes in the fair value or cash flows of hedged items. If it is determined that a hedge has ceased to be highly effective, the Company will discontinue hedge accounting prospectively. At such time, previous adjustments to the carrying value of the hedged item are reversed into current earnings and the derivative instrument is reclassified to a trading position recorded at fair value. For derivatives not designated as hedges, changes in fair value are recognized in earnings, in noninterest income.</w:t>
      </w:r>
    </w:p>
    <w:p>
      <w:pPr>
        <w:pStyle w:val="TextBody"/>
        <w:spacing w:before="0" w:after="200"/>
        <w:ind w:left="0" w:right="0" w:hanging="0"/>
        <w:jc w:val="both"/>
        <w:rPr>
          <w:rFonts w:ascii="Times New Roman;Times;serif" w:hAnsi="Times New Roman;Times;serif"/>
          <w:sz w:val="20"/>
        </w:rPr>
      </w:pPr>
      <w:bookmarkStart w:id="3536" w:name="CD53792AA49AFA5B862575AA0015B514-idSL749"/>
      <w:bookmarkEnd w:id="3536"/>
      <w:r>
        <w:rPr>
          <w:rFonts w:ascii="Times New Roman;Times;serif" w:hAnsi="Times New Roman;Times;serif"/>
          <w:b/>
          <w:i/>
          <w:sz w:val="20"/>
        </w:rPr>
        <w:t>Fair Value.</w:t>
      </w:r>
      <w:r>
        <w:rPr>
          <w:rFonts w:ascii="Times New Roman;Times;serif" w:hAnsi="Times New Roman;Times;serif"/>
          <w:sz w:val="20"/>
        </w:rPr>
        <w:t xml:space="preserve"> ASC 820, “</w:t>
      </w:r>
      <w:r>
        <w:rPr>
          <w:rFonts w:ascii="Times New Roman;Times;serif" w:hAnsi="Times New Roman;Times;serif"/>
          <w:i/>
          <w:sz w:val="20"/>
        </w:rPr>
        <w:t>Fair Value Measurements and Disclosures</w:t>
      </w:r>
      <w:r>
        <w:rPr>
          <w:rFonts w:ascii="Times New Roman;Times;serif" w:hAnsi="Times New Roman;Times;serif"/>
          <w:sz w:val="20"/>
        </w:rPr>
        <w:t>,” establishes a hierarchical disclosure framework associated with the level of pricing observability utilized in measuring financial instruments at fair value.  The degree of judgment utilized in measuring the fair value of financial instruments generally correlates to the level of pricing observability. Financial instruments with readily available active quoted prices or for which fair value can be measured from actively quoted prices generally will have a higher degree of pricing observability and a lesser degree of judgment utilized in measuring fair value.  Conversely, financial instruments rarely traded or not quoted will generally have little or no pricing observability and a higher degree of judgment utilized in measuring fair value.  Pricing observability is impacted by a number of factors, including the type of financial instrument, whether the financial instrument is new to the market and not yet established and the characteristics specific to the transaction.  The objective of a fair value measurement is to estimate the price at which an orderly transaction to sell the asset or to transfer the liability would take place between market participants at the measurement date under current market conditions (that is, an exit price at the measurement date from the perspective of a market participant that holds the asset or owes the liability).  For additional details, see “Note 11 – Fair Value Measurements” of the Notes to Consolidated Financial Statements included in Part I. Item 1 of this report.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Business Combinations and Goodwill</w:t>
      </w:r>
      <w:r>
        <w:rPr>
          <w:rFonts w:ascii="Times New Roman;Times;serif" w:hAnsi="Times New Roman;Times;serif"/>
          <w:sz w:val="20"/>
        </w:rPr>
        <w:t xml:space="preserve">. Pursuant to applicable accounting guidance, we recognize assets acquired, including identified intangible assets, and the liabilities assumed in acquisitions at their fair values as of the acquisition date, with the related transaction costs expensed in the period incurred. Determining the fair value of assets acquired and liabilities assumed often involves estimates based on internal or third-party valuations which include appraisals, discounted cash flow analysis, or other valuation techniques that may include estimates of attrition, inflation, asset growth rates, discount rates, credit risk, multiples of earnings, or other relevant factors. The determination of fair value may require us to make point-in-time estimates about discount rates, future expected cash flows, market conditions, and other future events that can be volatile in nature and challenging to assess. While we use the best estimates and assumptions to accurately value assets acquired and liabilities assumed at the acquisition date, the estimates are inherently uncertain and subject to refinement. </w:t>
      </w:r>
    </w:p>
    <w:p>
      <w:pPr>
        <w:pStyle w:val="TextBody"/>
        <w:spacing w:before="0" w:after="20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primary identifiable intangible asset we typically record in connection with a whole bank or bank branch acquisition is the value of the core deposit intangibles which represents the estimated value of the long-term deposit relationships acquired in the transaction. Determining the amount of identifiable intangible assets and their average lives involves multiple assumptions and estimates and is typically determined by performing a discounted cash flow analysis, which involves a combination of any or all of the following assumptions: customer attrition/runoff, alternative funding costs,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deposit servicing costs, and discount rates. The core deposit intangibles are amortized over the estimated useful lives of the deposit accounts based on a method that we believe reasonably approximates the anticipated benefit stream from this intangible. The estimated useful lives are periodically reviewed for reasonableness and have generally been estimated to have a life ranging from seven to ten years, with an accelerated rate of amortization. We review identifiable intangible assets for impairment whenever events or changes in circumstances indicate that the carrying value may not be recoverable. Our policy is that an impairment loss is recognized, equal to the difference between the asset’s carrying amount and its fair value, if the sum of the expected undiscounted future cash flows is less than the carrying amount of the asset. Estimating future cash flows involves the use of multiple estimates and assumptions, such as those listed above.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ACL for PCD assets is recognized within business combination accounting with no initial impact to net income. Changes in estimates of expected credit losses on PCD loans after acquisition are recognized as provision expense (or reversal of provision expense) in subsequent periods as they arise. The ACL for non-PCD assets is recognized as provision expense in the same reporting period as the business combination. Estimated loan losses for acquired loans are determined using methodologies and applying estimates and assumptions that were described previously in the Allowance for Credit Losses on Loans section.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Non-PCD loans acquired are generally estimated at fair value using a discounted cash flow approach with assumptions of discount rate, remaining life, prepayments, probability of default, and loss given default. The actual cash flows on these loans could differ materially from the fair value estimates. The amount we record as the fair values for the loans is generally less than the contractual unpaid principal balance due from the borrowers, with the difference being referred to as the “discount” on the acquired loans. Discounts on acquired non-PCD loans are accreted to interest income over their estimated remaining lives, which may include prepayment estimates in certain circumstances.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Similarly, premiums or discounts on acquired debt are accreted or amortized to interest expense over their remaining lives. Actual accretion or amortization of premiums and discounts from a business acquisition may differ materially from our estimates impacting our operating results.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Goodwill arising from business combinations represents the excess of the purchase price over the sum of the estimated fair values of the tangible and identifiable intangible assets acquired less the estimated fair value of the liabilities assumed. Goodwill has an indefinite useful life and is evaluated for impairment annually or more frequently if events and circumstances indicate that the asset might be impaired. An impairment loss is recognized to the extent that the carrying amount exceeds the asset’s fair value. We believe that the accounting for goodwill also involves a higher degree of judgment than most other significant accounting policies. ASC 350–10 establishes standards for an impairment assessment of goodwill.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At each reporting date between annual goodwill impairment tests, we consider potential indicators of impairment. Generally, absent potential impairment indicators, we perform an annual assessment of whether the events and circumstances resulted in it being more likely than not that the fair value of any reporting unit was less than its carrying value. Impairment indicators considered include the condition of the economy and banking industry; government intervention and regulatory updates; the impact of recent events to financial performance and cost factors of the reporting unit; performance of the Company's stock, and other relevant events.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Income Taxes</w:t>
      </w:r>
      <w:r>
        <w:rPr>
          <w:rFonts w:ascii="Times New Roman;Times;serif" w:hAnsi="Times New Roman;Times;serif"/>
          <w:b/>
          <w:sz w:val="20"/>
        </w:rPr>
        <w:t>.</w:t>
      </w:r>
      <w:r>
        <w:rPr>
          <w:rFonts w:ascii="Times New Roman;Times;serif" w:hAnsi="Times New Roman;Times;serif"/>
          <w:sz w:val="20"/>
        </w:rPr>
        <w:t xml:space="preserve"> Income taxes are reflected in the Company’s consolidated financial statements to show the tax effects of the operations and transactions reported in the consolidated financial statements and consist of taxes currently payable plus deferred taxes. ASC 740, “</w:t>
      </w:r>
      <w:r>
        <w:rPr>
          <w:rFonts w:ascii="Times New Roman;Times;serif" w:hAnsi="Times New Roman;Times;serif"/>
          <w:i/>
          <w:sz w:val="20"/>
        </w:rPr>
        <w:t>Accounting for Income Taxes</w:t>
      </w:r>
      <w:r>
        <w:rPr>
          <w:rFonts w:ascii="Times New Roman;Times;serif" w:hAnsi="Times New Roman;Times;serif"/>
          <w:sz w:val="20"/>
        </w:rPr>
        <w:t xml:space="preserve">,” requires the asset and liability approach for financial accounting and reporting for deferred income taxes. Deferred tax assets and liabilities result from temporary differences between the financial statement carrying amounts and the tax bases of assets and liabilities. They are reflected at currently enacted income tax rates applicable to the period in which the deferred tax assets or liabilities are expected to be realized or settled and are determined using the assets and liability method of accounting. The deferred income tax provision represents the difference between net deferred tax asset/liability at the beginning and end of the reported period. In formulating the deferred tax asset, the Company is required to estimate income and taxes in the jurisdiction in which the Company operates. This process involves estimating the actual current tax exposure for the reported period together with assessing temporary differences resulting from differing treatment of items, such as depreciation and the provision for credit losses, for tax and financial reporting purposes.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Deferred tax assets and liabilities occur when taxable income is larger or smaller than reported income on the income statements due to accounting valuation methods that differ from tax, as well as tax rate estimates and payments made quarterly and adjusted to actual at the end of the year.  Deferred tax assets and liabilities are temporary differences deductible or payable in future periods.  The Company had net deferred tax assets of $5.9 million and $6.7 million, at March 31, 2023 and December 31, 2022, respectively.</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Comparison of Financial Condition at March 31, 2023 and December 31, 2022</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Assets. </w:t>
      </w:r>
      <w:r>
        <w:rPr>
          <w:rFonts w:ascii="Times New Roman;Times;serif" w:hAnsi="Times New Roman;Times;serif"/>
          <w:sz w:val="20"/>
        </w:rPr>
        <w:t xml:space="preserve">Total assets increased $149.9 million to $2.78 billion at March 31, 2023, from $2.63 billion at December 31, 2022, primarily due to an increase in loans receivable, net of $108.8 million, approximately $60.1 million of which was acquired in the Branch Purchase as well as increases in CDI of $17.0 million, total cash and cash equivalents of $16.7 million, premises and equipment of $6.7 million and goodwill of $1.3 million as a result of the Branch Purchase.  In addition, loans held for sale increased $3.2 million and securities available-for-sale increased $3.1 million.  These increases were partially offset by decreases in FHLB stock of $6.7 million and other assets of $1.5 million.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Loans receivable, net increased $108.8 million to $2.30 billion at March 31, 2023, from $2.19 billion at December 31, 2022 which included approximately $60.1 million in loans acquired in the Branch Purchase.. Total real estate loans increased $49.9 million, including increases in one-to-four-family loans of $31.6 million, multi-family loans of $12.5 million, commercial real estate loans of $5.7 million, and home equity loans of $5.2 million, partially offset by a decrease in construction and development loans of $5.1 million. Undisbursed construction and development loan commitments decreased $15.3 million to $186.4 million at March 31, 2023, as compared to $201.7 million at December 31, 2022. Consumer loans increased $37.1 million, primarily due to an increase of $35.7 million in indirect home improvement loans and $1.0 million in other consumer loans.  Commercial business loans increased $23.7 million, as a result of an increase in commercial and industrial lending of $26.9 million, partially offset by a decrease in warehouse lending of $3.2 million.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Loans held for sale, consisting of one-to-four-family loans, increased by $3.2 million, to $23.3 million at March 31, 2023, from $20.1 million at December 31, 2022. The Company continues to invest in its home lending operations and strategically add production staff in the markets we serve.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One-to-four-family loan originations for the three months ended March 31, 2023, included $73.1 million of loans originated for sale, $34.8 million of portfolio loans including first and second liens, and $3.2 million of loans brokered to other institutions.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Originations of one-to-four-family loans to purchase and to refinance a home for the periods indicated were as follows: </w:t>
      </w:r>
    </w:p>
    <w:p>
      <w:pPr>
        <w:pStyle w:val="TextBody"/>
        <w:spacing w:before="0" w:after="200"/>
        <w:ind w:left="0" w:right="0" w:hanging="0"/>
        <w:jc w:val="both"/>
        <w:rPr/>
      </w:pPr>
      <w:r>
        <w:rPr/>
        <w:t>​</w:t>
      </w:r>
    </w:p>
    <w:tbl>
      <w:tblPr>
        <w:tblW w:w="10205" w:type="dxa"/>
        <w:jc w:val="left"/>
        <w:tblInd w:w="0" w:type="dxa"/>
        <w:tblCellMar>
          <w:top w:w="0" w:type="dxa"/>
          <w:left w:w="0" w:type="dxa"/>
          <w:bottom w:w="0" w:type="dxa"/>
          <w:right w:w="0" w:type="dxa"/>
        </w:tblCellMar>
      </w:tblPr>
      <w:tblGrid>
        <w:gridCol w:w="1794"/>
        <w:gridCol w:w="326"/>
        <w:gridCol w:w="211"/>
        <w:gridCol w:w="781"/>
        <w:gridCol w:w="326"/>
        <w:gridCol w:w="706"/>
        <w:gridCol w:w="326"/>
        <w:gridCol w:w="326"/>
        <w:gridCol w:w="211"/>
        <w:gridCol w:w="781"/>
        <w:gridCol w:w="326"/>
        <w:gridCol w:w="706"/>
        <w:gridCol w:w="326"/>
        <w:gridCol w:w="326"/>
        <w:gridCol w:w="211"/>
        <w:gridCol w:w="894"/>
        <w:gridCol w:w="326"/>
        <w:gridCol w:w="985"/>
        <w:gridCol w:w="317"/>
      </w:tblGrid>
      <w:tr>
        <w:trPr/>
        <w:tc>
          <w:tcPr>
            <w:tcW w:w="17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1139190" cy="175260"/>
                      <wp:effectExtent l="0" t="0" r="0" b="0"/>
                      <wp:wrapNone/>
                      <wp:docPr id="740" name="Frame740"/>
                      <a:graphic xmlns:a="http://schemas.openxmlformats.org/drawingml/2006/main">
                        <a:graphicData uri="http://schemas.microsoft.com/office/word/2010/wordprocessingShape">
                          <wps:wsp>
                            <wps:cNvSpPr txBox="1"/>
                            <wps:spPr>
                              <a:xfrm>
                                <a:off x="0" y="0"/>
                                <a:ext cx="11391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7010" cy="175260"/>
                      <wp:effectExtent l="0" t="0" r="0" b="0"/>
                      <wp:wrapNone/>
                      <wp:docPr id="741" name="Frame7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133985" cy="175260"/>
                      <wp:effectExtent l="0" t="0" r="0" b="0"/>
                      <wp:wrapNone/>
                      <wp:docPr id="742" name="Frame7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495935" cy="175260"/>
                      <wp:effectExtent l="0" t="0" r="0" b="0"/>
                      <wp:wrapNone/>
                      <wp:docPr id="743" name="Frame74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07010" cy="175260"/>
                      <wp:effectExtent l="0" t="0" r="0" b="0"/>
                      <wp:wrapNone/>
                      <wp:docPr id="744" name="Frame7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448310" cy="175260"/>
                      <wp:effectExtent l="0" t="0" r="0" b="0"/>
                      <wp:wrapNone/>
                      <wp:docPr id="745" name="Frame745"/>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07010" cy="175260"/>
                      <wp:effectExtent l="0" t="0" r="0" b="0"/>
                      <wp:wrapNone/>
                      <wp:docPr id="746" name="Frame7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07010" cy="175260"/>
                      <wp:effectExtent l="0" t="0" r="0" b="0"/>
                      <wp:wrapNone/>
                      <wp:docPr id="747" name="Frame7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33985" cy="175260"/>
                      <wp:effectExtent l="0" t="0" r="0" b="0"/>
                      <wp:wrapNone/>
                      <wp:docPr id="748" name="Frame7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495935" cy="175260"/>
                      <wp:effectExtent l="0" t="0" r="0" b="0"/>
                      <wp:wrapNone/>
                      <wp:docPr id="749" name="Frame74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07010" cy="175260"/>
                      <wp:effectExtent l="0" t="0" r="0" b="0"/>
                      <wp:wrapNone/>
                      <wp:docPr id="750" name="Frame7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448310" cy="175260"/>
                      <wp:effectExtent l="0" t="0" r="0" b="0"/>
                      <wp:wrapNone/>
                      <wp:docPr id="751" name="Frame751"/>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207010" cy="175260"/>
                      <wp:effectExtent l="0" t="0" r="0" b="0"/>
                      <wp:wrapNone/>
                      <wp:docPr id="752" name="Frame7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07010" cy="175260"/>
                      <wp:effectExtent l="0" t="0" r="0" b="0"/>
                      <wp:wrapNone/>
                      <wp:docPr id="753" name="Frame7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133985" cy="175260"/>
                      <wp:effectExtent l="0" t="0" r="0" b="0"/>
                      <wp:wrapNone/>
                      <wp:docPr id="754" name="Frame7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567690" cy="175260"/>
                      <wp:effectExtent l="0" t="0" r="0" b="0"/>
                      <wp:wrapNone/>
                      <wp:docPr id="755" name="Frame755"/>
                      <a:graphic xmlns:a="http://schemas.openxmlformats.org/drawingml/2006/main">
                        <a:graphicData uri="http://schemas.microsoft.com/office/word/2010/wordprocessingShape">
                          <wps:wsp>
                            <wps:cNvSpPr txBox="1"/>
                            <wps:spPr>
                              <a:xfrm>
                                <a:off x="0" y="0"/>
                                <a:ext cx="5676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207010" cy="175260"/>
                      <wp:effectExtent l="0" t="0" r="0" b="0"/>
                      <wp:wrapNone/>
                      <wp:docPr id="756" name="Frame7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25475" cy="175260"/>
                      <wp:effectExtent l="0" t="0" r="0" b="0"/>
                      <wp:wrapNone/>
                      <wp:docPr id="757" name="Frame757"/>
                      <a:graphic xmlns:a="http://schemas.openxmlformats.org/drawingml/2006/main">
                        <a:graphicData uri="http://schemas.microsoft.com/office/word/2010/wordprocessingShape">
                          <wps:wsp>
                            <wps:cNvSpPr txBox="1"/>
                            <wps:spPr>
                              <a:xfrm>
                                <a:off x="0" y="0"/>
                                <a:ext cx="6254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01295" cy="175260"/>
                      <wp:effectExtent l="0" t="0" r="0" b="0"/>
                      <wp:wrapNone/>
                      <wp:docPr id="758" name="Frame758"/>
                      <a:graphic xmlns:a="http://schemas.openxmlformats.org/drawingml/2006/main">
                        <a:graphicData uri="http://schemas.microsoft.com/office/word/2010/wordprocessingShape">
                          <wps:wsp>
                            <wps:cNvSpPr txBox="1"/>
                            <wps:spPr>
                              <a:xfrm>
                                <a:off x="0" y="0"/>
                                <a:ext cx="201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9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(Dollars in thousands)</w:t>
            </w:r>
          </w:p>
        </w:tc>
        <w:tc>
          <w:tcPr>
            <w:tcW w:w="326" w:type="dxa"/>
            <w:tcBorders/>
            <w:shd w:fill="auto" w:val="clear"/>
            <w:vAlign w:val="center"/>
          </w:tcPr>
          <w:p>
            <w:pPr>
              <w:pStyle w:val="TableContents"/>
              <w:spacing w:before="0" w:after="1"/>
              <w:ind w:left="0" w:right="0" w:hanging="0"/>
              <w:rPr/>
            </w:pPr>
            <w:r>
              <w:rPr/>
              <w:t>​</w:t>
            </w:r>
          </w:p>
        </w:tc>
        <w:tc>
          <w:tcPr>
            <w:tcW w:w="4700" w:type="dxa"/>
            <w:gridSpan w:val="10"/>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For the Three Months Ended March 31,</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05"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85" w:type="dxa"/>
            <w:tcBorders/>
            <w:shd w:fill="auto" w:val="clear"/>
            <w:vAlign w:val="center"/>
          </w:tcPr>
          <w:p>
            <w:pPr>
              <w:pStyle w:val="TableContents"/>
              <w:spacing w:before="0" w:after="1"/>
              <w:ind w:left="0" w:right="0" w:hanging="0"/>
              <w:jc w:val="center"/>
              <w:rPr/>
            </w:pPr>
            <w:r>
              <w:rPr/>
              <w:t>​</w:t>
            </w:r>
          </w:p>
        </w:tc>
        <w:tc>
          <w:tcPr>
            <w:tcW w:w="317" w:type="dxa"/>
            <w:tcBorders/>
            <w:shd w:fill="auto" w:val="clear"/>
            <w:vAlign w:val="center"/>
          </w:tcPr>
          <w:p>
            <w:pPr>
              <w:pStyle w:val="TableContents"/>
              <w:spacing w:before="0" w:after="1"/>
              <w:ind w:left="0" w:right="0" w:hanging="0"/>
              <w:rPr/>
            </w:pPr>
            <w:r>
              <w:rPr/>
              <w:t>​</w:t>
            </w:r>
          </w:p>
        </w:tc>
      </w:tr>
      <w:tr>
        <w:trPr/>
        <w:tc>
          <w:tcPr>
            <w:tcW w:w="179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2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2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05"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85" w:type="dxa"/>
            <w:tcBorders/>
            <w:shd w:fill="auto" w:val="clear"/>
            <w:vAlign w:val="center"/>
          </w:tcPr>
          <w:p>
            <w:pPr>
              <w:pStyle w:val="TableContents"/>
              <w:spacing w:before="0" w:after="1"/>
              <w:ind w:left="0" w:right="0" w:hanging="0"/>
              <w:jc w:val="center"/>
              <w:rPr/>
            </w:pPr>
            <w:r>
              <w:rPr/>
              <w:t>​</w:t>
            </w:r>
          </w:p>
        </w:tc>
        <w:tc>
          <w:tcPr>
            <w:tcW w:w="317" w:type="dxa"/>
            <w:tcBorders/>
            <w:shd w:fill="auto" w:val="clear"/>
            <w:vAlign w:val="center"/>
          </w:tcPr>
          <w:p>
            <w:pPr>
              <w:pStyle w:val="TableContents"/>
              <w:spacing w:before="0" w:after="1"/>
              <w:ind w:left="0" w:right="0" w:hanging="0"/>
              <w:rPr/>
            </w:pPr>
            <w:r>
              <w:rPr/>
              <w:t>​</w:t>
            </w:r>
          </w:p>
        </w:tc>
      </w:tr>
      <w:tr>
        <w:trPr/>
        <w:tc>
          <w:tcPr>
            <w:tcW w:w="179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Percent</w:t>
            </w:r>
          </w:p>
        </w:tc>
        <w:tc>
          <w:tcPr>
            <w:tcW w:w="326"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Percent</w:t>
            </w:r>
          </w:p>
        </w:tc>
        <w:tc>
          <w:tcPr>
            <w:tcW w:w="326"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    </w:t>
            </w:r>
          </w:p>
        </w:tc>
        <w:tc>
          <w:tcPr>
            <w:tcW w:w="11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 Change </w:t>
            </w:r>
          </w:p>
        </w:tc>
        <w:tc>
          <w:tcPr>
            <w:tcW w:w="326" w:type="dxa"/>
            <w:tcBorders/>
            <w:shd w:fill="auto" w:val="clear"/>
            <w:vAlign w:val="center"/>
          </w:tcPr>
          <w:p>
            <w:pPr>
              <w:pStyle w:val="TableContents"/>
              <w:spacing w:before="0" w:after="1"/>
              <w:ind w:left="0" w:right="0" w:hanging="0"/>
              <w:rPr/>
            </w:pPr>
            <w:r>
              <w:rPr/>
              <w:t>    </w:t>
            </w:r>
          </w:p>
        </w:tc>
        <w:tc>
          <w:tcPr>
            <w:tcW w:w="98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 Change </w:t>
            </w:r>
          </w:p>
        </w:tc>
        <w:tc>
          <w:tcPr>
            <w:tcW w:w="317" w:type="dxa"/>
            <w:tcBorders/>
            <w:shd w:fill="auto" w:val="clear"/>
            <w:vAlign w:val="center"/>
          </w:tcPr>
          <w:p>
            <w:pPr>
              <w:pStyle w:val="TableContents"/>
              <w:spacing w:before="0" w:after="1"/>
              <w:ind w:left="0" w:right="0" w:hanging="0"/>
              <w:rPr/>
            </w:pPr>
            <w:r>
              <w:rPr/>
              <w:t>​</w:t>
            </w:r>
          </w:p>
        </w:tc>
      </w:tr>
      <w:tr>
        <w:trPr/>
        <w:tc>
          <w:tcPr>
            <w:tcW w:w="179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102,489</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152,950</w:t>
            </w:r>
          </w:p>
        </w:tc>
        <w:tc>
          <w:tcPr>
            <w:tcW w:w="326"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(50,461)</w:t>
            </w:r>
          </w:p>
        </w:tc>
        <w:tc>
          <w:tcPr>
            <w:tcW w:w="326" w:type="dxa"/>
            <w:tcBorders/>
            <w:shd w:fill="CCEEFF" w:val="clear"/>
            <w:vAlign w:val="center"/>
          </w:tcPr>
          <w:p>
            <w:pPr>
              <w:pStyle w:val="TableContents"/>
              <w:spacing w:before="0" w:after="1"/>
              <w:ind w:left="0" w:right="0" w:hanging="0"/>
              <w:rPr/>
            </w:pPr>
            <w:r>
              <w:rPr/>
              <w:t>​</w:t>
            </w:r>
          </w:p>
        </w:tc>
        <w:tc>
          <w:tcPr>
            <w:tcW w:w="9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17" w:type="dxa"/>
            <w:tcBorders/>
            <w:shd w:fill="CCEEFF" w:val="clear"/>
            <w:vAlign w:val="center"/>
          </w:tcPr>
          <w:p>
            <w:pPr>
              <w:pStyle w:val="TableContents"/>
              <w:spacing w:before="0" w:after="1"/>
              <w:ind w:left="0" w:right="0" w:hanging="0"/>
              <w:rPr>
                <w:rFonts w:ascii="Calibri;Helvetica;sans-serif" w:hAnsi="Calibri;Helvetica;sans-serif"/>
                <w:sz w:val="22"/>
              </w:rPr>
            </w:pPr>
            <w:r>
              <w:rPr>
                <w:rFonts w:ascii="Calibri;Helvetica;sans-serif" w:hAnsi="Calibri;Helvetica;sans-serif"/>
                <w:sz w:val="22"/>
              </w:rPr>
              <w:t>%</w:t>
            </w:r>
          </w:p>
        </w:tc>
      </w:tr>
      <w:tr>
        <w:trPr/>
        <w:tc>
          <w:tcPr>
            <w:tcW w:w="179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Refinance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8,535</w:t>
            </w:r>
          </w:p>
        </w:tc>
        <w:tc>
          <w:tcPr>
            <w:tcW w:w="326" w:type="dxa"/>
            <w:tcBorders/>
            <w:shd w:fill="auto" w:val="clear"/>
            <w:vAlign w:val="center"/>
          </w:tcPr>
          <w:p>
            <w:pPr>
              <w:pStyle w:val="TableContents"/>
              <w:spacing w:before="0" w:after="1"/>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92,164</w:t>
            </w:r>
          </w:p>
        </w:tc>
        <w:tc>
          <w:tcPr>
            <w:tcW w:w="326" w:type="dxa"/>
            <w:tcBorders/>
            <w:shd w:fill="auto" w:val="clear"/>
            <w:vAlign w:val="center"/>
          </w:tcPr>
          <w:p>
            <w:pPr>
              <w:pStyle w:val="TableContents"/>
              <w:spacing w:before="0" w:after="1"/>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9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(83,629)</w:t>
            </w:r>
          </w:p>
        </w:tc>
        <w:tc>
          <w:tcPr>
            <w:tcW w:w="326" w:type="dxa"/>
            <w:tcBorders/>
            <w:shd w:fill="auto" w:val="clear"/>
            <w:vAlign w:val="center"/>
          </w:tcPr>
          <w:p>
            <w:pPr>
              <w:pStyle w:val="TableContents"/>
              <w:spacing w:before="0" w:after="1"/>
              <w:ind w:left="0" w:right="0" w:hanging="0"/>
              <w:rPr/>
            </w:pPr>
            <w:r>
              <w:rPr/>
              <w:t>​</w:t>
            </w:r>
          </w:p>
        </w:tc>
        <w:tc>
          <w:tcPr>
            <w:tcW w:w="9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c>
          <w:tcPr>
            <w:tcW w:w="317" w:type="dxa"/>
            <w:tcBorders/>
            <w:shd w:fill="auto" w:val="clear"/>
            <w:vAlign w:val="center"/>
          </w:tcPr>
          <w:p>
            <w:pPr>
              <w:pStyle w:val="TableContents"/>
              <w:spacing w:before="0" w:after="1"/>
              <w:ind w:left="0" w:right="0" w:hanging="0"/>
              <w:rPr/>
            </w:pPr>
            <w:r>
              <w:rPr/>
              <w:t>​</w:t>
            </w:r>
          </w:p>
        </w:tc>
      </w:tr>
      <w:tr>
        <w:trPr/>
        <w:tc>
          <w:tcPr>
            <w:tcW w:w="179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111,024</w:t>
            </w:r>
          </w:p>
        </w:tc>
        <w:tc>
          <w:tcPr>
            <w:tcW w:w="326" w:type="dxa"/>
            <w:tcBorders/>
            <w:shd w:fill="CCEEFF" w:val="clear"/>
            <w:vAlign w:val="center"/>
          </w:tcPr>
          <w:p>
            <w:pPr>
              <w:pStyle w:val="TableContents"/>
              <w:spacing w:before="0" w:after="1"/>
              <w:ind w:left="0" w:right="0" w:hanging="0"/>
              <w:rPr/>
            </w:pPr>
            <w:r>
              <w:rPr/>
              <w:t>​</w:t>
            </w:r>
          </w:p>
        </w:tc>
        <w:tc>
          <w:tcPr>
            <w:tcW w:w="7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245,114</w:t>
            </w:r>
          </w:p>
        </w:tc>
        <w:tc>
          <w:tcPr>
            <w:tcW w:w="326" w:type="dxa"/>
            <w:tcBorders/>
            <w:shd w:fill="CCEEFF" w:val="clear"/>
            <w:vAlign w:val="center"/>
          </w:tcPr>
          <w:p>
            <w:pPr>
              <w:pStyle w:val="TableContents"/>
              <w:spacing w:before="0" w:after="1"/>
              <w:ind w:left="0" w:right="0" w:hanging="0"/>
              <w:rPr/>
            </w:pPr>
            <w:r>
              <w:rPr/>
              <w:t>​</w:t>
            </w:r>
          </w:p>
        </w:tc>
        <w:tc>
          <w:tcPr>
            <w:tcW w:w="7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(134,090)</w:t>
            </w:r>
          </w:p>
        </w:tc>
        <w:tc>
          <w:tcPr>
            <w:tcW w:w="326" w:type="dxa"/>
            <w:tcBorders/>
            <w:shd w:fill="CCEEFF" w:val="clear"/>
            <w:vAlign w:val="center"/>
          </w:tcPr>
          <w:p>
            <w:pPr>
              <w:pStyle w:val="TableContents"/>
              <w:spacing w:before="0" w:after="1"/>
              <w:ind w:left="0" w:right="0" w:hanging="0"/>
              <w:rPr/>
            </w:pPr>
            <w:r>
              <w:rPr/>
              <w:t>​</w:t>
            </w:r>
          </w:p>
        </w:tc>
        <w:tc>
          <w:tcPr>
            <w:tcW w:w="9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317" w:type="dxa"/>
            <w:tcBorders/>
            <w:shd w:fill="CCEEFF" w:val="clear"/>
            <w:vAlign w:val="center"/>
          </w:tcPr>
          <w:p>
            <w:pPr>
              <w:pStyle w:val="TableContents"/>
              <w:spacing w:before="0" w:after="1"/>
              <w:ind w:left="0" w:right="0" w:hanging="0"/>
              <w:rPr>
                <w:rFonts w:ascii="Calibri;Helvetica;sans-serif" w:hAnsi="Calibri;Helvetica;sans-serif"/>
                <w:sz w:val="22"/>
              </w:rPr>
            </w:pPr>
            <w:r>
              <w:rPr>
                <w:rFonts w:ascii="Calibri;Helvetica;sans-serif" w:hAnsi="Calibri;Helvetica;sans-serif"/>
                <w:sz w:val="22"/>
              </w:rPr>
              <w:t>%</w:t>
            </w:r>
          </w:p>
        </w:tc>
      </w:tr>
    </w:tbl>
    <w:p>
      <w:pPr>
        <w:pStyle w:val="TextBody"/>
        <w:spacing w:before="0" w:after="200"/>
        <w:ind w:left="0" w:right="0" w:hanging="0"/>
        <w:jc w:val="both"/>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2023, the Company sold $77.3 million of one-to-four-family loans compared to sales of $301.1 million for the same period one year ago.  Gross margin on home loan sales increased to 3.05% for the three months ended March 31, 2023, compared to 2.94% for the three months ended March 31, 2022.  Gross margin is defined as the margin on loans sold (cash sales) without the impact of deferred costs.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ACL for loans was $29.9 million, or 1.29% of gross loans receivable, excluding loans held for sale at March 31, 2023, compared to $28.0 million, or 1.26% of gross loans receivable, excluding loans held for sale at December 31, 2022. The increase was primarily due to higher risks from economic uncertainty, the increase in loans, and increased reserves on individually evaluated nonaccrual loans.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Loans classified as substandard decreased $582,000 to $19.6 million at March 31, 2023, compared to $20.2 million at December 31, 2022. The decrease was primarily due to decreases of $593,000 in commercial real estate loans and $335,000 in one-to-four-family loans, partially offset by increases of $198,000 in indirect home improvement loans and $142,000 in marine loans. Nonperforming loans, consisting solely of nonaccruing loans 90 days or more past due, were unchanged at $8.7 million for both March 31, 2023 and December 31, 2022.  The ratio of nonperforming loans to total gross loans was 0.37% at March 31, 2023, compared to 0.39% at December 31, 2022. There was one OREO property in the amount of $570,000 at both March 31, 2023 and December 31, 2022.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Liabilities.</w:t>
      </w:r>
      <w:r>
        <w:rPr>
          <w:rFonts w:ascii="Times New Roman;Times;serif" w:hAnsi="Times New Roman;Times;serif"/>
          <w:sz w:val="20"/>
        </w:rPr>
        <w:t xml:space="preserve"> Total liabilities increased $139.8 million to $2.54 billion at March 31, 2023, from $2.40 billion at December 31, 2022, primarily due to an increase of $315.5 million in deposits, offset by a decrease of $179.0 million in borrowings.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Total deposits increased $315.5 million to $2.44 billion at March 31, 2023, from $2.13 billion at December 31, 2022, due to the Branch Purchase in which we acquired approximately $424.9 million in deposits.  Certificates of deposit (“CDs”) increased $44.6 million to $774.4 million at March 31, 2023, from $729.8 million at December 31, 2022. Transactional accounts (noninterest-bearing checking, interest-bearing checking, and escrow accounts) increased $241.5 million to $930.8 million at March 31, 2023, from $689.3 million at December 31, 2022, due to increases of $181.9 million in noninterest-bearing checking, $48.8 million in interest-bearing checking, and $10.8 million in escrow accounts related to mortgages serviced.  Money market and savings accounts increased $29.4 million to $738.1 million at March 31, 2023, from $708.6 million at December 31, 2022. </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Deposits are summarized as follows at the dates indicated:</w:t>
      </w:r>
    </w:p>
    <w:tbl>
      <w:tblPr>
        <w:tblW w:w="7195" w:type="dxa"/>
        <w:jc w:val="left"/>
        <w:tblInd w:w="0" w:type="dxa"/>
        <w:tblCellMar>
          <w:top w:w="0" w:type="dxa"/>
          <w:left w:w="0" w:type="dxa"/>
          <w:bottom w:w="0" w:type="dxa"/>
          <w:right w:w="0" w:type="dxa"/>
        </w:tblCellMar>
      </w:tblPr>
      <w:tblGrid>
        <w:gridCol w:w="4096"/>
        <w:gridCol w:w="326"/>
        <w:gridCol w:w="211"/>
        <w:gridCol w:w="931"/>
        <w:gridCol w:w="326"/>
        <w:gridCol w:w="220"/>
        <w:gridCol w:w="1085"/>
      </w:tblGrid>
      <w:tr>
        <w:trPr/>
        <w:tc>
          <w:tcPr>
            <w:tcW w:w="4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2600960" cy="175260"/>
                      <wp:effectExtent l="0" t="0" r="0" b="0"/>
                      <wp:wrapNone/>
                      <wp:docPr id="759" name="Frame759"/>
                      <a:graphic xmlns:a="http://schemas.openxmlformats.org/drawingml/2006/main">
                        <a:graphicData uri="http://schemas.microsoft.com/office/word/2010/wordprocessingShape">
                          <wps:wsp>
                            <wps:cNvSpPr txBox="1"/>
                            <wps:spPr>
                              <a:xfrm>
                                <a:off x="0" y="0"/>
                                <a:ext cx="2600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07010" cy="175260"/>
                      <wp:effectExtent l="0" t="0" r="0" b="0"/>
                      <wp:wrapNone/>
                      <wp:docPr id="760" name="Frame7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33985" cy="175260"/>
                      <wp:effectExtent l="0" t="0" r="0" b="0"/>
                      <wp:wrapNone/>
                      <wp:docPr id="761" name="Frame7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591185" cy="175260"/>
                      <wp:effectExtent l="0" t="0" r="0" b="0"/>
                      <wp:wrapNone/>
                      <wp:docPr id="762" name="Frame76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07010" cy="175260"/>
                      <wp:effectExtent l="0" t="0" r="0" b="0"/>
                      <wp:wrapNone/>
                      <wp:docPr id="763" name="Frame7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39700" cy="175260"/>
                      <wp:effectExtent l="0" t="0" r="0" b="0"/>
                      <wp:wrapNone/>
                      <wp:docPr id="764" name="Frame764"/>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688975" cy="175260"/>
                      <wp:effectExtent l="0" t="0" r="0" b="0"/>
                      <wp:wrapNone/>
                      <wp:docPr id="765" name="Frame765"/>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(Dollars in thousands)</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1"/>
              <w:ind w:left="0" w:right="0" w:hanging="0"/>
              <w:rPr/>
            </w:pPr>
            <w:r>
              <w:rPr/>
              <w:t>​</w:t>
            </w:r>
          </w:p>
        </w:tc>
        <w:tc>
          <w:tcPr>
            <w:tcW w:w="1305"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0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Noninterest-bearing checking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719,856</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537,938</w:t>
            </w:r>
          </w:p>
        </w:tc>
      </w:tr>
      <w:tr>
        <w:trPr/>
        <w:tc>
          <w:tcPr>
            <w:tcW w:w="409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Interest-bearing checking </w:t>
            </w:r>
            <w:r>
              <w:rPr>
                <w:rFonts w:ascii="Times New Roman;Times;serif" w:hAnsi="Times New Roman;Times;serif"/>
                <w:sz w:val="15"/>
              </w:rPr>
              <w:t>(1)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183,888</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10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135,127</w:t>
            </w:r>
          </w:p>
        </w:tc>
      </w:tr>
      <w:tr>
        <w:trPr/>
        <w:tc>
          <w:tcPr>
            <w:tcW w:w="40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Savings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188,510</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134,358</w:t>
            </w:r>
          </w:p>
        </w:tc>
      </w:tr>
      <w:tr>
        <w:trPr/>
        <w:tc>
          <w:tcPr>
            <w:tcW w:w="409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Money market </w:t>
            </w:r>
            <w:r>
              <w:rPr>
                <w:rFonts w:ascii="Times New Roman;Times;serif" w:hAnsi="Times New Roman;Times;serif"/>
                <w:sz w:val="15"/>
              </w:rPr>
              <w:t>(2)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549,542</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10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574,290</w:t>
            </w:r>
          </w:p>
        </w:tc>
      </w:tr>
      <w:tr>
        <w:trPr/>
        <w:tc>
          <w:tcPr>
            <w:tcW w:w="409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CDs less than $100,000 </w:t>
            </w:r>
            <w:r>
              <w:rPr>
                <w:rFonts w:ascii="Times New Roman;Times;serif" w:hAnsi="Times New Roman;Times;serif"/>
                <w:sz w:val="15"/>
              </w:rPr>
              <w:t>(3)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409,236</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440,785</w:t>
            </w:r>
          </w:p>
        </w:tc>
      </w:tr>
      <w:tr>
        <w:trPr/>
        <w:tc>
          <w:tcPr>
            <w:tcW w:w="40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CDs of $100,000 through $250,000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270,476</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10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195,447</w:t>
            </w:r>
          </w:p>
        </w:tc>
      </w:tr>
      <w:tr>
        <w:trPr/>
        <w:tc>
          <w:tcPr>
            <w:tcW w:w="409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CDs of $250,000 and over </w:t>
            </w:r>
            <w:r>
              <w:rPr>
                <w:rFonts w:ascii="Times New Roman;Times;serif" w:hAnsi="Times New Roman;Times;serif"/>
                <w:sz w:val="15"/>
              </w:rPr>
              <w:t>(4)</w:t>
            </w: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94,699</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93,560</w:t>
            </w:r>
          </w:p>
        </w:tc>
      </w:tr>
      <w:tr>
        <w:trPr/>
        <w:tc>
          <w:tcPr>
            <w:tcW w:w="409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Escrow accounts related to mortgages serviced </w:t>
            </w:r>
            <w:r>
              <w:rPr>
                <w:rFonts w:ascii="Times New Roman;Times;serif" w:hAnsi="Times New Roman;Times;serif"/>
                <w:sz w:val="15"/>
              </w:rPr>
              <w:t>(5)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27,066</w:t>
            </w:r>
          </w:p>
        </w:tc>
        <w:tc>
          <w:tcPr>
            <w:tcW w:w="32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16,236</w:t>
            </w:r>
          </w:p>
        </w:tc>
      </w:tr>
      <w:tr>
        <w:trPr/>
        <w:tc>
          <w:tcPr>
            <w:tcW w:w="40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2,443,273</w:t>
            </w:r>
          </w:p>
        </w:tc>
        <w:tc>
          <w:tcPr>
            <w:tcW w:w="326" w:type="dxa"/>
            <w:tcBorders/>
            <w:shd w:fill="CCEEFF" w:val="clear"/>
            <w:vAlign w:val="center"/>
          </w:tcPr>
          <w:p>
            <w:pPr>
              <w:pStyle w:val="TableContents"/>
              <w:spacing w:before="0" w:after="1"/>
              <w:ind w:left="0" w:right="0" w:hanging="0"/>
              <w:rPr/>
            </w:pPr>
            <w:r>
              <w:rPr/>
              <w:t>​</w:t>
            </w:r>
          </w:p>
        </w:tc>
        <w:tc>
          <w:tcPr>
            <w:tcW w:w="2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2,127,741</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w:t>
      </w:r>
    </w:p>
    <w:tbl>
      <w:tblPr>
        <w:tblW w:w="9947" w:type="dxa"/>
        <w:jc w:val="left"/>
        <w:tblInd w:w="0" w:type="dxa"/>
        <w:tblCellMar>
          <w:top w:w="0" w:type="dxa"/>
          <w:left w:w="0" w:type="dxa"/>
          <w:bottom w:w="0" w:type="dxa"/>
          <w:right w:w="0" w:type="dxa"/>
        </w:tblCellMar>
      </w:tblPr>
      <w:tblGrid>
        <w:gridCol w:w="346"/>
        <w:gridCol w:w="960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6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$2.6 million and $2.3 million of brokered deposits at March 31, 2023 and December 31, 2022, respectively.</w:t>
            </w:r>
          </w:p>
        </w:tc>
      </w:tr>
    </w:tbl>
    <w:tbl>
      <w:tblPr>
        <w:tblW w:w="10157" w:type="dxa"/>
        <w:jc w:val="left"/>
        <w:tblInd w:w="0" w:type="dxa"/>
        <w:tblCellMar>
          <w:top w:w="0" w:type="dxa"/>
          <w:left w:w="0" w:type="dxa"/>
          <w:bottom w:w="0" w:type="dxa"/>
          <w:right w:w="0" w:type="dxa"/>
        </w:tblCellMar>
      </w:tblPr>
      <w:tblGrid>
        <w:gridCol w:w="346"/>
        <w:gridCol w:w="981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$50.3 million and $59.7 million of brokered deposits at March 31, 2023 and December 31, 2022, respectively.</w:t>
            </w:r>
          </w:p>
        </w:tc>
      </w:tr>
    </w:tbl>
    <w:tbl>
      <w:tblPr>
        <w:tblW w:w="10037" w:type="dxa"/>
        <w:jc w:val="left"/>
        <w:tblInd w:w="0" w:type="dxa"/>
        <w:tblCellMar>
          <w:top w:w="0" w:type="dxa"/>
          <w:left w:w="0" w:type="dxa"/>
          <w:bottom w:w="0" w:type="dxa"/>
          <w:right w:w="0" w:type="dxa"/>
        </w:tblCellMar>
      </w:tblPr>
      <w:tblGrid>
        <w:gridCol w:w="346"/>
        <w:gridCol w:w="969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6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$266.1 million and $332.0 million of brokered CDs at March 31, 2023 and December 31, 2022, respectively.</w:t>
            </w:r>
          </w:p>
        </w:tc>
      </w:tr>
    </w:tbl>
    <w:tbl>
      <w:tblPr>
        <w:tblW w:w="4547" w:type="dxa"/>
        <w:jc w:val="left"/>
        <w:tblInd w:w="0" w:type="dxa"/>
        <w:tblCellMar>
          <w:top w:w="0" w:type="dxa"/>
          <w:left w:w="0" w:type="dxa"/>
          <w:bottom w:w="0" w:type="dxa"/>
          <w:right w:w="0" w:type="dxa"/>
        </w:tblCellMar>
      </w:tblPr>
      <w:tblGrid>
        <w:gridCol w:w="346"/>
        <w:gridCol w:w="420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42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CDs that meet or exceed the FDIC insurance limit.</w:t>
            </w:r>
          </w:p>
        </w:tc>
      </w:tr>
    </w:tbl>
    <w:tbl>
      <w:tblPr>
        <w:tblW w:w="2957" w:type="dxa"/>
        <w:jc w:val="left"/>
        <w:tblInd w:w="0" w:type="dxa"/>
        <w:tblCellMar>
          <w:top w:w="0" w:type="dxa"/>
          <w:left w:w="0" w:type="dxa"/>
          <w:bottom w:w="0" w:type="dxa"/>
          <w:right w:w="0" w:type="dxa"/>
        </w:tblCellMar>
      </w:tblPr>
      <w:tblGrid>
        <w:gridCol w:w="346"/>
        <w:gridCol w:w="261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26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 checking.</w:t>
            </w:r>
          </w:p>
        </w:tc>
      </w:tr>
    </w:tbl>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Borrowings comprised of FHLB advances decreased $179.0 million to $7.5 million at March 31, 2023, from $186.5 million at December 31, 2022, utilizing cash from the Branch Purchase.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Stockholders’ Equity.</w:t>
      </w:r>
      <w:r>
        <w:rPr>
          <w:rFonts w:ascii="Times New Roman;Times;serif" w:hAnsi="Times New Roman;Times;serif"/>
          <w:sz w:val="20"/>
        </w:rPr>
        <w:t xml:space="preserve"> Total stockholders’ equity increased $10.1 million to $241.8 million at March 31, 2023, from $231.7 million at December 31, 2022. The increase in stockholders’ equity during the three months ended March 31, 2023, was primarily due to net income of $8.2 million, partially offset by dividends paid of $1.9 million.  In addition, stockholders’ equity was positively impacted by increased unrealized net gains in securities available-for-sale of $4.8 million, net of tax, reflecting changes in market interest rates during the period, partially offset by unrealized losses on fair value and cash flow hedges of $1.9 million, net of tax, resulting in a net $2.9 million increase in accumulated other comprehensive loss, net of tax. Book value per common share was $31.69 at March 31, 2023, compared to $30.42 at December 31, 2022.</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We calculated book value per share at March 31, 2023 based on 7,631,018 common shares, which was the difference between the 7,743,283 reported common shares and 112,265 unvested restricted stock shares outstanding as of that date. We calculated book value per share at December 31, 2022, based on 7,617,655 common shares, which was the difference between the 7,736,185 reported common shares and 118,530 unvested restricted stock shares outstanding as of that date.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Comparison of Results of Operations for the Three Months Ended March 31, 2023 and 2022</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General. </w:t>
      </w:r>
      <w:r>
        <w:rPr>
          <w:rFonts w:ascii="Times New Roman;Times;serif" w:hAnsi="Times New Roman;Times;serif"/>
          <w:sz w:val="20"/>
        </w:rPr>
        <w:t xml:space="preserve">Net income was $8.2 million for the three months ended March 31, 2023, and $6.9 million for the three months ended March 31, 2022.  The increase in net income for the three months ended March 31, 2023, was primarily due to a $7.9 million, or 34.9%, increase in net interest income, partially offset by a $4.5 million increase in noninterest expense, a $1.1 million increase in provision for credit losses, a $657,000 decrease in noninterest income and a $419,000 increase in provision for income tax expense. </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Average Balances, Interest and Average Yields/Cost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Income and all average balances are monthly average balances. Nonaccruing loans have been included in the table as loans carrying a zero yield.  The yields on tax-exempt municipal bonds have not been computed on a tax equivalent basis.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454"/>
        <w:gridCol w:w="326"/>
        <w:gridCol w:w="251"/>
        <w:gridCol w:w="1110"/>
        <w:gridCol w:w="146"/>
        <w:gridCol w:w="244"/>
        <w:gridCol w:w="784"/>
        <w:gridCol w:w="109"/>
        <w:gridCol w:w="682"/>
        <w:gridCol w:w="326"/>
        <w:gridCol w:w="251"/>
        <w:gridCol w:w="1110"/>
        <w:gridCol w:w="326"/>
        <w:gridCol w:w="244"/>
        <w:gridCol w:w="784"/>
        <w:gridCol w:w="326"/>
        <w:gridCol w:w="732"/>
      </w:tblGrid>
      <w:tr>
        <w:trPr/>
        <w:tc>
          <w:tcPr>
            <w:tcW w:w="24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1558290" cy="175260"/>
                      <wp:effectExtent l="0" t="0" r="0" b="0"/>
                      <wp:wrapNone/>
                      <wp:docPr id="766" name="Frame766"/>
                      <a:graphic xmlns:a="http://schemas.openxmlformats.org/drawingml/2006/main">
                        <a:graphicData uri="http://schemas.microsoft.com/office/word/2010/wordprocessingShape">
                          <wps:wsp>
                            <wps:cNvSpPr txBox="1"/>
                            <wps:spPr>
                              <a:xfrm>
                                <a:off x="0" y="0"/>
                                <a:ext cx="1558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07010" cy="175260"/>
                      <wp:effectExtent l="0" t="0" r="0" b="0"/>
                      <wp:wrapNone/>
                      <wp:docPr id="767" name="Frame7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159385" cy="175260"/>
                      <wp:effectExtent l="0" t="0" r="0" b="0"/>
                      <wp:wrapNone/>
                      <wp:docPr id="768" name="Frame768"/>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704850" cy="175260"/>
                      <wp:effectExtent l="0" t="0" r="0" b="0"/>
                      <wp:wrapNone/>
                      <wp:docPr id="769" name="Frame769"/>
                      <a:graphic xmlns:a="http://schemas.openxmlformats.org/drawingml/2006/main">
                        <a:graphicData uri="http://schemas.microsoft.com/office/word/2010/wordprocessingShape">
                          <wps:wsp>
                            <wps:cNvSpPr txBox="1"/>
                            <wps:spPr>
                              <a:xfrm>
                                <a:off x="0" y="0"/>
                                <a:ext cx="704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92710" cy="175260"/>
                      <wp:effectExtent l="0" t="0" r="0" b="0"/>
                      <wp:wrapNone/>
                      <wp:docPr id="770" name="Frame77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154940" cy="175260"/>
                      <wp:effectExtent l="0" t="0" r="0" b="0"/>
                      <wp:wrapNone/>
                      <wp:docPr id="771" name="Frame771"/>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497840" cy="175260"/>
                      <wp:effectExtent l="0" t="0" r="0" b="0"/>
                      <wp:wrapNone/>
                      <wp:docPr id="772" name="Frame772"/>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69215" cy="175260"/>
                      <wp:effectExtent l="0" t="0" r="0" b="0"/>
                      <wp:wrapNone/>
                      <wp:docPr id="773" name="Frame7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433070" cy="175260"/>
                      <wp:effectExtent l="0" t="0" r="0" b="0"/>
                      <wp:wrapNone/>
                      <wp:docPr id="774" name="Frame774"/>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07010" cy="175260"/>
                      <wp:effectExtent l="0" t="0" r="0" b="0"/>
                      <wp:wrapNone/>
                      <wp:docPr id="775" name="Frame7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159385" cy="175260"/>
                      <wp:effectExtent l="0" t="0" r="0" b="0"/>
                      <wp:wrapNone/>
                      <wp:docPr id="776" name="Frame776"/>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704850" cy="175260"/>
                      <wp:effectExtent l="0" t="0" r="0" b="0"/>
                      <wp:wrapNone/>
                      <wp:docPr id="777" name="Frame777"/>
                      <a:graphic xmlns:a="http://schemas.openxmlformats.org/drawingml/2006/main">
                        <a:graphicData uri="http://schemas.microsoft.com/office/word/2010/wordprocessingShape">
                          <wps:wsp>
                            <wps:cNvSpPr txBox="1"/>
                            <wps:spPr>
                              <a:xfrm>
                                <a:off x="0" y="0"/>
                                <a:ext cx="704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207010" cy="175260"/>
                      <wp:effectExtent l="0" t="0" r="0" b="0"/>
                      <wp:wrapNone/>
                      <wp:docPr id="778" name="Frame7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154940" cy="175260"/>
                      <wp:effectExtent l="0" t="0" r="0" b="0"/>
                      <wp:wrapNone/>
                      <wp:docPr id="779" name="Frame779"/>
                      <a:graphic xmlns:a="http://schemas.openxmlformats.org/drawingml/2006/main">
                        <a:graphicData uri="http://schemas.microsoft.com/office/word/2010/wordprocessingShape">
                          <wps:wsp>
                            <wps:cNvSpPr txBox="1"/>
                            <wps:spPr>
                              <a:xfrm>
                                <a:off x="0" y="0"/>
                                <a:ext cx="154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497840" cy="175260"/>
                      <wp:effectExtent l="0" t="0" r="0" b="0"/>
                      <wp:wrapNone/>
                      <wp:docPr id="780" name="Frame780"/>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207010" cy="175260"/>
                      <wp:effectExtent l="0" t="0" r="0" b="0"/>
                      <wp:wrapNone/>
                      <wp:docPr id="781" name="Frame7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464820" cy="175260"/>
                      <wp:effectExtent l="0" t="0" r="0" b="0"/>
                      <wp:wrapNone/>
                      <wp:docPr id="782" name="Frame782"/>
                      <a:graphic xmlns:a="http://schemas.openxmlformats.org/drawingml/2006/main">
                        <a:graphicData uri="http://schemas.microsoft.com/office/word/2010/wordprocessingShape">
                          <wps:wsp>
                            <wps:cNvSpPr txBox="1"/>
                            <wps:spPr>
                              <a:xfrm>
                                <a:off x="0" y="0"/>
                                <a:ext cx="464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(Dollars in thousands)</w:t>
            </w:r>
          </w:p>
        </w:tc>
        <w:tc>
          <w:tcPr>
            <w:tcW w:w="326" w:type="dxa"/>
            <w:tcBorders/>
            <w:shd w:fill="auto" w:val="clear"/>
            <w:vAlign w:val="center"/>
          </w:tcPr>
          <w:p>
            <w:pPr>
              <w:pStyle w:val="TableContents"/>
              <w:spacing w:before="0" w:after="0"/>
              <w:ind w:left="0" w:right="0" w:hanging="0"/>
              <w:rPr/>
            </w:pPr>
            <w:r>
              <w:rPr/>
              <w:t>​</w:t>
            </w:r>
          </w:p>
        </w:tc>
        <w:tc>
          <w:tcPr>
            <w:tcW w:w="3326" w:type="dxa"/>
            <w:gridSpan w:val="7"/>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 the Three Months Ended</w:t>
            </w:r>
          </w:p>
        </w:tc>
        <w:tc>
          <w:tcPr>
            <w:tcW w:w="326" w:type="dxa"/>
            <w:tcBorders/>
            <w:shd w:fill="auto" w:val="clear"/>
            <w:vAlign w:val="center"/>
          </w:tcPr>
          <w:p>
            <w:pPr>
              <w:pStyle w:val="TableContents"/>
              <w:spacing w:before="0" w:after="0"/>
              <w:ind w:left="0" w:right="0" w:hanging="0"/>
              <w:rPr/>
            </w:pPr>
            <w:r>
              <w:rPr/>
              <w:t>​</w:t>
            </w:r>
          </w:p>
        </w:tc>
        <w:tc>
          <w:tcPr>
            <w:tcW w:w="3773" w:type="dxa"/>
            <w:gridSpan w:val="7"/>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 the Three Months Ended</w:t>
            </w:r>
          </w:p>
        </w:tc>
      </w:tr>
      <w:tr>
        <w:trPr/>
        <w:tc>
          <w:tcPr>
            <w:tcW w:w="24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326"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c>
          <w:tcPr>
            <w:tcW w:w="326" w:type="dxa"/>
            <w:tcBorders/>
            <w:shd w:fill="auto" w:val="clear"/>
            <w:vAlign w:val="center"/>
          </w:tcPr>
          <w:p>
            <w:pPr>
              <w:pStyle w:val="TableContents"/>
              <w:spacing w:before="0" w:after="0"/>
              <w:ind w:left="0" w:right="0" w:hanging="0"/>
              <w:rPr/>
            </w:pPr>
            <w:r>
              <w:rPr/>
              <w:t>    </w:t>
            </w:r>
          </w:p>
        </w:tc>
        <w:tc>
          <w:tcPr>
            <w:tcW w:w="3773"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2022</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Average Balances</w:t>
            </w:r>
          </w:p>
        </w:tc>
        <w:tc>
          <w:tcPr>
            <w:tcW w:w="326" w:type="dxa"/>
            <w:tcBorders/>
            <w:shd w:fill="auto" w:val="clear"/>
            <w:vAlign w:val="center"/>
          </w:tcPr>
          <w:p>
            <w:pPr>
              <w:pStyle w:val="TableContents"/>
              <w:spacing w:before="0" w:after="0"/>
              <w:ind w:left="0" w:right="0" w:hanging="0"/>
              <w:rPr/>
            </w:pPr>
            <w:r>
              <w:rPr/>
              <w:t>    </w:t>
            </w:r>
          </w:p>
        </w:tc>
        <w:tc>
          <w:tcPr>
            <w:tcW w:w="13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 Balance Outstanding</w:t>
            </w:r>
          </w:p>
        </w:tc>
        <w:tc>
          <w:tcPr>
            <w:tcW w:w="146" w:type="dxa"/>
            <w:tcBorders/>
            <w:shd w:fill="auto" w:val="clear"/>
            <w:vAlign w:val="center"/>
          </w:tcPr>
          <w:p>
            <w:pPr>
              <w:pStyle w:val="TableContents"/>
              <w:spacing w:before="0" w:after="0"/>
              <w:ind w:left="0" w:right="0" w:hanging="0"/>
              <w:jc w:val="center"/>
              <w:rPr/>
            </w:pPr>
            <w:r>
              <w:rPr/>
              <w:t>​</w:t>
            </w:r>
          </w:p>
        </w:tc>
        <w:tc>
          <w:tcPr>
            <w:tcW w:w="10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Interest Earned/ Paid</w:t>
            </w:r>
          </w:p>
        </w:tc>
        <w:tc>
          <w:tcPr>
            <w:tcW w:w="109" w:type="dxa"/>
            <w:tcBorders/>
            <w:shd w:fill="auto" w:val="clear"/>
            <w:vAlign w:val="center"/>
          </w:tcPr>
          <w:p>
            <w:pPr>
              <w:pStyle w:val="TableContents"/>
              <w:spacing w:before="0" w:after="0"/>
              <w:ind w:left="0" w:right="0" w:hanging="0"/>
              <w:jc w:val="center"/>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Yield/ Rate</w:t>
            </w:r>
          </w:p>
        </w:tc>
        <w:tc>
          <w:tcPr>
            <w:tcW w:w="326" w:type="dxa"/>
            <w:tcBorders/>
            <w:shd w:fill="auto" w:val="clear"/>
            <w:vAlign w:val="center"/>
          </w:tcPr>
          <w:p>
            <w:pPr>
              <w:pStyle w:val="TableContents"/>
              <w:spacing w:before="0" w:after="0"/>
              <w:ind w:left="0" w:right="0" w:hanging="0"/>
              <w:rPr/>
            </w:pPr>
            <w:r>
              <w:rPr/>
              <w:t>    </w:t>
            </w:r>
          </w:p>
        </w:tc>
        <w:tc>
          <w:tcPr>
            <w:tcW w:w="13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 Balance Outstanding</w:t>
            </w:r>
          </w:p>
        </w:tc>
        <w:tc>
          <w:tcPr>
            <w:tcW w:w="326" w:type="dxa"/>
            <w:tcBorders/>
            <w:shd w:fill="auto" w:val="clear"/>
            <w:vAlign w:val="center"/>
          </w:tcPr>
          <w:p>
            <w:pPr>
              <w:pStyle w:val="TableContents"/>
              <w:spacing w:before="0" w:after="0"/>
              <w:ind w:left="0" w:right="0" w:hanging="0"/>
              <w:rPr/>
            </w:pPr>
            <w:r>
              <w:rPr/>
              <w:t>    </w:t>
            </w:r>
          </w:p>
        </w:tc>
        <w:tc>
          <w:tcPr>
            <w:tcW w:w="10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Interest Earned/ Paid</w:t>
            </w:r>
          </w:p>
        </w:tc>
        <w:tc>
          <w:tcPr>
            <w:tcW w:w="326" w:type="dxa"/>
            <w:tcBorders/>
            <w:shd w:fill="auto" w:val="clear"/>
            <w:vAlign w:val="center"/>
          </w:tcPr>
          <w:p>
            <w:pPr>
              <w:pStyle w:val="TableContents"/>
              <w:spacing w:before="0" w:after="0"/>
              <w:ind w:left="0" w:right="0" w:hanging="0"/>
              <w:rPr/>
            </w:pPr>
            <w:r>
              <w:rPr/>
              <w:t>    </w:t>
            </w:r>
          </w:p>
        </w:tc>
        <w:tc>
          <w:tcPr>
            <w:tcW w:w="73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Yield/ Rate</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rPr/>
            </w:pPr>
            <w:r>
              <w:rPr/>
              <w:t>​</w:t>
            </w:r>
          </w:p>
        </w:tc>
      </w:tr>
      <w:tr>
        <w:trPr/>
        <w:tc>
          <w:tcPr>
            <w:tcW w:w="2454"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Loans receivable, net and loans held for sale </w:t>
            </w:r>
            <w:r>
              <w:rPr>
                <w:rFonts w:ascii="Times New Roman;Times;serif" w:hAnsi="Times New Roman;Times;serif"/>
                <w:sz w:val="15"/>
              </w:rPr>
              <w:t>(1)</w:t>
            </w:r>
            <w:r>
              <w:rPr>
                <w:rFonts w:ascii="Times New Roman;Times;serif" w:hAnsi="Times New Roman;Times;serif"/>
                <w:sz w:val="20"/>
              </w:rPr>
              <w:t xml:space="preserve"> </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 </w:t>
            </w:r>
          </w:p>
        </w:tc>
        <w:tc>
          <w:tcPr>
            <w:tcW w:w="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2,292,364</w:t>
            </w:r>
          </w:p>
        </w:tc>
        <w:tc>
          <w:tcPr>
            <w:tcW w:w="146" w:type="dxa"/>
            <w:tcBorders/>
            <w:shd w:fill="auto" w:val="clear"/>
            <w:vAlign w:val="center"/>
          </w:tcPr>
          <w:p>
            <w:pPr>
              <w:pStyle w:val="TableContents"/>
              <w:spacing w:before="0" w:after="0"/>
              <w:ind w:left="0" w:right="0" w:hanging="0"/>
              <w:rPr/>
            </w:pPr>
            <w:r>
              <w:rPr/>
              <w:t> </w:t>
            </w:r>
          </w:p>
        </w:tc>
        <w:tc>
          <w:tcPr>
            <w:tcW w:w="2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35,992</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1,834,443</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23,047</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Taxable mortgage-backed securities</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81,796</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91,678</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Taxable AFS investment securities</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59,037</w:t>
            </w:r>
          </w:p>
        </w:tc>
        <w:tc>
          <w:tcPr>
            <w:tcW w:w="14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60,422</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Tax-exempt AFS investment securities</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129,843</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126,508</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Taxable HTM investment securities</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14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FHLB stock</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 </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6,335</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 </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4,302</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Interest-bearing deposits at other financial institutions</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69,664</w:t>
            </w:r>
          </w:p>
        </w:tc>
        <w:tc>
          <w:tcPr>
            <w:tcW w:w="14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48,672</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r>
      <w:tr>
        <w:trPr/>
        <w:tc>
          <w:tcPr>
            <w:tcW w:w="2454"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Total interest-earning assets </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 </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2,647,539</w:t>
            </w:r>
          </w:p>
        </w:tc>
        <w:tc>
          <w:tcPr>
            <w:tcW w:w="14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38,612</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 </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2,173,525</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24,626</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Noninterest-earning assets </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94,486</w:t>
            </w:r>
          </w:p>
        </w:tc>
        <w:tc>
          <w:tcPr>
            <w:tcW w:w="146" w:type="dxa"/>
            <w:tcBorders/>
            <w:shd w:fill="auto" w:val="clear"/>
            <w:vAlign w:val="center"/>
          </w:tcPr>
          <w:p>
            <w:pPr>
              <w:pStyle w:val="TableContents"/>
              <w:spacing w:before="0" w:after="0"/>
              <w:ind w:left="0" w:right="0" w:hanging="0"/>
              <w:rPr/>
            </w:pPr>
            <w:r>
              <w:rPr/>
              <w:t> </w:t>
            </w:r>
          </w:p>
        </w:tc>
        <w:tc>
          <w:tcPr>
            <w:tcW w:w="244" w:type="dxa"/>
            <w:tcBorders/>
            <w:shd w:fill="auto" w:val="clear"/>
            <w:vAlign w:val="center"/>
          </w:tcPr>
          <w:p>
            <w:pPr>
              <w:pStyle w:val="TableContents"/>
              <w:spacing w:before="0" w:after="0"/>
              <w:ind w:left="0" w:right="0" w:hanging="0"/>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96,746</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pPr>
            <w:r>
              <w:rPr/>
              <w:t>​</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0"/>
              <w:ind w:left="0" w:right="0" w:hanging="0"/>
              <w:rPr/>
            </w:pPr>
            <w:r>
              <w:rPr/>
              <w:t> </w:t>
            </w:r>
          </w:p>
        </w:tc>
        <w:tc>
          <w:tcPr>
            <w:tcW w:w="25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2,742,025</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2,270,271</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pPr>
            <w:r>
              <w:rPr/>
              <w:t>​</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pPr>
            <w:r>
              <w:rPr/>
              <w:t>​</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Savings and money market</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692,841</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738,597</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Interest-bearing checking</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145,434</w:t>
            </w:r>
          </w:p>
        </w:tc>
        <w:tc>
          <w:tcPr>
            <w:tcW w:w="14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230,956</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spacing w:before="0" w:after="0"/>
              <w:ind w:left="0" w:right="0" w:hanging="0"/>
              <w:rPr/>
            </w:pPr>
            <w:r>
              <w:rPr/>
              <w:t> </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849,762</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5,328</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354,722</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0.85%</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Borrowings</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79,339</w:t>
            </w:r>
          </w:p>
        </w:tc>
        <w:tc>
          <w:tcPr>
            <w:tcW w:w="14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31,006</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Subordinated notes</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49,467</w:t>
            </w:r>
          </w:p>
        </w:tc>
        <w:tc>
          <w:tcPr>
            <w:tcW w:w="14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49,400</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interest-bearing liabilities</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1,816,843</w:t>
            </w:r>
          </w:p>
        </w:tc>
        <w:tc>
          <w:tcPr>
            <w:tcW w:w="14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7,950</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1,404,681</w:t>
            </w:r>
          </w:p>
        </w:tc>
        <w:tc>
          <w:tcPr>
            <w:tcW w:w="326" w:type="dxa"/>
            <w:tcBorders/>
            <w:shd w:fill="auto" w:val="clear"/>
            <w:vAlign w:val="center"/>
          </w:tcPr>
          <w:p>
            <w:pPr>
              <w:pStyle w:val="TableContents"/>
              <w:spacing w:before="0" w:after="0"/>
              <w:ind w:left="0" w:right="0" w:hanging="0"/>
              <w:rPr/>
            </w:pPr>
            <w:r>
              <w:rPr/>
              <w:t>​</w:t>
            </w:r>
          </w:p>
        </w:tc>
        <w:tc>
          <w:tcPr>
            <w:tcW w:w="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1,904</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Noninterest-bearing accounts</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 </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620,071</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8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 </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582,913</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pPr>
            <w:r>
              <w:rPr/>
              <w:t>​</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noninterest-bearing liabilities</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34,434</w:t>
            </w:r>
          </w:p>
        </w:tc>
        <w:tc>
          <w:tcPr>
            <w:tcW w:w="14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 </w:t>
            </w:r>
          </w:p>
        </w:tc>
        <w:tc>
          <w:tcPr>
            <w:tcW w:w="11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31,355</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pPr>
            <w:r>
              <w:rPr/>
              <w:t>​</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270,677</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8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251,322</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pPr>
            <w:r>
              <w:rPr/>
              <w:t>​</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2,742,025</w:t>
            </w:r>
          </w:p>
        </w:tc>
        <w:tc>
          <w:tcPr>
            <w:tcW w:w="14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2,270,271</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pPr>
            <w:r>
              <w:rPr/>
              <w:t>​</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interest income</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24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30,662</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22,722</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pPr>
            <w:r>
              <w:rPr/>
              <w:t>​</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interest rate spread</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6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earning assets</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830,696</w:t>
            </w:r>
          </w:p>
        </w:tc>
        <w:tc>
          <w:tcPr>
            <w:tcW w:w="14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 </w:t>
            </w:r>
          </w:p>
        </w:tc>
        <w:tc>
          <w:tcPr>
            <w:tcW w:w="784"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768,844</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pPr>
            <w:r>
              <w:rPr/>
              <w:t>​</w:t>
            </w:r>
          </w:p>
        </w:tc>
      </w:tr>
      <w:tr>
        <w:trPr/>
        <w:tc>
          <w:tcPr>
            <w:tcW w:w="245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interest margin</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 </w:t>
            </w:r>
          </w:p>
        </w:tc>
        <w:tc>
          <w:tcPr>
            <w:tcW w:w="78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6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11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4"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245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Average interest-earning assets to average interest-bearing liabilities</w:t>
            </w:r>
          </w:p>
        </w:tc>
        <w:tc>
          <w:tcPr>
            <w:tcW w:w="326" w:type="dxa"/>
            <w:tcBorders/>
            <w:shd w:fill="CCEEFF" w:val="clear"/>
            <w:vAlign w:val="center"/>
          </w:tcPr>
          <w:p>
            <w:pPr>
              <w:pStyle w:val="TableContents"/>
              <w:spacing w:before="0" w:after="0"/>
              <w:ind w:left="0" w:right="0" w:hanging="0"/>
              <w:rPr/>
            </w:pPr>
            <w:r>
              <w:rPr/>
              <w:t> </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145.72%</w:t>
            </w:r>
          </w:p>
        </w:tc>
        <w:tc>
          <w:tcPr>
            <w:tcW w:w="146" w:type="dxa"/>
            <w:tcBorders/>
            <w:shd w:fill="CCEEFF" w:val="clear"/>
            <w:vAlign w:val="center"/>
          </w:tcPr>
          <w:p>
            <w:pPr>
              <w:pStyle w:val="TableContents"/>
              <w:spacing w:before="0" w:after="0"/>
              <w:ind w:left="0" w:right="0" w:hanging="0"/>
              <w:rPr/>
            </w:pPr>
            <w:r>
              <w:rPr/>
              <w:t> </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1" w:type="dxa"/>
            <w:tcBorders/>
            <w:shd w:fill="CCEEFF" w:val="clear"/>
            <w:vAlign w:val="center"/>
          </w:tcPr>
          <w:p>
            <w:pPr>
              <w:pStyle w:val="TableContents"/>
              <w:spacing w:before="0" w:after="0"/>
              <w:ind w:left="0" w:right="0" w:hanging="0"/>
              <w:rPr/>
            </w:pPr>
            <w:r>
              <w:rPr/>
              <w:t>​</w:t>
            </w:r>
          </w:p>
        </w:tc>
        <w:tc>
          <w:tcPr>
            <w:tcW w:w="11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154.73%</w:t>
            </w:r>
          </w:p>
        </w:tc>
        <w:tc>
          <w:tcPr>
            <w:tcW w:w="326" w:type="dxa"/>
            <w:tcBorders/>
            <w:shd w:fill="CCEEFF" w:val="clear"/>
            <w:vAlign w:val="center"/>
          </w:tcPr>
          <w:p>
            <w:pPr>
              <w:pStyle w:val="TableContents"/>
              <w:spacing w:before="0" w:after="0"/>
              <w:ind w:left="0" w:right="0" w:hanging="0"/>
              <w:rPr/>
            </w:pPr>
            <w:r>
              <w:rPr/>
              <w:t>​</w:t>
            </w:r>
          </w:p>
        </w:tc>
        <w:tc>
          <w:tcPr>
            <w:tcW w:w="244" w:type="dxa"/>
            <w:tcBorders/>
            <w:shd w:fill="CCEEFF" w:val="clear"/>
            <w:vAlign w:val="center"/>
          </w:tcPr>
          <w:p>
            <w:pPr>
              <w:pStyle w:val="TableContents"/>
              <w:spacing w:before="0" w:after="0"/>
              <w:ind w:left="0" w:right="0" w:hanging="0"/>
              <w:rPr/>
            </w:pPr>
            <w:r>
              <w:rPr/>
              <w:t>​</w:t>
            </w:r>
          </w:p>
        </w:tc>
        <w:tc>
          <w:tcPr>
            <w:tcW w:w="784"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_____________________________</w:t>
      </w:r>
    </w:p>
    <w:tbl>
      <w:tblPr>
        <w:tblW w:w="6077" w:type="dxa"/>
        <w:jc w:val="left"/>
        <w:tblInd w:w="0" w:type="dxa"/>
        <w:tblCellMar>
          <w:top w:w="0" w:type="dxa"/>
          <w:left w:w="0" w:type="dxa"/>
          <w:bottom w:w="0" w:type="dxa"/>
          <w:right w:w="0" w:type="dxa"/>
        </w:tblCellMar>
      </w:tblPr>
      <w:tblGrid>
        <w:gridCol w:w="346"/>
        <w:gridCol w:w="573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7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loans receivable, net balances include nonaccrual loans.</w:t>
            </w:r>
          </w:p>
        </w:tc>
      </w:tr>
    </w:tbl>
    <w:tbl>
      <w:tblPr>
        <w:tblW w:w="10205" w:type="dxa"/>
        <w:jc w:val="left"/>
        <w:tblInd w:w="0" w:type="dxa"/>
        <w:tblCellMar>
          <w:top w:w="0" w:type="dxa"/>
          <w:left w:w="0" w:type="dxa"/>
          <w:bottom w:w="0" w:type="dxa"/>
          <w:right w:w="0" w:type="dxa"/>
        </w:tblCellMar>
      </w:tblPr>
      <w:tblGrid>
        <w:gridCol w:w="337"/>
        <w:gridCol w:w="9868"/>
      </w:tblGrid>
      <w:tr>
        <w:trPr/>
        <w:tc>
          <w:tcPr>
            <w:tcW w:w="33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6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net deferred fee recognition of $1.8 million and $2.1 million for the three months ended March 31, 2023 and 2022, respectively.</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Net Interest Income. </w:t>
      </w:r>
      <w:r>
        <w:rPr>
          <w:rFonts w:ascii="Times New Roman;Times;serif" w:hAnsi="Times New Roman;Times;serif"/>
          <w:sz w:val="20"/>
        </w:rPr>
        <w:t xml:space="preserve">Net interest income increased $7.9 million to $30.7 million for the three months ended March 31, 2023, from $22.7 million for the three months ended March 31, 2022. This increase was primarily the result of an increase in loans and variable rate interest-earning assets repricing higher following recent increases in market interest rates. Interest income increased $14.0 million, primarily due to an increase of $12.9 million in interest income on loans receivable, including fees, impacted primarily by loan growth.  Interest expense increased $6.0 million, primarily as a result of higher interest rates.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Net interest margin (“NIM”) increased 46 basis points to 4.70% for the three months ended March 31, 2023, from 4.24% for the same quarter in the prior year.  The increase in NIM reflects new loan originations at higher interest rates and variable rate interest-earning assets repricing higher following recent increases in market interest rates.  The benefit of the higher rates and increase in interest earning assets was partially offset by rising deposit and borrowing costs.  Increases in average balances of higher costing CDs and borrowings placed additional pressure on NIM.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Interest income for the three months ended March 31, 2023, increased $14.0 million, to $38.6 million, from $24.6 million for the three months ended March 31, 2022. The increase during the period was primarily attributable to the $474.0 million increase in the average balance of total interest-earning assets and the 132 basis point increase in the average yield of total interest-earning assets.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compares average interest-earning asset balances, associated yields, and resulting changes in interest income for the three months ended March 31, 2023 and 2022:</w:t>
      </w:r>
    </w:p>
    <w:p>
      <w:pPr>
        <w:pStyle w:val="TextBody"/>
        <w:spacing w:before="0" w:after="200"/>
        <w:ind w:left="0" w:right="0" w:hanging="0"/>
        <w:jc w:val="both"/>
        <w:rPr/>
      </w:pPr>
      <w:r>
        <w:rPr/>
        <w:t>​</w:t>
      </w:r>
    </w:p>
    <w:tbl>
      <w:tblPr>
        <w:tblW w:w="10205" w:type="dxa"/>
        <w:jc w:val="left"/>
        <w:tblInd w:w="0" w:type="dxa"/>
        <w:tblCellMar>
          <w:top w:w="0" w:type="dxa"/>
          <w:left w:w="0" w:type="dxa"/>
          <w:bottom w:w="0" w:type="dxa"/>
          <w:right w:w="0" w:type="dxa"/>
        </w:tblCellMar>
      </w:tblPr>
      <w:tblGrid>
        <w:gridCol w:w="4017"/>
        <w:gridCol w:w="326"/>
        <w:gridCol w:w="211"/>
        <w:gridCol w:w="931"/>
        <w:gridCol w:w="326"/>
        <w:gridCol w:w="605"/>
        <w:gridCol w:w="361"/>
        <w:gridCol w:w="211"/>
        <w:gridCol w:w="931"/>
        <w:gridCol w:w="326"/>
        <w:gridCol w:w="605"/>
        <w:gridCol w:w="361"/>
        <w:gridCol w:w="211"/>
        <w:gridCol w:w="783"/>
      </w:tblGrid>
      <w:tr>
        <w:trPr/>
        <w:tc>
          <w:tcPr>
            <w:tcW w:w="40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550795" cy="175260"/>
                      <wp:effectExtent l="0" t="0" r="0" b="0"/>
                      <wp:wrapNone/>
                      <wp:docPr id="783" name="Frame783"/>
                      <a:graphic xmlns:a="http://schemas.openxmlformats.org/drawingml/2006/main">
                        <a:graphicData uri="http://schemas.microsoft.com/office/word/2010/wordprocessingShape">
                          <wps:wsp>
                            <wps:cNvSpPr txBox="1"/>
                            <wps:spPr>
                              <a:xfrm>
                                <a:off x="0" y="0"/>
                                <a:ext cx="2550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07010" cy="175260"/>
                      <wp:effectExtent l="0" t="0" r="0" b="0"/>
                      <wp:wrapNone/>
                      <wp:docPr id="784" name="Frame7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133985" cy="175260"/>
                      <wp:effectExtent l="0" t="0" r="0" b="0"/>
                      <wp:wrapNone/>
                      <wp:docPr id="785" name="Frame7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591185" cy="175260"/>
                      <wp:effectExtent l="0" t="0" r="0" b="0"/>
                      <wp:wrapNone/>
                      <wp:docPr id="786" name="Frame78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207010" cy="175260"/>
                      <wp:effectExtent l="0" t="0" r="0" b="0"/>
                      <wp:wrapNone/>
                      <wp:docPr id="787" name="Frame7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384175" cy="175260"/>
                      <wp:effectExtent l="0" t="0" r="0" b="0"/>
                      <wp:wrapNone/>
                      <wp:docPr id="788" name="Frame788"/>
                      <a:graphic xmlns:a="http://schemas.openxmlformats.org/drawingml/2006/main">
                        <a:graphicData uri="http://schemas.microsoft.com/office/word/2010/wordprocessingShape">
                          <wps:wsp>
                            <wps:cNvSpPr txBox="1"/>
                            <wps:spPr>
                              <a:xfrm>
                                <a:off x="0" y="0"/>
                                <a:ext cx="384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29235" cy="175260"/>
                      <wp:effectExtent l="0" t="0" r="0" b="0"/>
                      <wp:wrapNone/>
                      <wp:docPr id="789" name="Frame78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33985" cy="175260"/>
                      <wp:effectExtent l="0" t="0" r="0" b="0"/>
                      <wp:wrapNone/>
                      <wp:docPr id="790" name="Frame7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591185" cy="175260"/>
                      <wp:effectExtent l="0" t="0" r="0" b="0"/>
                      <wp:wrapNone/>
                      <wp:docPr id="791" name="Frame79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207010" cy="175260"/>
                      <wp:effectExtent l="0" t="0" r="0" b="0"/>
                      <wp:wrapNone/>
                      <wp:docPr id="792" name="Frame7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384175" cy="175260"/>
                      <wp:effectExtent l="0" t="0" r="0" b="0"/>
                      <wp:wrapNone/>
                      <wp:docPr id="793" name="Frame793"/>
                      <a:graphic xmlns:a="http://schemas.openxmlformats.org/drawingml/2006/main">
                        <a:graphicData uri="http://schemas.microsoft.com/office/word/2010/wordprocessingShape">
                          <wps:wsp>
                            <wps:cNvSpPr txBox="1"/>
                            <wps:spPr>
                              <a:xfrm>
                                <a:off x="0" y="0"/>
                                <a:ext cx="384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229235" cy="175260"/>
                      <wp:effectExtent l="0" t="0" r="0" b="0"/>
                      <wp:wrapNone/>
                      <wp:docPr id="794" name="Frame79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133985" cy="175260"/>
                      <wp:effectExtent l="0" t="0" r="0" b="0"/>
                      <wp:wrapNone/>
                      <wp:docPr id="795" name="Frame7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497205" cy="175260"/>
                      <wp:effectExtent l="0" t="0" r="0" b="0"/>
                      <wp:wrapNone/>
                      <wp:docPr id="796" name="Frame796"/>
                      <a:graphic xmlns:a="http://schemas.openxmlformats.org/drawingml/2006/main">
                        <a:graphicData uri="http://schemas.microsoft.com/office/word/2010/wordprocessingShape">
                          <wps:wsp>
                            <wps:cNvSpPr txBox="1"/>
                            <wps:spPr>
                              <a:xfrm>
                                <a:off x="0" y="0"/>
                                <a:ext cx="497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(Dollars in thousands)</w:t>
            </w:r>
          </w:p>
        </w:tc>
        <w:tc>
          <w:tcPr>
            <w:tcW w:w="326" w:type="dxa"/>
            <w:tcBorders/>
            <w:shd w:fill="auto" w:val="clear"/>
            <w:vAlign w:val="center"/>
          </w:tcPr>
          <w:p>
            <w:pPr>
              <w:pStyle w:val="TableContents"/>
              <w:spacing w:before="0" w:after="0"/>
              <w:ind w:left="0" w:right="0" w:hanging="0"/>
              <w:jc w:val="center"/>
              <w:rPr/>
            </w:pPr>
            <w:r>
              <w:rPr/>
              <w:t>​</w:t>
            </w:r>
          </w:p>
        </w:tc>
        <w:tc>
          <w:tcPr>
            <w:tcW w:w="5862" w:type="dxa"/>
            <w:gridSpan w:val="1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 </w:t>
            </w:r>
          </w:p>
        </w:tc>
      </w:tr>
      <w:tr>
        <w:trPr/>
        <w:tc>
          <w:tcPr>
            <w:tcW w:w="401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7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shd w:fill="auto" w:val="clear"/>
            <w:vAlign w:val="center"/>
          </w:tcPr>
          <w:p>
            <w:pPr>
              <w:pStyle w:val="TableContents"/>
              <w:spacing w:before="0" w:after="0"/>
              <w:ind w:left="0" w:right="0" w:hanging="0"/>
              <w:rPr/>
            </w:pPr>
            <w:r>
              <w:rPr/>
              <w:t>​</w:t>
            </w:r>
          </w:p>
        </w:tc>
        <w:tc>
          <w:tcPr>
            <w:tcW w:w="207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61" w:type="dxa"/>
            <w:tcBorders/>
            <w:shd w:fill="auto" w:val="clear"/>
            <w:vAlign w:val="center"/>
          </w:tcPr>
          <w:p>
            <w:pPr>
              <w:pStyle w:val="TableContents"/>
              <w:spacing w:before="0" w:after="0"/>
              <w:ind w:left="0" w:right="0" w:hanging="0"/>
              <w:rPr/>
            </w:pPr>
            <w:r>
              <w:rPr/>
              <w:t>​</w:t>
            </w:r>
          </w:p>
        </w:tc>
        <w:tc>
          <w:tcPr>
            <w:tcW w:w="994" w:type="dxa"/>
            <w:gridSpan w:val="2"/>
            <w:tcBorders/>
            <w:shd w:fill="auto" w:val="clear"/>
            <w:vAlign w:val="center"/>
          </w:tcPr>
          <w:p>
            <w:pPr>
              <w:pStyle w:val="TableContents"/>
              <w:spacing w:before="0" w:after="0"/>
              <w:ind w:left="0" w:right="0" w:hanging="0"/>
              <w:jc w:val="center"/>
              <w:rPr/>
            </w:pPr>
            <w:r>
              <w:rPr/>
              <w:t>​</w:t>
            </w:r>
          </w:p>
        </w:tc>
      </w:tr>
      <w:tr>
        <w:trPr/>
        <w:tc>
          <w:tcPr>
            <w:tcW w:w="40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jc w:val="center"/>
              <w:rPr/>
            </w:pPr>
            <w:r>
              <w:rPr/>
              <w:t>​</w:t>
            </w:r>
          </w:p>
        </w:tc>
        <w:tc>
          <w:tcPr>
            <w:tcW w:w="605"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jc w:val="center"/>
              <w:rPr/>
            </w:pPr>
            <w:r>
              <w:rPr/>
              <w:t>​</w:t>
            </w:r>
          </w:p>
        </w:tc>
        <w:tc>
          <w:tcPr>
            <w:tcW w:w="605"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w:t>
            </w:r>
          </w:p>
        </w:tc>
        <w:tc>
          <w:tcPr>
            <w:tcW w:w="994"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Change</w:t>
            </w:r>
          </w:p>
        </w:tc>
      </w:tr>
      <w:tr>
        <w:trPr/>
        <w:tc>
          <w:tcPr>
            <w:tcW w:w="40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shd w:fill="auto" w:val="clear"/>
            <w:vAlign w:val="center"/>
          </w:tcPr>
          <w:p>
            <w:pPr>
              <w:pStyle w:val="TableContents"/>
              <w:spacing w:before="0" w:after="0"/>
              <w:ind w:left="0" w:right="0" w:hanging="0"/>
              <w:jc w:val="center"/>
              <w:rPr/>
            </w:pPr>
            <w:r>
              <w:rPr/>
              <w:t>​</w:t>
            </w:r>
          </w:p>
        </w:tc>
        <w:tc>
          <w:tcPr>
            <w:tcW w:w="60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shd w:fill="auto" w:val="clear"/>
            <w:vAlign w:val="center"/>
          </w:tcPr>
          <w:p>
            <w:pPr>
              <w:pStyle w:val="TableContents"/>
              <w:spacing w:before="0" w:after="0"/>
              <w:ind w:left="0" w:right="0" w:hanging="0"/>
              <w:jc w:val="center"/>
              <w:rPr/>
            </w:pPr>
            <w:r>
              <w:rPr/>
              <w:t>​</w:t>
            </w:r>
          </w:p>
        </w:tc>
        <w:tc>
          <w:tcPr>
            <w:tcW w:w="605"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shd w:fill="auto" w:val="clear"/>
            <w:vAlign w:val="center"/>
          </w:tcPr>
          <w:p>
            <w:pPr>
              <w:pStyle w:val="TableContents"/>
              <w:spacing w:before="0" w:after="0"/>
              <w:ind w:left="0" w:right="0" w:hanging="0"/>
              <w:rPr/>
            </w:pPr>
            <w:r>
              <w:rPr/>
              <w:t>​</w:t>
            </w:r>
          </w:p>
        </w:tc>
        <w:tc>
          <w:tcPr>
            <w:tcW w:w="994"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 Interest</w:t>
            </w:r>
          </w:p>
        </w:tc>
      </w:tr>
      <w:tr>
        <w:trPr/>
        <w:tc>
          <w:tcPr>
            <w:tcW w:w="401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shd w:fill="auto" w:val="clear"/>
            <w:vAlign w:val="center"/>
          </w:tcPr>
          <w:p>
            <w:pPr>
              <w:pStyle w:val="TableContents"/>
              <w:spacing w:before="0" w:after="0"/>
              <w:ind w:left="0" w:right="0" w:hanging="0"/>
              <w:jc w:val="center"/>
              <w:rPr/>
            </w:pPr>
            <w:r>
              <w:rPr/>
              <w:t>​</w:t>
            </w:r>
          </w:p>
        </w:tc>
        <w:tc>
          <w:tcPr>
            <w:tcW w:w="60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shd w:fill="auto" w:val="clear"/>
            <w:vAlign w:val="center"/>
          </w:tcPr>
          <w:p>
            <w:pPr>
              <w:pStyle w:val="TableContents"/>
              <w:spacing w:before="0" w:after="0"/>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shd w:fill="auto" w:val="clear"/>
            <w:vAlign w:val="center"/>
          </w:tcPr>
          <w:p>
            <w:pPr>
              <w:pStyle w:val="TableContents"/>
              <w:spacing w:before="0" w:after="0"/>
              <w:ind w:left="0" w:right="0" w:hanging="0"/>
              <w:jc w:val="center"/>
              <w:rPr/>
            </w:pPr>
            <w:r>
              <w:rPr/>
              <w:t>​</w:t>
            </w:r>
          </w:p>
        </w:tc>
        <w:tc>
          <w:tcPr>
            <w:tcW w:w="60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shd w:fill="auto" w:val="clear"/>
            <w:vAlign w:val="center"/>
          </w:tcPr>
          <w:p>
            <w:pPr>
              <w:pStyle w:val="TableContents"/>
              <w:spacing w:before="0" w:after="0"/>
              <w:ind w:left="0" w:right="0" w:hanging="0"/>
              <w:rPr/>
            </w:pPr>
            <w:r>
              <w:rPr/>
              <w:t>​</w:t>
            </w:r>
          </w:p>
        </w:tc>
        <w:tc>
          <w:tcPr>
            <w:tcW w:w="9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Income</w:t>
            </w:r>
          </w:p>
        </w:tc>
      </w:tr>
      <w:tr>
        <w:trPr/>
        <w:tc>
          <w:tcPr>
            <w:tcW w:w="4017"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Loans receivable, net and loans held for sale </w:t>
            </w:r>
            <w:r>
              <w:rPr>
                <w:rFonts w:ascii="Times New Roman;Times;serif" w:hAnsi="Times New Roman;Times;serif"/>
                <w:sz w:val="15"/>
              </w:rPr>
              <w:t>(1)</w:t>
            </w: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2,292,364</w:t>
            </w:r>
          </w:p>
        </w:tc>
        <w:tc>
          <w:tcPr>
            <w:tcW w:w="326" w:type="dxa"/>
            <w:tcBorders/>
            <w:shd w:fill="CCEEFF" w:val="clear"/>
            <w:vAlign w:val="center"/>
          </w:tcPr>
          <w:p>
            <w:pPr>
              <w:pStyle w:val="TableContents"/>
              <w:spacing w:before="0" w:after="0"/>
              <w:ind w:left="0" w:right="0" w:hanging="0"/>
              <w:rPr/>
            </w:pPr>
            <w:r>
              <w:rPr/>
              <w:t>    </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1,834,443</w:t>
            </w:r>
          </w:p>
        </w:tc>
        <w:tc>
          <w:tcPr>
            <w:tcW w:w="326" w:type="dxa"/>
            <w:tcBorders/>
            <w:shd w:fill="CCEEFF" w:val="clear"/>
            <w:vAlign w:val="center"/>
          </w:tcPr>
          <w:p>
            <w:pPr>
              <w:pStyle w:val="TableContents"/>
              <w:spacing w:before="0" w:after="0"/>
              <w:ind w:left="0" w:right="0" w:hanging="0"/>
              <w:rPr/>
            </w:pPr>
            <w:r>
              <w:rPr/>
              <w:t>    </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12,945</w:t>
            </w:r>
          </w:p>
        </w:tc>
      </w:tr>
      <w:tr>
        <w:trPr/>
        <w:tc>
          <w:tcPr>
            <w:tcW w:w="40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Taxable mortgage-backed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81,796</w:t>
            </w:r>
          </w:p>
        </w:tc>
        <w:tc>
          <w:tcPr>
            <w:tcW w:w="326" w:type="dxa"/>
            <w:tcBorders/>
            <w:shd w:fill="auto" w:val="clear"/>
            <w:vAlign w:val="cente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91,678</w:t>
            </w:r>
          </w:p>
        </w:tc>
        <w:tc>
          <w:tcPr>
            <w:tcW w:w="326" w:type="dxa"/>
            <w:tcBorders/>
            <w:shd w:fill="auto" w:val="clear"/>
            <w:vAlign w:val="cente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40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Taxable AFS investment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59,037</w:t>
            </w:r>
          </w:p>
        </w:tc>
        <w:tc>
          <w:tcPr>
            <w:tcW w:w="326" w:type="dxa"/>
            <w:tcBorders/>
            <w:shd w:fill="CCEEFF" w:val="clear"/>
            <w:vAlign w:val="center"/>
          </w:tcPr>
          <w:p>
            <w:pPr>
              <w:pStyle w:val="TableContents"/>
              <w:spacing w:before="0" w:after="0"/>
              <w:ind w:left="0" w:right="0" w:hanging="0"/>
              <w:rPr/>
            </w:pPr>
            <w:r>
              <w:rPr/>
              <w:t> </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60,422</w:t>
            </w:r>
          </w:p>
        </w:tc>
        <w:tc>
          <w:tcPr>
            <w:tcW w:w="326" w:type="dxa"/>
            <w:tcBorders/>
            <w:shd w:fill="CCEEFF" w:val="clear"/>
            <w:vAlign w:val="center"/>
          </w:tcPr>
          <w:p>
            <w:pPr>
              <w:pStyle w:val="TableContents"/>
              <w:spacing w:before="0" w:after="0"/>
              <w:ind w:left="0" w:right="0" w:hanging="0"/>
              <w:rPr/>
            </w:pPr>
            <w:r>
              <w:rPr/>
              <w:t> </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40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Tax-exempt AFS investment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129,843</w:t>
            </w:r>
          </w:p>
        </w:tc>
        <w:tc>
          <w:tcPr>
            <w:tcW w:w="326" w:type="dxa"/>
            <w:tcBorders/>
            <w:shd w:fill="auto" w:val="clear"/>
            <w:vAlign w:val="center"/>
          </w:tcPr>
          <w:p>
            <w:pPr>
              <w:pStyle w:val="TableContents"/>
              <w:spacing w:before="0" w:after="0"/>
              <w:ind w:left="0" w:right="0" w:hanging="0"/>
              <w:rPr/>
            </w:pPr>
            <w:r>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126,508</w:t>
            </w:r>
          </w:p>
        </w:tc>
        <w:tc>
          <w:tcPr>
            <w:tcW w:w="326" w:type="dxa"/>
            <w:tcBorders/>
            <w:shd w:fill="auto" w:val="clear"/>
            <w:vAlign w:val="center"/>
          </w:tcPr>
          <w:p>
            <w:pPr>
              <w:pStyle w:val="TableContents"/>
              <w:spacing w:before="0" w:after="0"/>
              <w:ind w:left="0" w:right="0" w:hanging="0"/>
              <w:rPr/>
            </w:pPr>
            <w:r>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0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Taxable HTM investment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0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FHLB stock</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6,335</w:t>
            </w:r>
          </w:p>
        </w:tc>
        <w:tc>
          <w:tcPr>
            <w:tcW w:w="326" w:type="dxa"/>
            <w:tcBorders/>
            <w:shd w:fill="auto" w:val="clear"/>
            <w:vAlign w:val="cente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4,302</w:t>
            </w:r>
          </w:p>
        </w:tc>
        <w:tc>
          <w:tcPr>
            <w:tcW w:w="326" w:type="dxa"/>
            <w:tcBorders/>
            <w:shd w:fill="auto" w:val="clear"/>
            <w:vAlign w:val="cente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40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Interest-bearing deposits at other financial institutions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69,664</w:t>
            </w:r>
          </w:p>
        </w:tc>
        <w:tc>
          <w:tcPr>
            <w:tcW w:w="326" w:type="dxa"/>
            <w:tcBorders/>
            <w:shd w:fill="CCEEFF" w:val="clear"/>
            <w:vAlign w:val="center"/>
          </w:tcPr>
          <w:p>
            <w:pPr>
              <w:pStyle w:val="TableContents"/>
              <w:spacing w:before="0" w:after="0"/>
              <w:ind w:left="0" w:right="0" w:hanging="0"/>
              <w:rPr/>
            </w:pPr>
            <w:r>
              <w:rPr/>
              <w:t> </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48,672</w:t>
            </w:r>
          </w:p>
        </w:tc>
        <w:tc>
          <w:tcPr>
            <w:tcW w:w="326" w:type="dxa"/>
            <w:tcBorders/>
            <w:shd w:fill="CCEEFF" w:val="clear"/>
            <w:vAlign w:val="center"/>
          </w:tcPr>
          <w:p>
            <w:pPr>
              <w:pStyle w:val="TableContents"/>
              <w:spacing w:before="0" w:after="0"/>
              <w:ind w:left="0" w:right="0" w:hanging="0"/>
              <w:rPr/>
            </w:pPr>
            <w:r>
              <w:rPr/>
              <w:t> </w:t>
            </w:r>
          </w:p>
        </w:tc>
        <w:tc>
          <w:tcPr>
            <w:tcW w:w="6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r>
      <w:tr>
        <w:trPr/>
        <w:tc>
          <w:tcPr>
            <w:tcW w:w="40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interest-earning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2,647,539</w:t>
            </w:r>
          </w:p>
        </w:tc>
        <w:tc>
          <w:tcPr>
            <w:tcW w:w="326" w:type="dxa"/>
            <w:tcBorders/>
            <w:shd w:fill="auto" w:val="clear"/>
            <w:vAlign w:val="cente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2,173,525</w:t>
            </w:r>
          </w:p>
        </w:tc>
        <w:tc>
          <w:tcPr>
            <w:tcW w:w="326" w:type="dxa"/>
            <w:tcBorders/>
            <w:shd w:fill="auto" w:val="clear"/>
            <w:vAlign w:val="center"/>
          </w:tcPr>
          <w:p>
            <w:pPr>
              <w:pStyle w:val="TableContents"/>
              <w:spacing w:before="0" w:after="0"/>
              <w:ind w:left="0" w:right="0" w:hanging="0"/>
              <w:rPr/>
            </w:pPr>
            <w:r>
              <w:rPr/>
              <w:t> </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13,986</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___________________________</w:t>
      </w:r>
    </w:p>
    <w:tbl>
      <w:tblPr>
        <w:tblW w:w="6077" w:type="dxa"/>
        <w:jc w:val="left"/>
        <w:tblInd w:w="0" w:type="dxa"/>
        <w:tblCellMar>
          <w:top w:w="0" w:type="dxa"/>
          <w:left w:w="0" w:type="dxa"/>
          <w:bottom w:w="0" w:type="dxa"/>
          <w:right w:w="0" w:type="dxa"/>
        </w:tblCellMar>
      </w:tblPr>
      <w:tblGrid>
        <w:gridCol w:w="346"/>
        <w:gridCol w:w="573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7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loans receivable, net balances include nonaccrual loans.</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Interest Expense. </w:t>
      </w:r>
      <w:r>
        <w:rPr>
          <w:rFonts w:ascii="Times New Roman;Times;serif" w:hAnsi="Times New Roman;Times;serif"/>
          <w:sz w:val="20"/>
        </w:rPr>
        <w:t>Interest expense increased $6.0 million to $8.0 million for the three months ended March 31, 2023, from $1.9 million for the same prior year quarter, primarily due to an increase of interest expense on deposits of $5.3 million and on borrowings of $708,000. The average cost of funds for total interest-bearing liabilities increased 122 basis points to 1.77% for the three months ended March 31, 2023, from 0.55% for the three months ended March 31, 2022. The increase in interest expense was predominantly due to the increase in cost for market rate deposits and the increase in the average balance of borrowings.  The average cost of total interest-bearing deposits increased 120 basis points to 1.59%, for the three months ended March 31, 2023, compared to 0.39%, for the three months ended March 31, 2022. The average cost of funds, including noninterest-bearing checking, increased 93 basis points to 1.32% for the three months ended March 31, 2023, from 0.39% for the three months ended March 31, 2022.</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details average balances for cost of funds on interest-bearing liabilities and the change in interest expense for the three months ended March 31, 2023 and 2022:</w:t>
      </w:r>
    </w:p>
    <w:tbl>
      <w:tblPr>
        <w:tblW w:w="8877" w:type="dxa"/>
        <w:jc w:val="left"/>
        <w:tblInd w:w="0" w:type="dxa"/>
        <w:tblCellMar>
          <w:top w:w="0" w:type="dxa"/>
          <w:left w:w="0" w:type="dxa"/>
          <w:bottom w:w="0" w:type="dxa"/>
          <w:right w:w="0" w:type="dxa"/>
        </w:tblCellMar>
      </w:tblPr>
      <w:tblGrid>
        <w:gridCol w:w="2701"/>
        <w:gridCol w:w="326"/>
        <w:gridCol w:w="211"/>
        <w:gridCol w:w="931"/>
        <w:gridCol w:w="326"/>
        <w:gridCol w:w="616"/>
        <w:gridCol w:w="361"/>
        <w:gridCol w:w="211"/>
        <w:gridCol w:w="931"/>
        <w:gridCol w:w="326"/>
        <w:gridCol w:w="616"/>
        <w:gridCol w:w="361"/>
        <w:gridCol w:w="228"/>
        <w:gridCol w:w="732"/>
      </w:tblGrid>
      <w:tr>
        <w:trPr/>
        <w:tc>
          <w:tcPr>
            <w:tcW w:w="2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715135" cy="175260"/>
                      <wp:effectExtent l="0" t="0" r="0" b="0"/>
                      <wp:wrapNone/>
                      <wp:docPr id="797" name="Frame797"/>
                      <a:graphic xmlns:a="http://schemas.openxmlformats.org/drawingml/2006/main">
                        <a:graphicData uri="http://schemas.microsoft.com/office/word/2010/wordprocessingShape">
                          <wps:wsp>
                            <wps:cNvSpPr txBox="1"/>
                            <wps:spPr>
                              <a:xfrm>
                                <a:off x="0" y="0"/>
                                <a:ext cx="1715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207010" cy="175260"/>
                      <wp:effectExtent l="0" t="0" r="0" b="0"/>
                      <wp:wrapNone/>
                      <wp:docPr id="798" name="Frame7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133985" cy="175260"/>
                      <wp:effectExtent l="0" t="0" r="0" b="0"/>
                      <wp:wrapNone/>
                      <wp:docPr id="799" name="Frame7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591185" cy="175260"/>
                      <wp:effectExtent l="0" t="0" r="0" b="0"/>
                      <wp:wrapNone/>
                      <wp:docPr id="800" name="Frame80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207010" cy="175260"/>
                      <wp:effectExtent l="0" t="0" r="0" b="0"/>
                      <wp:wrapNone/>
                      <wp:docPr id="801" name="Frame8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391160" cy="175260"/>
                      <wp:effectExtent l="0" t="0" r="0" b="0"/>
                      <wp:wrapNone/>
                      <wp:docPr id="802" name="Frame802"/>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229235" cy="175260"/>
                      <wp:effectExtent l="0" t="0" r="0" b="0"/>
                      <wp:wrapNone/>
                      <wp:docPr id="803" name="Frame80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33985" cy="175260"/>
                      <wp:effectExtent l="0" t="0" r="0" b="0"/>
                      <wp:wrapNone/>
                      <wp:docPr id="804" name="Frame8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591185" cy="175260"/>
                      <wp:effectExtent l="0" t="0" r="0" b="0"/>
                      <wp:wrapNone/>
                      <wp:docPr id="805" name="Frame80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207010" cy="175260"/>
                      <wp:effectExtent l="0" t="0" r="0" b="0"/>
                      <wp:wrapNone/>
                      <wp:docPr id="806" name="Frame8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391160" cy="175260"/>
                      <wp:effectExtent l="0" t="0" r="0" b="0"/>
                      <wp:wrapNone/>
                      <wp:docPr id="807" name="Frame807"/>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229235" cy="175260"/>
                      <wp:effectExtent l="0" t="0" r="0" b="0"/>
                      <wp:wrapNone/>
                      <wp:docPr id="808" name="Frame80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144780" cy="175260"/>
                      <wp:effectExtent l="0" t="0" r="0" b="0"/>
                      <wp:wrapNone/>
                      <wp:docPr id="809" name="Frame809"/>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464820" cy="175260"/>
                      <wp:effectExtent l="0" t="0" r="0" b="0"/>
                      <wp:wrapNone/>
                      <wp:docPr id="810" name="Frame810"/>
                      <a:graphic xmlns:a="http://schemas.openxmlformats.org/drawingml/2006/main">
                        <a:graphicData uri="http://schemas.microsoft.com/office/word/2010/wordprocessingShape">
                          <wps:wsp>
                            <wps:cNvSpPr txBox="1"/>
                            <wps:spPr>
                              <a:xfrm>
                                <a:off x="0" y="0"/>
                                <a:ext cx="464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(Dollars in thousands)</w:t>
            </w:r>
          </w:p>
        </w:tc>
        <w:tc>
          <w:tcPr>
            <w:tcW w:w="326" w:type="dxa"/>
            <w:tcBorders/>
            <w:shd w:fill="auto" w:val="clear"/>
            <w:vAlign w:val="center"/>
          </w:tcPr>
          <w:p>
            <w:pPr>
              <w:pStyle w:val="TableContents"/>
              <w:spacing w:before="0" w:after="0"/>
              <w:ind w:left="0" w:right="0" w:hanging="0"/>
              <w:jc w:val="center"/>
              <w:rPr/>
            </w:pPr>
            <w:r>
              <w:rPr/>
              <w:t>​</w:t>
            </w:r>
          </w:p>
        </w:tc>
        <w:tc>
          <w:tcPr>
            <w:tcW w:w="5850" w:type="dxa"/>
            <w:gridSpan w:val="1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 </w:t>
            </w:r>
          </w:p>
        </w:tc>
      </w:tr>
      <w:tr>
        <w:trPr/>
        <w:tc>
          <w:tcPr>
            <w:tcW w:w="27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8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shd w:fill="auto" w:val="clear"/>
            <w:vAlign w:val="center"/>
          </w:tcPr>
          <w:p>
            <w:pPr>
              <w:pStyle w:val="TableContents"/>
              <w:spacing w:before="0" w:after="0"/>
              <w:ind w:left="0" w:right="0" w:hanging="0"/>
              <w:rPr/>
            </w:pPr>
            <w:r>
              <w:rPr/>
              <w:t>​</w:t>
            </w:r>
          </w:p>
        </w:tc>
        <w:tc>
          <w:tcPr>
            <w:tcW w:w="208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61"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pPr>
            <w:r>
              <w:rPr/>
              <w:t>​</w:t>
            </w:r>
          </w:p>
        </w:tc>
      </w:tr>
      <w:tr>
        <w:trPr/>
        <w:tc>
          <w:tcPr>
            <w:tcW w:w="27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jc w:val="center"/>
              <w:rPr/>
            </w:pPr>
            <w:r>
              <w:rPr/>
              <w:t>    </w:t>
            </w:r>
          </w:p>
        </w:tc>
        <w:tc>
          <w:tcPr>
            <w:tcW w:w="61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jc w:val="center"/>
              <w:rPr/>
            </w:pPr>
            <w:r>
              <w:rPr/>
              <w:t>    </w:t>
            </w:r>
          </w:p>
        </w:tc>
        <w:tc>
          <w:tcPr>
            <w:tcW w:w="61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    </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Change</w:t>
            </w:r>
          </w:p>
        </w:tc>
      </w:tr>
      <w:tr>
        <w:trPr/>
        <w:tc>
          <w:tcPr>
            <w:tcW w:w="27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shd w:fill="auto" w:val="clear"/>
            <w:vAlign w:val="center"/>
          </w:tcPr>
          <w:p>
            <w:pPr>
              <w:pStyle w:val="TableContents"/>
              <w:spacing w:before="0" w:after="0"/>
              <w:ind w:left="0" w:right="0" w:hanging="0"/>
              <w:jc w:val="center"/>
              <w:rPr/>
            </w:pPr>
            <w:r>
              <w:rPr/>
              <w:t>​</w:t>
            </w:r>
          </w:p>
        </w:tc>
        <w:tc>
          <w:tcPr>
            <w:tcW w:w="6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shd w:fill="auto" w:val="clear"/>
            <w:vAlign w:val="center"/>
          </w:tcPr>
          <w:p>
            <w:pPr>
              <w:pStyle w:val="TableContents"/>
              <w:spacing w:before="0" w:after="0"/>
              <w:ind w:left="0" w:right="0" w:hanging="0"/>
              <w:jc w:val="center"/>
              <w:rPr/>
            </w:pPr>
            <w:r>
              <w:rPr/>
              <w:t>​</w:t>
            </w:r>
          </w:p>
        </w:tc>
        <w:tc>
          <w:tcPr>
            <w:tcW w:w="6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 Interest</w:t>
            </w:r>
          </w:p>
        </w:tc>
      </w:tr>
      <w:tr>
        <w:trPr/>
        <w:tc>
          <w:tcPr>
            <w:tcW w:w="27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shd w:fill="auto" w:val="clear"/>
            <w:vAlign w:val="center"/>
          </w:tcPr>
          <w:p>
            <w:pPr>
              <w:pStyle w:val="TableContents"/>
              <w:spacing w:before="0" w:after="0"/>
              <w:ind w:left="0" w:right="0" w:hanging="0"/>
              <w:jc w:val="center"/>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shd w:fill="auto" w:val="clear"/>
            <w:vAlign w:val="center"/>
          </w:tcPr>
          <w:p>
            <w:pPr>
              <w:pStyle w:val="TableContents"/>
              <w:spacing w:before="0" w:after="0"/>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shd w:fill="auto" w:val="clear"/>
            <w:vAlign w:val="center"/>
          </w:tcPr>
          <w:p>
            <w:pPr>
              <w:pStyle w:val="TableContents"/>
              <w:spacing w:before="0" w:after="0"/>
              <w:ind w:left="0" w:right="0" w:hanging="0"/>
              <w:jc w:val="center"/>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shd w:fill="auto" w:val="clear"/>
            <w:vAlign w:val="center"/>
          </w:tcPr>
          <w:p>
            <w:pPr>
              <w:pStyle w:val="TableContents"/>
              <w:spacing w:before="0" w:after="0"/>
              <w:ind w:left="0" w:right="0" w:hanging="0"/>
              <w:rPr/>
            </w:pPr>
            <w:r>
              <w:rPr/>
              <w:t>​</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Expense</w:t>
            </w:r>
          </w:p>
        </w:tc>
      </w:tr>
      <w:tr>
        <w:trPr/>
        <w:tc>
          <w:tcPr>
            <w:tcW w:w="27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Savings and money market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692,841</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738,597</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w:t>
            </w:r>
          </w:p>
        </w:tc>
      </w:tr>
      <w:tr>
        <w:trPr/>
        <w:tc>
          <w:tcPr>
            <w:tcW w:w="2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Interest-bearing checking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145,434</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230,956</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61"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7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849,762</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354,722</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0.85</w:t>
            </w:r>
          </w:p>
        </w:tc>
        <w:tc>
          <w:tcPr>
            <w:tcW w:w="361"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 </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4,587</w:t>
            </w:r>
          </w:p>
        </w:tc>
      </w:tr>
      <w:tr>
        <w:trPr/>
        <w:tc>
          <w:tcPr>
            <w:tcW w:w="2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Borrowings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79,339</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31,006</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61"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 </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27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Subordinated note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49,467</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49,400</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61"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interest-bearing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1,816,843</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1,404,681</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6,046</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Provision for Credit Losses.</w:t>
      </w:r>
      <w:r>
        <w:rPr>
          <w:rFonts w:ascii="Times New Roman;Times;serif" w:hAnsi="Times New Roman;Times;serif"/>
          <w:sz w:val="20"/>
        </w:rPr>
        <w:t xml:space="preserve"> For the three months ended March 31, 2023, the provision for credit losses on loans was $2.4 million, compared to $852,000 for the three months ended March 31, 2022. The provision for credit losses on loans reflects the increase in total loans receivable and increased reserves on individually evaluated nonaccrual loans. For the three months ended March 31, 2023, the Company recorded a reversal of the provision for credit losses on unfunded loan commitments of $249,000, compared to a provision for credit losses on unfunded loan commitments of $191,000 for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three months ended March 31, 2022, as a result of a decrease in total unfunded commitments during current quarter compared to the comparable quarter last year.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2023, net loan charge-offs totaled $410,000, compared to $263,000 during the three months ended March 31, 2022.  The increase was primarily due to increases in net charge-offs of $109,000 in indirect home improvement loans and $44,000 in marine loans.  A further decline in national and local economic conditions, as a result the effects of inflation, a potential recession or slowed economic growth, among other economic factors, could result in a material increase in the ACL for loans and may adversely affect the Company’s financial condition and result of operations.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Noninterest Income. </w:t>
      </w:r>
      <w:r>
        <w:rPr>
          <w:rFonts w:ascii="Times New Roman;Times;serif" w:hAnsi="Times New Roman;Times;serif"/>
          <w:sz w:val="20"/>
        </w:rPr>
        <w:t xml:space="preserve">Noninterest income decreased $657,000, to $5.2 million for the three months ended March 31, 2023, from $5.9 million for the three months ended March 31, 2022. The decrease reflects a $2.4 million decrease in gain on sale of loans due primarily to a reduction in origination and sales volume of loans held for sale and a reduction in the gross margin of sold loans, partially offset by an increase of $1.6 million in service charges and fee income primarily as a result of less amortization of mortgage servicing rights reflecting increased market interest rates and increased servicing fees from non-portfolio serviced loans.  Gross margin on home loan sales increased to 3.05% for the three months ended March 31, 2023, from 2.94% for the three months ended March 31, 2022.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Noninterest Expense. </w:t>
      </w:r>
      <w:r>
        <w:rPr>
          <w:rFonts w:ascii="Times New Roman;Times;serif" w:hAnsi="Times New Roman;Times;serif"/>
          <w:sz w:val="20"/>
        </w:rPr>
        <w:t>Noninterest expense increased $4.5 million to $23.5 million for the three months ended March 31, 2023, from $19.1 million for the three months ended March 31, 2022. The increase was primarily a result of a $1.9 million increase in salaries and benefits, partially attributable to an increase in full-time employees.  Other increases included $1.5 million in acquisition costs due to the Branch Purchase, $423,000 in FDIC insurance due to asset growth and an increase in assessment rates, $297,000 in occupancy expense, and $286,000 in amortization of CDI, partially offset by a $315,000 decrease in professional and board fees.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efficiency ratio, which is noninterest expense as a percentage of net interest income and noninterest income, improved slightly to 65.56% for the three months ended March 31, 2023, compared to 66.67% for the three months ended March 31, 2022, primarily representing the increase in loans receivable interest income, due to higher loan interest rates, partially offset by higher costs of deposits and borrowings.</w:t>
      </w:r>
    </w:p>
    <w:p>
      <w:pPr>
        <w:pStyle w:val="TextBody"/>
        <w:spacing w:before="0" w:after="180"/>
        <w:ind w:left="0" w:right="0" w:hanging="0"/>
        <w:jc w:val="both"/>
        <w:rPr>
          <w:rFonts w:ascii="Times New Roman;Times;serif" w:hAnsi="Times New Roman;Times;serif"/>
          <w:sz w:val="20"/>
        </w:rPr>
      </w:pPr>
      <w:r>
        <w:rPr>
          <w:rFonts w:ascii="Times New Roman;Times;serif" w:hAnsi="Times New Roman;Times;serif"/>
          <w:b/>
          <w:i/>
          <w:sz w:val="20"/>
        </w:rPr>
        <w:t>Provision for Income Tax.</w:t>
      </w:r>
      <w:r>
        <w:rPr>
          <w:rFonts w:ascii="Times New Roman;Times;serif" w:hAnsi="Times New Roman;Times;serif"/>
          <w:sz w:val="20"/>
        </w:rPr>
        <w:t xml:space="preserve"> For the three months ended March 31, 2023, the Company recorded a provision for income tax expense of $2.0 million as compared to $1.6 million for the three months ended March 31, 2022. The increase in the income tax provision was primarily due to a $1.8 million increase in pre-tax income during the three months ended March 31, 2023, as compared to the same quarter last year.  The effective corporate income tax rates for the three months ended March 31, 2023 and 2022 were 19.8% and 19.1%, respectively.  The increase in the effective corporate income tax rate was attributable to a decrease in nontaxable income between periods.</w:t>
      </w:r>
    </w:p>
    <w:p>
      <w:pPr>
        <w:pStyle w:val="TextBody"/>
        <w:spacing w:before="240" w:after="200"/>
        <w:ind w:left="0" w:right="0" w:hanging="0"/>
        <w:rPr>
          <w:rFonts w:ascii="Times New Roman;Times;serif" w:hAnsi="Times New Roman;Times;serif"/>
          <w:b/>
          <w:sz w:val="20"/>
        </w:rPr>
      </w:pPr>
      <w:r>
        <w:rPr>
          <w:rFonts w:ascii="Times New Roman;Times;serif" w:hAnsi="Times New Roman;Times;serif"/>
          <w:b/>
          <w:sz w:val="20"/>
        </w:rPr>
        <w:t>Liquidity</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Management maintains a liquidity position that it believes will adequately provide funding for loan demand and deposit runoff that may occur in the normal course of business. The Company relies on a number of different sources in order to meet potential liquidity demands. The primary sources are increases in deposit accounts, FHLB advances,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Bank must maintain an adequate level of liquidity to ensure the availability of sufficient funds to fund its operations.  The Bank generally maintains sufficient cash and short-term investments to meet short-term liquidity needs. At March 31, 2023, the Bank’s total borrowing capacity was $641.4 million with the FHLB of Des Moines, with unused borrowing capacity of $633.5 million. The FHLB borrowing limit is based on certain categories of loans, primarily real estate loans that qualify as collateral for FHLB advances. At March 31, 2023, the Bank held approximately $944.3 million in loans that qualify as collateral for FHLB advances.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In addition to the availability of liquidity from the FHLB of Des Moines, the Bank maintained a short-term borrowing line with the FRB, with a current limit of $213.3 million, and a combined credit limit of $101.0 million in written federal funds lines of credit through correspondent banking relationships at March 31, 2023. The FRB borrowing limit is based on certain categories of loans, primarily consumer loans that qualify as collateral for FRB line of credit.  At March 31, 2023, the Bank held approximately $598.0 million in loans that qualify as collateral for the FRB line of credit.  Additionally, securities with a carrying value of $80.1 million were pledged primarily to provide contingent liquidity through the Bank Term Funding Program at the Federal Reserve Bank at March 31, 2023, with a current limit of $91.7 million.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Bank’s Asset and Liability Management Policy permits management to utilize brokered deposits up to 20% of deposits or $490.3 million at March 31, 2023. Total brokered deposits at March 31, 2023 were $319.0 million. Management utilizes brokered deposits to mitigate interest rate risk and to enhance liquidity when appropriate.</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fund withdrawals, and to fund loan commitments. At March 31, 2023, outstanding loan commitments, including unused lines of credit totaled $604.4 million.  The Company purchased no securities during the three months ended March 31, 2023. Securities purchased during the three months ended March 31, 2022 totaled $16.8 million. Securities repayments, maturities and sales in those quarters were $2.5 million and $3.3 million, respectively.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Bank’s liquidity is also affected by the volume of loans sold and loan principal payments.  During the three months  ended March 31, 2023 and 2022, the Bank sold $77.3 million and $301.1 million in loans and loan participation interests, respectively.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Bank’s liquidity has been positively impacted by increases in deposit levels. Total deposits increased $315.5 million during the three months ended March 31, 2023 primarily driven by the Branch Purchase with remaining assumed deposits of $382.1 million and growth in CDs. CDs scheduled to mature in three months or less at March 31, 2023, totaled $193.7 million. It is management’s policy to offer deposit rates that are competitive with other local financial institutions. Based on this strategy, management believes that a majority of maturing relationship deposits will remain with the Bank.  Excess liquidity from the Branch Purchase was used to repay borrowings.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For the remainder of 2023, we project that fixed commitments will include $1.4 million of operating lease payments and $6.4 million of scheduled payments and maturities of FHLB advances.  For information regarding our operating leases, see “Note 7 – Leases” of the Notes to Consolidated Financial Statements included in this report.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 a separate legal entity from the Bank, FS Bancorp, Inc. must provide for its own liquidity. In addition to its own operating expenses (many of which are paid to the Bank),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Dividends and other capital distributions from the Bank are subject to regulatory notice and certain restrictions. The Company currently expects to continue the current practice of paying quarterly cash dividends on common stock subject to the Board of Directors' discretion to modify or terminate this practice at any time and for any reason without prior notice. Our current quarterly common stock dividend rate is $0.25 per share, which we believe is a dividend rate per share which enables us to balance our multiple objectives of managing and investing in the Bank, and returning a substantial portion of our cash to our shareholders. Assuming continued payment during 2023 at this rate of $0.25 per share, our total dividends paid each quarter would be approximately $1.9 million based on the number of the current outstanding shares as  of March 31,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Under FS Bancorp’s current stock repurchase program, approximately $920,000 remained available for future repurchases as of March 31, 2023.  The current stock repurchase program is set to expire on June 30, 2023.  The actual timing, number and value of shares repurchased under the share repurchase program will depend on a number of factors including constraints specified pursuant to any trading plan that may be adopted in accordance with Rule 10b5-1 of the Securities Exchange Act of 1934, as amended (the “Exchange Act”), price, general business and market conditions, and alternative investment opportunities.  The share repurchase program does not obligate FS Bancorp to acquire any specific number of shares in any period, and may be expanded, extended, modified or discontinued at any time.  See “Market for Registrant’s Common Equity, Related Stockholder Matters and Issuer Purchases of Equity Securities” continued in Item 2, Part II of this Form 10-Q for additional information relating to stock repurchases.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At March 31, 2023, FS Bancorp had $8.0 million in unrestricted cash to meet liquidity needs.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Capital Resources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Bank is subject to minimum capital requirements imposed by the FDIC.  Based on its capital levels at March 31, 2023, the Bank exceeded these requirements as of that date. Consistent with our goals to operate a sound and profitable organization, our policy is for the Bank to maintain a well capitalized status under the capital categories of the FDIC. Based on capital levels at March 31, 2023, the Bank was considered to be well capitalized.  At March 31, 2023, the Bank exceeded all regulatory capital requirements with Tier 1 leverage-based capital, Tier 1 risk-based capital, total risk-based capital, and common equity Tier 1 capital ratios of 10.4%, 11.4%, 12.7%, and 11.4%, respectively. </w:t>
      </w:r>
    </w:p>
    <w:p>
      <w:pPr>
        <w:pStyle w:val="TextBody"/>
        <w:spacing w:before="0" w:after="200"/>
        <w:ind w:left="0" w:right="0" w:hanging="0"/>
        <w:jc w:val="both"/>
        <w:rPr>
          <w:rFonts w:ascii="Times New Roman;Times;serif" w:hAnsi="Times New Roman;Times;serif"/>
          <w:sz w:val="20"/>
        </w:rPr>
      </w:pPr>
      <w:bookmarkStart w:id="3537" w:name="capitalrequirements_246761"/>
      <w:bookmarkEnd w:id="3537"/>
      <w:r>
        <w:rPr>
          <w:rFonts w:ascii="Times New Roman;Times;serif" w:hAnsi="Times New Roman;Times;serif"/>
          <w:sz w:val="20"/>
        </w:rPr>
        <w:t xml:space="preserve">As a bank holding company registered with the Federal Reserve, the Company is subject to the capital adequacy requirements of the Federal Reserve.  Bank holding companies with less than $3.0 billion in assets are generally not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If FS Bancorp were subject to regulatory capital guidelines for bank holding companies with $3.0 billion or more in assets at March 31, 2023, FS Bancorp would have exceeded all regulatory capital requirements. For informational purposes, the regulatory capital ratios calculated for FS Bancorp at March 31, 2023 were 8.9% for Tier 1 leverage-based capital, 9.7% for Tier 1 risk-based capital, 13.0% for total risk-based capital, and 9.7% for CET 1 capital ratio. For additional information regarding regulatory capital compliance, see the discussion included in “Note 14 – Regulatory Capital” to the Notes to Consolidated Financial Statements included in Part I. Item 1 of this report. </w:t>
      </w:r>
    </w:p>
    <w:p>
      <w:pPr>
        <w:pStyle w:val="TextBody"/>
        <w:spacing w:before="0" w:after="200"/>
        <w:ind w:left="0" w:right="0" w:hanging="0"/>
        <w:rPr>
          <w:rFonts w:ascii="Times New Roman;Times;serif" w:hAnsi="Times New Roman;Times;serif"/>
          <w:b/>
          <w:sz w:val="20"/>
        </w:rPr>
      </w:pPr>
      <w:bookmarkStart w:id="3538" w:name="Item3QuantitativeandQualitativeDisclosur"/>
      <w:bookmarkStart w:id="3539" w:name="_8f850f8e_ab94_4e04_aef1_08885fb68379"/>
      <w:bookmarkEnd w:id="3538"/>
      <w:bookmarkEnd w:id="3539"/>
      <w:r>
        <w:rPr>
          <w:rFonts w:ascii="Times New Roman;Times;serif" w:hAnsi="Times New Roman;Times;serif"/>
          <w:b/>
          <w:sz w:val="20"/>
        </w:rPr>
        <w:t>Item 3.  Quantitative and Qualitative Disclosures About Market Risk</w:t>
      </w:r>
    </w:p>
    <w:p>
      <w:pPr>
        <w:pStyle w:val="TextBody"/>
        <w:spacing w:before="0" w:after="240"/>
        <w:ind w:left="0" w:right="0" w:hanging="0"/>
        <w:jc w:val="both"/>
        <w:rPr>
          <w:rFonts w:ascii="inherit" w:hAnsi="inherit"/>
          <w:sz w:val="20"/>
        </w:rPr>
      </w:pPr>
      <w:r>
        <w:rPr>
          <w:rFonts w:ascii="inherit" w:hAnsi="inherit"/>
          <w:sz w:val="20"/>
        </w:rPr>
        <w:t xml:space="preserve">There have been no material changes in the market risk disclosures contained in FS Bancorp’s Annual Report on Form 10-K for the fiscal year ended December 31, 2022. </w:t>
      </w:r>
    </w:p>
    <w:p>
      <w:pPr>
        <w:pStyle w:val="TextBody"/>
        <w:spacing w:before="0" w:after="200"/>
        <w:ind w:left="0" w:right="0" w:hanging="0"/>
        <w:rPr>
          <w:rFonts w:ascii="Times New Roman;Times;serif" w:hAnsi="Times New Roman;Times;serif"/>
          <w:b/>
          <w:sz w:val="20"/>
        </w:rPr>
      </w:pPr>
      <w:bookmarkStart w:id="3540" w:name="Item4ControlsandProcedures_376533"/>
      <w:bookmarkStart w:id="3541" w:name="_2066b39b_c644_435c_9cb0_60d1b97c6a87"/>
      <w:bookmarkEnd w:id="3540"/>
      <w:bookmarkEnd w:id="3541"/>
      <w:r>
        <w:rPr>
          <w:rFonts w:ascii="Times New Roman;Times;serif" w:hAnsi="Times New Roman;Times;serif"/>
          <w:b/>
          <w:sz w:val="20"/>
        </w:rPr>
        <w:t>Item 4.  Controls and Procedures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An evaluation of the disclosure controls and procedures as defined in Rule 13a-15(e) of the Exchange Act was carried out as of March 31, 2023 under the supervision and with the participation of the Company’s Chief Executive Officer (“CEO”) and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CEO and CFO concluded that based on their evaluation at March 31, 2023, the Company’s disclosure controls and procedures were effective in ensuring that information we are required to disclose in the reports we file or submit under the Exchange Act is (1) recorded, processed, summarized, and reported within the time periods specified in the SEC’s rules and forms, and (2) accumulated and communicated to FS Bancorp management, including its CEO and CFO, as appropriate to allow timely decisions regarding required disclosure, specified in the SEC’s rules and forms.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There were no significant changes in the Company’s internal control over financial reporting that occurred during the three months ended March 31, 2023, that have materially affected or are reasonably likely to materially affect our internal control over financial reporting. The Company does not expect that its disclosure controls and procedures and internal control over financial reporting will prevent all error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 </w:t>
      </w:r>
    </w:p>
    <w:p>
      <w:pPr>
        <w:pStyle w:val="TextBody"/>
        <w:spacing w:before="0" w:after="120"/>
        <w:ind w:left="0" w:right="0" w:hanging="0"/>
        <w:jc w:val="center"/>
        <w:rPr>
          <w:rFonts w:ascii="Times New Roman;Times;serif" w:hAnsi="Times New Roman;Times;serif"/>
          <w:b/>
          <w:sz w:val="20"/>
        </w:rPr>
      </w:pPr>
      <w:bookmarkStart w:id="3542" w:name="PARTII_Otherinformation"/>
      <w:bookmarkStart w:id="3543" w:name="_791d9fd8_14b0_4df8_84c1_9b3bce5cf8ae"/>
      <w:bookmarkEnd w:id="3542"/>
      <w:bookmarkEnd w:id="3543"/>
      <w:r>
        <w:rPr>
          <w:rFonts w:ascii="Times New Roman;Times;serif" w:hAnsi="Times New Roman;Times;serif"/>
          <w:b/>
          <w:sz w:val="20"/>
        </w:rPr>
        <w:t>PART II. OTHER INFORMATION</w:t>
      </w:r>
    </w:p>
    <w:p>
      <w:pPr>
        <w:pStyle w:val="TextBody"/>
        <w:spacing w:before="0" w:after="200"/>
        <w:ind w:left="0" w:right="0" w:hanging="0"/>
        <w:rPr>
          <w:rFonts w:ascii="Times New Roman;Times;serif" w:hAnsi="Times New Roman;Times;serif"/>
          <w:b/>
          <w:sz w:val="20"/>
        </w:rPr>
      </w:pPr>
      <w:bookmarkStart w:id="3544" w:name="Item1LegalProceedings_188172"/>
      <w:bookmarkEnd w:id="3544"/>
      <w:r>
        <w:rPr>
          <w:rFonts w:ascii="Times New Roman;Times;serif" w:hAnsi="Times New Roman;Times;serif"/>
          <w:b/>
          <w:sz w:val="20"/>
        </w:rPr>
        <w:t>Item 1.  Legal Proceedings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pStyle w:val="TextBody"/>
        <w:spacing w:before="120" w:after="200"/>
        <w:ind w:left="0" w:right="0" w:hanging="0"/>
        <w:rPr>
          <w:rFonts w:ascii="Times New Roman;Times;serif" w:hAnsi="Times New Roman;Times;serif"/>
          <w:b/>
          <w:sz w:val="20"/>
        </w:rPr>
      </w:pPr>
      <w:bookmarkStart w:id="3545" w:name="Item1ARiskFactors_874277"/>
      <w:bookmarkStart w:id="3546" w:name="_5aa712ce_2e0a_4ee2_96b4_928f444cedf2"/>
      <w:bookmarkEnd w:id="3545"/>
      <w:bookmarkEnd w:id="3546"/>
      <w:r>
        <w:rPr>
          <w:rFonts w:ascii="Times New Roman;Times;serif" w:hAnsi="Times New Roman;Times;serif"/>
          <w:b/>
          <w:sz w:val="20"/>
        </w:rPr>
        <w:t>Item 1A.  Risk Factors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Risk Factors previously disclosed in FS Bancorp’s Annual Report on Form 10-K for the fiscal year ended December 31, 2022.</w:t>
      </w:r>
    </w:p>
    <w:p>
      <w:pPr>
        <w:pStyle w:val="TextBody"/>
        <w:spacing w:before="0" w:after="200"/>
        <w:ind w:left="0" w:right="0" w:hanging="0"/>
        <w:rPr>
          <w:rFonts w:ascii="Times New Roman;Times;serif" w:hAnsi="Times New Roman;Times;serif"/>
          <w:b/>
          <w:sz w:val="20"/>
        </w:rPr>
      </w:pPr>
      <w:bookmarkStart w:id="3547" w:name="Item2UnregisteredSalesofEquitySecurities"/>
      <w:bookmarkStart w:id="3548" w:name="_8ddc8d3d_89c1_4887_a81d_146170ab72ac"/>
      <w:bookmarkEnd w:id="3547"/>
      <w:bookmarkEnd w:id="3548"/>
      <w:r>
        <w:rPr>
          <w:rFonts w:ascii="Times New Roman;Times;serif" w:hAnsi="Times New Roman;Times;serif"/>
          <w:b/>
          <w:sz w:val="20"/>
        </w:rPr>
        <w:t>Item 2.  Unregistered Sales of Equity Securities and Use of Proceeds</w:t>
      </w:r>
    </w:p>
    <w:tbl>
      <w:tblPr>
        <w:tblW w:w="1682" w:type="dxa"/>
        <w:jc w:val="left"/>
        <w:tblInd w:w="0" w:type="dxa"/>
        <w:tblCellMar>
          <w:top w:w="0" w:type="dxa"/>
          <w:left w:w="0" w:type="dxa"/>
          <w:bottom w:w="0" w:type="dxa"/>
          <w:right w:w="0" w:type="dxa"/>
        </w:tblCellMar>
      </w:tblPr>
      <w:tblGrid>
        <w:gridCol w:w="331"/>
        <w:gridCol w:w="1351"/>
      </w:tblGrid>
      <w:tr>
        <w:trPr/>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3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1697" w:type="dxa"/>
        <w:jc w:val="left"/>
        <w:tblInd w:w="0" w:type="dxa"/>
        <w:tblCellMar>
          <w:top w:w="0" w:type="dxa"/>
          <w:left w:w="0" w:type="dxa"/>
          <w:bottom w:w="0" w:type="dxa"/>
          <w:right w:w="0" w:type="dxa"/>
        </w:tblCellMar>
      </w:tblPr>
      <w:tblGrid>
        <w:gridCol w:w="346"/>
        <w:gridCol w:w="135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13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212" w:type="dxa"/>
        <w:jc w:val="left"/>
        <w:tblInd w:w="0" w:type="dxa"/>
        <w:tblCellMar>
          <w:top w:w="0" w:type="dxa"/>
          <w:left w:w="0" w:type="dxa"/>
          <w:bottom w:w="0" w:type="dxa"/>
          <w:right w:w="0" w:type="dxa"/>
        </w:tblCellMar>
      </w:tblPr>
      <w:tblGrid>
        <w:gridCol w:w="331"/>
        <w:gridCol w:w="8881"/>
      </w:tblGrid>
      <w:tr>
        <w:trPr/>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88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common stock repurchases during the three months ended March 31, 2023:</w:t>
            </w:r>
          </w:p>
        </w:tc>
      </w:tr>
    </w:tbl>
    <w:tbl>
      <w:tblPr>
        <w:tblW w:w="9480" w:type="dxa"/>
        <w:jc w:val="left"/>
        <w:tblInd w:w="0" w:type="dxa"/>
        <w:tblCellMar>
          <w:top w:w="0" w:type="dxa"/>
          <w:left w:w="0" w:type="dxa"/>
          <w:bottom w:w="0" w:type="dxa"/>
          <w:right w:w="0" w:type="dxa"/>
        </w:tblCellMar>
      </w:tblPr>
      <w:tblGrid>
        <w:gridCol w:w="3181"/>
        <w:gridCol w:w="326"/>
        <w:gridCol w:w="1231"/>
        <w:gridCol w:w="326"/>
        <w:gridCol w:w="211"/>
        <w:gridCol w:w="571"/>
        <w:gridCol w:w="326"/>
        <w:gridCol w:w="1396"/>
        <w:gridCol w:w="326"/>
        <w:gridCol w:w="296"/>
        <w:gridCol w:w="1099"/>
        <w:gridCol w:w="191"/>
      </w:tblGrid>
      <w:tr>
        <w:trPr/>
        <w:tc>
          <w:tcPr>
            <w:tcW w:w="3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2019935" cy="175260"/>
                      <wp:effectExtent l="0" t="0" r="0" b="0"/>
                      <wp:wrapNone/>
                      <wp:docPr id="811" name="Frame811"/>
                      <a:graphic xmlns:a="http://schemas.openxmlformats.org/drawingml/2006/main">
                        <a:graphicData uri="http://schemas.microsoft.com/office/word/2010/wordprocessingShape">
                          <wps:wsp>
                            <wps:cNvSpPr txBox="1"/>
                            <wps:spPr>
                              <a:xfrm>
                                <a:off x="0" y="0"/>
                                <a:ext cx="2019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207010" cy="175260"/>
                      <wp:effectExtent l="0" t="0" r="0" b="0"/>
                      <wp:wrapNone/>
                      <wp:docPr id="812" name="Frame8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781685" cy="175260"/>
                      <wp:effectExtent l="0" t="0" r="0" b="0"/>
                      <wp:wrapNone/>
                      <wp:docPr id="813" name="Frame813"/>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207010" cy="175260"/>
                      <wp:effectExtent l="0" t="0" r="0" b="0"/>
                      <wp:wrapNone/>
                      <wp:docPr id="814" name="Frame8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133985" cy="175260"/>
                      <wp:effectExtent l="0" t="0" r="0" b="0"/>
                      <wp:wrapNone/>
                      <wp:docPr id="815" name="Frame8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362585" cy="175260"/>
                      <wp:effectExtent l="0" t="0" r="0" b="0"/>
                      <wp:wrapNone/>
                      <wp:docPr id="816" name="Frame81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207010" cy="175260"/>
                      <wp:effectExtent l="0" t="0" r="0" b="0"/>
                      <wp:wrapNone/>
                      <wp:docPr id="817" name="Frame8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886460" cy="175260"/>
                      <wp:effectExtent l="0" t="0" r="0" b="0"/>
                      <wp:wrapNone/>
                      <wp:docPr id="818" name="Frame818"/>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207010" cy="175260"/>
                      <wp:effectExtent l="0" t="0" r="0" b="0"/>
                      <wp:wrapNone/>
                      <wp:docPr id="819" name="Frame8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187960" cy="175260"/>
                      <wp:effectExtent l="0" t="0" r="0" b="0"/>
                      <wp:wrapNone/>
                      <wp:docPr id="820" name="Frame820"/>
                      <a:graphic xmlns:a="http://schemas.openxmlformats.org/drawingml/2006/main">
                        <a:graphicData uri="http://schemas.microsoft.com/office/word/2010/wordprocessingShape">
                          <wps:wsp>
                            <wps:cNvSpPr txBox="1"/>
                            <wps:spPr>
                              <a:xfrm>
                                <a:off x="0" y="0"/>
                                <a:ext cx="187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697865" cy="175260"/>
                      <wp:effectExtent l="0" t="0" r="0" b="0"/>
                      <wp:wrapNone/>
                      <wp:docPr id="821" name="Frame821"/>
                      <a:graphic xmlns:a="http://schemas.openxmlformats.org/drawingml/2006/main">
                        <a:graphicData uri="http://schemas.microsoft.com/office/word/2010/wordprocessingShape">
                          <wps:wsp>
                            <wps:cNvSpPr txBox="1"/>
                            <wps:spPr>
                              <a:xfrm>
                                <a:off x="0" y="0"/>
                                <a:ext cx="697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121285" cy="175260"/>
                      <wp:effectExtent l="0" t="0" r="0" b="0"/>
                      <wp:wrapNone/>
                      <wp:docPr id="822" name="Frame822"/>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9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Maximum</w:t>
            </w:r>
          </w:p>
        </w:tc>
        <w:tc>
          <w:tcPr>
            <w:tcW w:w="191" w:type="dxa"/>
            <w:tcBorders/>
            <w:shd w:fill="auto" w:val="clear"/>
            <w:vAlign w:val="center"/>
          </w:tcPr>
          <w:p>
            <w:pPr>
              <w:pStyle w:val="TableContents"/>
              <w:spacing w:before="0" w:after="0"/>
              <w:ind w:left="0" w:right="0" w:hanging="0"/>
              <w:rPr/>
            </w:pPr>
            <w:r>
              <w:rPr/>
              <w:t>​</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shd w:fill="auto" w:val="clear"/>
            <w:vAlign w:val="center"/>
          </w:tcPr>
          <w:p>
            <w:pPr>
              <w:pStyle w:val="TableContents"/>
              <w:spacing w:before="0" w:after="0"/>
              <w:ind w:left="0" w:right="0" w:hanging="0"/>
              <w:rPr/>
            </w:pPr>
            <w:r>
              <w:rPr/>
              <w:t>​</w:t>
            </w:r>
          </w:p>
        </w:tc>
        <w:tc>
          <w:tcPr>
            <w:tcW w:w="139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Dollar Value of</w:t>
            </w:r>
          </w:p>
        </w:tc>
        <w:tc>
          <w:tcPr>
            <w:tcW w:w="191" w:type="dxa"/>
            <w:tcBorders/>
            <w:shd w:fill="auto" w:val="clear"/>
            <w:vAlign w:val="center"/>
          </w:tcPr>
          <w:p>
            <w:pPr>
              <w:pStyle w:val="TableContents"/>
              <w:spacing w:before="0" w:after="0"/>
              <w:ind w:left="0" w:right="0" w:hanging="0"/>
              <w:rPr/>
            </w:pPr>
            <w:r>
              <w:rPr/>
              <w:t>​</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shd w:fill="auto" w:val="clear"/>
            <w:vAlign w:val="center"/>
          </w:tcPr>
          <w:p>
            <w:pPr>
              <w:pStyle w:val="TableContents"/>
              <w:spacing w:before="0" w:after="0"/>
              <w:ind w:left="0" w:right="0" w:hanging="0"/>
              <w:rPr/>
            </w:pPr>
            <w:r>
              <w:rPr/>
              <w:t>​</w:t>
            </w:r>
          </w:p>
        </w:tc>
        <w:tc>
          <w:tcPr>
            <w:tcW w:w="139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Shares that </w:t>
            </w:r>
          </w:p>
        </w:tc>
        <w:tc>
          <w:tcPr>
            <w:tcW w:w="191" w:type="dxa"/>
            <w:tcBorders/>
            <w:shd w:fill="auto" w:val="clear"/>
            <w:vAlign w:val="center"/>
          </w:tcPr>
          <w:p>
            <w:pPr>
              <w:pStyle w:val="TableContents"/>
              <w:spacing w:before="0" w:after="0"/>
              <w:ind w:left="0" w:right="0" w:hanging="0"/>
              <w:rPr/>
            </w:pPr>
            <w:r>
              <w:rPr/>
              <w:t>​</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Repurchased as</w:t>
            </w:r>
          </w:p>
        </w:tc>
        <w:tc>
          <w:tcPr>
            <w:tcW w:w="326" w:type="dxa"/>
            <w:tcBorders/>
            <w:shd w:fill="auto" w:val="clear"/>
            <w:vAlign w:val="center"/>
          </w:tcPr>
          <w:p>
            <w:pPr>
              <w:pStyle w:val="TableContents"/>
              <w:spacing w:before="0" w:after="0"/>
              <w:ind w:left="0" w:right="0" w:hanging="0"/>
              <w:rPr/>
            </w:pPr>
            <w:r>
              <w:rPr/>
              <w:t>​</w:t>
            </w:r>
          </w:p>
        </w:tc>
        <w:tc>
          <w:tcPr>
            <w:tcW w:w="139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May Yet Be</w:t>
            </w:r>
          </w:p>
        </w:tc>
        <w:tc>
          <w:tcPr>
            <w:tcW w:w="191" w:type="dxa"/>
            <w:tcBorders/>
            <w:shd w:fill="auto" w:val="clear"/>
            <w:vAlign w:val="center"/>
          </w:tcPr>
          <w:p>
            <w:pPr>
              <w:pStyle w:val="TableContents"/>
              <w:spacing w:before="0" w:after="0"/>
              <w:ind w:left="0" w:right="0" w:hanging="0"/>
              <w:rPr/>
            </w:pPr>
            <w:r>
              <w:rPr/>
              <w:t>​</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Price</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Part of Publicly</w:t>
            </w:r>
          </w:p>
        </w:tc>
        <w:tc>
          <w:tcPr>
            <w:tcW w:w="326" w:type="dxa"/>
            <w:tcBorders/>
            <w:shd w:fill="auto" w:val="clear"/>
            <w:vAlign w:val="center"/>
          </w:tcPr>
          <w:p>
            <w:pPr>
              <w:pStyle w:val="TableContents"/>
              <w:spacing w:before="0" w:after="0"/>
              <w:ind w:left="0" w:right="0" w:hanging="0"/>
              <w:rPr/>
            </w:pPr>
            <w:r>
              <w:rPr/>
              <w:t>​</w:t>
            </w:r>
          </w:p>
        </w:tc>
        <w:tc>
          <w:tcPr>
            <w:tcW w:w="139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Repurchased</w:t>
            </w:r>
          </w:p>
        </w:tc>
        <w:tc>
          <w:tcPr>
            <w:tcW w:w="191" w:type="dxa"/>
            <w:tcBorders/>
            <w:shd w:fill="auto" w:val="clear"/>
            <w:vAlign w:val="center"/>
          </w:tcPr>
          <w:p>
            <w:pPr>
              <w:pStyle w:val="TableContents"/>
              <w:spacing w:before="0" w:after="0"/>
              <w:ind w:left="0" w:right="0" w:hanging="0"/>
              <w:rPr/>
            </w:pPr>
            <w:r>
              <w:rPr/>
              <w:t>​</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Paid per</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Announced</w:t>
            </w:r>
          </w:p>
        </w:tc>
        <w:tc>
          <w:tcPr>
            <w:tcW w:w="326" w:type="dxa"/>
            <w:tcBorders/>
            <w:shd w:fill="auto" w:val="clear"/>
            <w:vAlign w:val="center"/>
          </w:tcPr>
          <w:p>
            <w:pPr>
              <w:pStyle w:val="TableContents"/>
              <w:spacing w:before="0" w:after="0"/>
              <w:ind w:left="0" w:right="0" w:hanging="0"/>
              <w:rPr/>
            </w:pPr>
            <w:r>
              <w:rPr/>
              <w:t>​</w:t>
            </w:r>
          </w:p>
        </w:tc>
        <w:tc>
          <w:tcPr>
            <w:tcW w:w="139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Under the</w:t>
            </w:r>
          </w:p>
        </w:tc>
        <w:tc>
          <w:tcPr>
            <w:tcW w:w="191" w:type="dxa"/>
            <w:tcBorders/>
            <w:shd w:fill="auto" w:val="clear"/>
            <w:vAlign w:val="center"/>
          </w:tcPr>
          <w:p>
            <w:pPr>
              <w:pStyle w:val="TableContents"/>
              <w:spacing w:before="0" w:after="0"/>
              <w:ind w:left="0" w:right="0" w:hanging="0"/>
              <w:rPr/>
            </w:pPr>
            <w:r>
              <w:rPr/>
              <w:t>​</w:t>
            </w:r>
          </w:p>
        </w:tc>
      </w:tr>
      <w:tr>
        <w:trPr/>
        <w:tc>
          <w:tcPr>
            <w:tcW w:w="31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Period</w:t>
            </w:r>
          </w:p>
        </w:tc>
        <w:tc>
          <w:tcPr>
            <w:tcW w:w="326" w:type="dxa"/>
            <w:tcBorders/>
            <w:shd w:fill="auto" w:val="clear"/>
            <w:vAlign w:val="center"/>
          </w:tcPr>
          <w:p>
            <w:pPr>
              <w:pStyle w:val="TableContents"/>
              <w:spacing w:before="0" w:after="0"/>
              <w:ind w:left="0" w:right="0" w:hanging="0"/>
              <w:jc w:val="center"/>
              <w:rPr/>
            </w:pPr>
            <w:r>
              <w:rPr/>
              <w:t>    </w:t>
            </w:r>
          </w:p>
        </w:tc>
        <w:tc>
          <w:tcPr>
            <w:tcW w:w="12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Purchased </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 </w:t>
            </w:r>
          </w:p>
        </w:tc>
        <w:tc>
          <w:tcPr>
            <w:tcW w:w="326" w:type="dxa"/>
            <w:tcBorders/>
            <w:shd w:fill="auto" w:val="clear"/>
            <w:vAlign w:val="center"/>
          </w:tcPr>
          <w:p>
            <w:pPr>
              <w:pStyle w:val="TableContents"/>
              <w:spacing w:before="0" w:after="0"/>
              <w:ind w:left="0" w:right="0" w:hanging="0"/>
              <w:jc w:val="center"/>
              <w:rPr/>
            </w:pPr>
            <w:r>
              <w:rPr/>
              <w:t>    </w:t>
            </w:r>
          </w:p>
        </w:tc>
        <w:tc>
          <w:tcPr>
            <w:tcW w:w="13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Plan or Program</w:t>
            </w:r>
          </w:p>
        </w:tc>
        <w:tc>
          <w:tcPr>
            <w:tcW w:w="326" w:type="dxa"/>
            <w:tcBorders/>
            <w:shd w:fill="auto" w:val="clear"/>
            <w:vAlign w:val="center"/>
          </w:tcPr>
          <w:p>
            <w:pPr>
              <w:pStyle w:val="TableContents"/>
              <w:spacing w:before="0" w:after="0"/>
              <w:ind w:left="0" w:right="0" w:hanging="0"/>
              <w:jc w:val="center"/>
              <w:rPr/>
            </w:pPr>
            <w:r>
              <w:rPr/>
              <w:t>    </w:t>
            </w:r>
          </w:p>
        </w:tc>
        <w:tc>
          <w:tcPr>
            <w:tcW w:w="13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Plan or Program</w:t>
            </w:r>
          </w:p>
        </w:tc>
        <w:tc>
          <w:tcPr>
            <w:tcW w:w="191" w:type="dxa"/>
            <w:tcBorders/>
            <w:shd w:fill="auto" w:val="clear"/>
            <w:vAlign w:val="center"/>
          </w:tcPr>
          <w:p>
            <w:pPr>
              <w:pStyle w:val="TableContents"/>
              <w:spacing w:before="0" w:after="0"/>
              <w:ind w:left="0" w:right="0" w:hanging="0"/>
              <w:jc w:val="center"/>
              <w:rPr/>
            </w:pPr>
            <w:r>
              <w:rPr/>
              <w:t> </w:t>
            </w:r>
          </w:p>
        </w:tc>
      </w:tr>
      <w:tr>
        <w:trPr/>
        <w:tc>
          <w:tcPr>
            <w:tcW w:w="3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January 1, 2023 - January 31, 2023 </w:t>
            </w:r>
          </w:p>
        </w:tc>
        <w:tc>
          <w:tcPr>
            <w:tcW w:w="326" w:type="dxa"/>
            <w:tcBorders/>
            <w:shd w:fill="CCEEFF" w:val="clear"/>
            <w:vAlign w:val="center"/>
          </w:tcPr>
          <w:p>
            <w:pPr>
              <w:pStyle w:val="TableContents"/>
              <w:spacing w:before="0" w:after="0"/>
              <w:ind w:left="0" w:right="0" w:hanging="0"/>
              <w:jc w:val="center"/>
              <w:rPr/>
            </w:pPr>
            <w:r>
              <w:rPr/>
              <w:t>​</w:t>
            </w:r>
          </w:p>
        </w:tc>
        <w:tc>
          <w:tcPr>
            <w:tcW w:w="12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3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February 1, 2023 - February 28, 2023 </w:t>
            </w:r>
          </w:p>
        </w:tc>
        <w:tc>
          <w:tcPr>
            <w:tcW w:w="326" w:type="dxa"/>
            <w:tcBorders/>
            <w:shd w:fill="auto" w:val="clear"/>
            <w:vAlign w:val="center"/>
          </w:tcPr>
          <w:p>
            <w:pPr>
              <w:pStyle w:val="TableContents"/>
              <w:spacing w:before="0" w:after="0"/>
              <w:ind w:left="0" w:right="0" w:hanging="0"/>
              <w:rPr/>
            </w:pPr>
            <w:r>
              <w:rPr/>
              <w:t> </w:t>
            </w:r>
          </w:p>
        </w:tc>
        <w:tc>
          <w:tcPr>
            <w:tcW w:w="12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36.83</w:t>
            </w:r>
          </w:p>
        </w:tc>
        <w:tc>
          <w:tcPr>
            <w:tcW w:w="326" w:type="dxa"/>
            <w:tcBorders/>
            <w:shd w:fill="auto" w:val="clear"/>
            <w:vAlign w:val="center"/>
          </w:tcPr>
          <w:p>
            <w:pPr>
              <w:pStyle w:val="TableContents"/>
              <w:spacing w:before="0" w:after="0"/>
              <w:ind w:left="0" w:right="0" w:hanging="0"/>
              <w:rPr/>
            </w:pPr>
            <w:r>
              <w:rPr/>
              <w:t> </w:t>
            </w:r>
          </w:p>
        </w:tc>
        <w:tc>
          <w:tcPr>
            <w:tcW w:w="13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auto" w:val="clear"/>
            <w:vAlign w:val="center"/>
          </w:tcPr>
          <w:p>
            <w:pPr>
              <w:pStyle w:val="TableContents"/>
              <w:spacing w:before="0" w:after="0"/>
              <w:ind w:left="0" w:right="0" w:hanging="0"/>
              <w:rPr/>
            </w:pPr>
            <w:r>
              <w:rPr/>
              <w:t> </w:t>
            </w:r>
          </w:p>
        </w:tc>
        <w:tc>
          <w:tcPr>
            <w:tcW w:w="296" w:type="dxa"/>
            <w:tcBorders/>
            <w:shd w:fill="auto" w:val="clear"/>
            <w:vAlign w:val="center"/>
          </w:tcPr>
          <w:p>
            <w:pPr>
              <w:pStyle w:val="TableContents"/>
              <w:spacing w:before="0" w:after="0"/>
              <w:ind w:left="0" w:right="0" w:hanging="0"/>
              <w:jc w:val="right"/>
              <w:rPr/>
            </w:pPr>
            <w:r>
              <w:rPr/>
              <w:t> </w:t>
            </w:r>
          </w:p>
        </w:tc>
        <w:tc>
          <w:tcPr>
            <w:tcW w:w="10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919,598</w:t>
            </w:r>
          </w:p>
        </w:tc>
        <w:tc>
          <w:tcPr>
            <w:tcW w:w="191" w:type="dxa"/>
            <w:tcBorders/>
            <w:shd w:fill="auto" w:val="clear"/>
            <w:vAlign w:val="center"/>
          </w:tcPr>
          <w:p>
            <w:pPr>
              <w:pStyle w:val="TableContents"/>
              <w:spacing w:before="0" w:after="0"/>
              <w:ind w:left="0" w:right="0" w:hanging="0"/>
              <w:rPr/>
            </w:pPr>
            <w:r>
              <w:rPr/>
              <w:t>​</w:t>
            </w:r>
          </w:p>
        </w:tc>
      </w:tr>
      <w:tr>
        <w:trPr/>
        <w:tc>
          <w:tcPr>
            <w:tcW w:w="318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March 1, 2023 - March 31, 2023 </w:t>
            </w:r>
          </w:p>
        </w:tc>
        <w:tc>
          <w:tcPr>
            <w:tcW w:w="326" w:type="dxa"/>
            <w:tcBorders/>
            <w:shd w:fill="CCEEFF" w:val="clear"/>
            <w:vAlign w:val="center"/>
          </w:tcPr>
          <w:p>
            <w:pPr>
              <w:pStyle w:val="TableContents"/>
              <w:spacing w:before="0" w:after="0"/>
              <w:ind w:left="0" w:right="0" w:hanging="0"/>
              <w:rPr/>
            </w:pPr>
            <w:r>
              <w:rPr/>
              <w:t> </w:t>
            </w:r>
          </w:p>
        </w:tc>
        <w:tc>
          <w:tcPr>
            <w:tcW w:w="12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for the quarter</w:t>
            </w:r>
          </w:p>
        </w:tc>
        <w:tc>
          <w:tcPr>
            <w:tcW w:w="326" w:type="dxa"/>
            <w:tcBorders/>
            <w:shd w:fill="auto" w:val="clear"/>
            <w:vAlign w:val="center"/>
          </w:tcPr>
          <w:p>
            <w:pPr>
              <w:pStyle w:val="TableContents"/>
              <w:spacing w:before="0" w:after="0"/>
              <w:ind w:left="0" w:right="0" w:hanging="0"/>
              <w:rPr/>
            </w:pPr>
            <w:r>
              <w:rPr/>
              <w:t> </w:t>
            </w:r>
          </w:p>
        </w:tc>
        <w:tc>
          <w:tcPr>
            <w:tcW w:w="12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36.83</w:t>
            </w:r>
          </w:p>
        </w:tc>
        <w:tc>
          <w:tcPr>
            <w:tcW w:w="326" w:type="dxa"/>
            <w:tcBorders/>
            <w:shd w:fill="auto" w:val="clear"/>
            <w:vAlign w:val="center"/>
          </w:tcPr>
          <w:p>
            <w:pPr>
              <w:pStyle w:val="TableContents"/>
              <w:spacing w:before="0" w:after="0"/>
              <w:ind w:left="0" w:right="0" w:hanging="0"/>
              <w:rPr/>
            </w:pPr>
            <w:r>
              <w:rPr/>
              <w:t> </w:t>
            </w:r>
          </w:p>
        </w:tc>
        <w:tc>
          <w:tcPr>
            <w:tcW w:w="13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auto" w:val="clear"/>
            <w:vAlign w:val="center"/>
          </w:tcPr>
          <w:p>
            <w:pPr>
              <w:pStyle w:val="TableContents"/>
              <w:spacing w:before="0" w:after="0"/>
              <w:ind w:left="0" w:right="0" w:hanging="0"/>
              <w:rPr/>
            </w:pPr>
            <w:r>
              <w:rPr/>
              <w:t> </w:t>
            </w:r>
          </w:p>
        </w:tc>
        <w:tc>
          <w:tcPr>
            <w:tcW w:w="2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919,598</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On April 6, 2022, the Company announced that its Board of Directors approved share repurchase program of up to $10.0 million of the Company’s common shares authorized and outstanding in addition to the then remaining $3.8 million common shares authorized and available for repurchase under the previous share repurchase plan.  Repurchases may be made under the current repurchase plan through June 30, 2023. The actual timing, number and value of shares repurchased under the share repurchase program will depend on a number of factors, including constraints specified pursuant to any trading plan that may be adopted in accordance with Rule 10b5-1 of the Exchange Act, price, general business and market conditions, and alternative investment opportunities.  The share repurchase program does not obligate the Company to acquire any specific number of shares in any period, and may be expanded, extended, modified or discontinued at any time.</w:t>
      </w:r>
    </w:p>
    <w:p>
      <w:pPr>
        <w:pStyle w:val="TextBody"/>
        <w:spacing w:before="0" w:after="200"/>
        <w:ind w:left="0" w:right="0" w:hanging="0"/>
        <w:rPr>
          <w:rFonts w:ascii="Times New Roman;Times;serif" w:hAnsi="Times New Roman;Times;serif"/>
          <w:b/>
          <w:sz w:val="20"/>
        </w:rPr>
      </w:pPr>
      <w:bookmarkStart w:id="3549" w:name="Item3DefaultsUponSeniorSecurities_628892"/>
      <w:bookmarkStart w:id="3550" w:name="_4dee99ed_aeab_4d61_bdc0_07f545c201a7"/>
      <w:bookmarkEnd w:id="3549"/>
      <w:bookmarkEnd w:id="3550"/>
      <w:r>
        <w:rPr>
          <w:rFonts w:ascii="Times New Roman;Times;serif" w:hAnsi="Times New Roman;Times;serif"/>
          <w:b/>
          <w:sz w:val="20"/>
        </w:rPr>
        <w:t>Item 3.  Defaults Upon Senior Securities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rPr>
          <w:rFonts w:ascii="Times New Roman;Times;serif" w:hAnsi="Times New Roman;Times;serif"/>
          <w:b/>
          <w:sz w:val="20"/>
        </w:rPr>
      </w:pPr>
      <w:bookmarkStart w:id="3551" w:name="Item4MineSafetyDisclosures_965935"/>
      <w:bookmarkStart w:id="3552" w:name="_cdf5feea_45f8_4124_a5e1_0d08d09e0679"/>
      <w:bookmarkEnd w:id="3551"/>
      <w:bookmarkEnd w:id="3552"/>
      <w:r>
        <w:rPr>
          <w:rFonts w:ascii="Times New Roman;Times;serif" w:hAnsi="Times New Roman;Times;serif"/>
          <w:b/>
          <w:sz w:val="20"/>
        </w:rPr>
        <w:t>Item 4.  Mine Safety Disclosures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rPr>
          <w:rFonts w:ascii="Times New Roman;Times;serif" w:hAnsi="Times New Roman;Times;serif"/>
          <w:b/>
          <w:sz w:val="20"/>
        </w:rPr>
      </w:pPr>
      <w:bookmarkStart w:id="3553" w:name="Item5OtherInformation_988770"/>
      <w:bookmarkStart w:id="3554" w:name="_544f7b11_f65e_4e6d_a43a_8aa2066824c7"/>
      <w:bookmarkEnd w:id="3553"/>
      <w:bookmarkEnd w:id="3554"/>
      <w:r>
        <w:rPr>
          <w:rFonts w:ascii="Times New Roman;Times;serif" w:hAnsi="Times New Roman;Times;serif"/>
          <w:b/>
          <w:sz w:val="20"/>
        </w:rPr>
        <w:t>Item 5.  Other Information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3555" w:name="Exhibits"/>
      <w:bookmarkStart w:id="3556" w:name="_55e3b708_71e6_4272_bd1f_f4673d63831b"/>
      <w:bookmarkEnd w:id="3555"/>
      <w:bookmarkEnd w:id="3556"/>
      <w:r>
        <w:rPr>
          <w:rFonts w:ascii="Times New Roman;Times;serif" w:hAnsi="Times New Roman;Times;serif"/>
          <w:b/>
          <w:sz w:val="20"/>
        </w:rPr>
        <w:t>Item 6.   Exhibits</w:t>
      </w:r>
    </w:p>
    <w:tbl>
      <w:tblPr>
        <w:tblW w:w="10205" w:type="dxa"/>
        <w:jc w:val="left"/>
        <w:tblInd w:w="0" w:type="dxa"/>
        <w:tblCellMar>
          <w:top w:w="0" w:type="dxa"/>
          <w:left w:w="0" w:type="dxa"/>
          <w:bottom w:w="0" w:type="dxa"/>
          <w:right w:w="0" w:type="dxa"/>
        </w:tblCellMar>
      </w:tblPr>
      <w:tblGrid>
        <w:gridCol w:w="526"/>
        <w:gridCol w:w="326"/>
        <w:gridCol w:w="9353"/>
      </w:tblGrid>
      <w:tr>
        <w:trPr/>
        <w:tc>
          <w:tcPr>
            <w:tcW w:w="5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rPr/>
            </w:pPr>
            <w:r>
              <w:rPr/>
              <w:t>​</w:t>
            </w:r>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shd w:fill="auto" w:val="clear"/>
            <w:vAlign w:val="center"/>
          </w:tcPr>
          <w:p>
            <w:pPr>
              <w:pStyle w:val="TableContents"/>
              <w:spacing w:before="0" w:after="0"/>
              <w:ind w:left="0" w:right="0" w:hanging="0"/>
              <w:rPr/>
            </w:pPr>
            <w:r>
              <w:rPr/>
              <w:t>    </w:t>
            </w:r>
          </w:p>
        </w:tc>
        <w:tc>
          <w:tcPr>
            <w:tcW w:w="9353" w:type="dxa"/>
            <w:tcBorders/>
            <w:shd w:fill="auto" w:val="clear"/>
            <w:vAlign w:val="center"/>
          </w:tcPr>
          <w:p>
            <w:pPr>
              <w:pStyle w:val="TableContents"/>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Articles of Incorporation of FS Bancorp, Inc. (1)</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Bylaws of FS Bancorp, Inc. (2)</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Form of Common Stock Certificate of FS Bancorp, Inc. (1)</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Indenture dated February 10, 2021, by and between FS Bancorp, Inc. and U.S. Bank National Association, as trustee (3)</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Forms of 3.75 Fixed-to-Floating Rate Subordinated Notes due 2031 (included as Exhibit A-1 and Exhibit A-2 to the Indenture filed as Exhibit 4.2 hereto (3)</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Severance Agreement between 1st Security Bank of Washington and Joseph C. Adams (1)</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Form of Change of Control Agreement between 1st Security Bank of Washington and Matthew D. Mullet (1)</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FS Bancorp, Inc. 2013 Equity Incentive Plan (the “2013 Plan”) (4)</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Form of Incentive Stock Option Agreement under the 2013 Plan (4)</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Non-Qualified Stock Option Agreement under the 2013 Plan (4)</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Form of Restricted Stock Agreement under the 2013 Plan (4)</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change of control agreement with Donn C. Costa, Dennis O’Leary, Rob Fuller, Erin Burr, Victoria Jarman, Kelli Nielsen, and May-Ling Sowell (5)</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10.10</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FS Bancorp, Inc. 2018 Equity Incentive Plan (6)</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10.11</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Form of Incentive Stock Option Award Agreement under the 2018 Equity Incentive Plan (6)</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10.12</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Non-Qualified Stock Option Award Agreement under the 2018 Equity Incentive Plan (6)</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10.13</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Form of Restricted Stock Award Agreement under the 2018 Equity Incentive Plan (6)</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10.14</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FS Bancorp, Inc. Nonqualified 2022 Stock Purchase Plan</w:t>
              </w:r>
            </w:hyperlink>
            <w:hyperlink r:id="rId19">
              <w:r>
                <w:rPr>
                  <w:rStyle w:val="InternetLink"/>
                  <w:rFonts w:ascii="Times New Roman;Times;serif" w:hAnsi="Times New Roman;Times;serif"/>
                  <w:caps w:val="false"/>
                  <w:smallCaps w:val="false"/>
                  <w:sz w:val="20"/>
                </w:rPr>
                <w:t xml:space="preserve"> </w:t>
              </w:r>
            </w:hyperlink>
            <w:hyperlink r:id="rId20">
              <w:r>
                <w:rPr>
                  <w:rStyle w:val="InternetLink"/>
                  <w:rFonts w:ascii="Times New Roman;Times;serif" w:hAnsi="Times New Roman;Times;serif"/>
                  <w:b w:val="false"/>
                  <w:i w:val="false"/>
                  <w:caps w:val="false"/>
                  <w:smallCaps w:val="false"/>
                  <w:sz w:val="20"/>
                </w:rPr>
                <w:t>(7)</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10.15</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Form of Enrollment/Change Form under the FS Bancorp, Inc. Nonqualified 2022 Stock Purchase Plan</w:t>
              </w:r>
            </w:hyperlink>
            <w:hyperlink r:id="rId22">
              <w:r>
                <w:rPr>
                  <w:rStyle w:val="InternetLink"/>
                  <w:rFonts w:ascii="Times New Roman;Times;serif" w:hAnsi="Times New Roman;Times;serif"/>
                  <w:caps w:val="false"/>
                  <w:smallCaps w:val="false"/>
                  <w:sz w:val="20"/>
                </w:rPr>
                <w:t xml:space="preserve"> </w:t>
              </w:r>
            </w:hyperlink>
            <w:hyperlink r:id="rId23">
              <w:r>
                <w:rPr>
                  <w:rStyle w:val="InternetLink"/>
                  <w:rFonts w:ascii="Times New Roman;Times;serif" w:hAnsi="Times New Roman;Times;serif"/>
                  <w:b w:val="false"/>
                  <w:i w:val="false"/>
                  <w:caps w:val="false"/>
                  <w:smallCaps w:val="false"/>
                  <w:sz w:val="20"/>
                </w:rPr>
                <w:t>(7)</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w:anchor="fsbw-20230331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31.2</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w:anchor="fsbw-20230331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w:anchor="fsbw-20230331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32.2</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pPr>
            <w:hyperlink w:anchor="fsbw-20230331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526" w:type="dxa"/>
            <w:tcBorders/>
            <w:shd w:fill="auto" w:val="clear"/>
            <w:vAlign w:val="center"/>
          </w:tcPr>
          <w:p>
            <w:pPr>
              <w:pStyle w:val="TableContents"/>
              <w:spacing w:before="0" w:after="200"/>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shd w:fill="auto" w:val="clear"/>
            <w:vAlign w:val="center"/>
          </w:tcPr>
          <w:p>
            <w:pPr>
              <w:pStyle w:val="TableContents"/>
              <w:spacing w:before="0" w:after="200"/>
              <w:ind w:left="0" w:right="0" w:hanging="0"/>
              <w:rPr/>
            </w:pPr>
            <w:r>
              <w:rPr/>
              <w:t>​</w:t>
            </w:r>
          </w:p>
        </w:tc>
        <w:tc>
          <w:tcPr>
            <w:tcW w:w="9353"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The following materials from the Company’s Quarterly Report on Form 10-Q for the quarter ended M</w:t>
            </w:r>
            <w:r>
              <w:rPr>
                <w:rFonts w:ascii="Times New Roman;Times;serif" w:hAnsi="Times New Roman;Times;serif"/>
                <w:sz w:val="20"/>
              </w:rPr>
              <w:t>arch</w:t>
            </w:r>
            <w:r>
              <w:rPr>
                <w:rFonts w:ascii="Times New Roman;Times;serif" w:hAnsi="Times New Roman;Times;serif"/>
                <w:sz w:val="18"/>
              </w:rPr>
              <w:t> 31, 2023 formatted in Inline Extensible Business Reporting Language (IXBRL): (1) Consolidated Balance Sheets; (2) Consolidated Statements of Income; (3) Consolidated Statements of Comprehensive Income; (4) Consolidated Statements of Changes in Stockholders’ Equity; (5) Consolidated Statements of Cash Flows; and (6) Notes to Consolidated Financial Statements.</w:t>
            </w:r>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104 </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Registration Statement on Form S-1 (333-177125) filed on October 3, 2011, and incorporated by reference.</w:t>
            </w:r>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Current Report on Form 8-K filed on July 10, 2013 (File No. 001-355589).</w:t>
            </w:r>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Current Report on Form 8-K filed on February 11, 2021 (File No. 001-35589).</w:t>
            </w:r>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Registration Statement on Form S-8 (333-192990) filed on December 20, 2013 and incorporated by reference.</w:t>
            </w:r>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Current Report on Form 8-K filed on February 1, 2016 (File No. 001-35589).</w:t>
            </w:r>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Registration Statement on Form S-8 (333-22513) filed on May 23, 2018.</w:t>
            </w:r>
          </w:p>
        </w:tc>
      </w:tr>
      <w:tr>
        <w:trPr/>
        <w:tc>
          <w:tcPr>
            <w:tcW w:w="5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shd w:fill="auto" w:val="clear"/>
            <w:vAlign w:val="center"/>
          </w:tcPr>
          <w:p>
            <w:pPr>
              <w:pStyle w:val="TableContents"/>
              <w:spacing w:before="0" w:after="0"/>
              <w:ind w:left="0" w:right="0" w:hanging="0"/>
              <w:rPr/>
            </w:pPr>
            <w:r>
              <w:rPr/>
              <w:t>​</w:t>
            </w:r>
          </w:p>
        </w:tc>
        <w:tc>
          <w:tcPr>
            <w:tcW w:w="9353"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Registration Statement on Form S-8 (333-265729) filed on June 21, 2022.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3557" w:name="SIGNATURES_161104"/>
      <w:bookmarkStart w:id="3558" w:name="_f063635e_bd61_456f_a1d1_115003611fcb"/>
      <w:bookmarkEnd w:id="3557"/>
      <w:bookmarkEnd w:id="3558"/>
      <w:r>
        <w:rPr>
          <w:rFonts w:ascii="Times New Roman;Times;serif" w:hAnsi="Times New Roman;Times;serif"/>
          <w:b/>
          <w:sz w:val="20"/>
        </w:rPr>
        <w:t>SIGNATURES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018" w:type="dxa"/>
        <w:jc w:val="left"/>
        <w:tblInd w:w="0" w:type="dxa"/>
        <w:tblCellMar>
          <w:top w:w="0" w:type="dxa"/>
          <w:left w:w="0" w:type="dxa"/>
          <w:bottom w:w="0" w:type="dxa"/>
          <w:right w:w="0" w:type="dxa"/>
        </w:tblCellMar>
      </w:tblPr>
      <w:tblGrid>
        <w:gridCol w:w="1741"/>
        <w:gridCol w:w="406"/>
        <w:gridCol w:w="3871"/>
      </w:tblGrid>
      <w:tr>
        <w:trPr/>
        <w:tc>
          <w:tcPr>
            <w:tcW w:w="1741" w:type="dxa"/>
            <w:tcBorders/>
            <w:shd w:fill="auto" w:val="clear"/>
            <w:vAlign w:val="center"/>
          </w:tcPr>
          <w:p>
            <w:pPr>
              <w:pStyle w:val="TableContents"/>
              <w:spacing w:before="0" w:after="0"/>
              <w:ind w:left="0" w:right="0" w:hanging="0"/>
              <w:rPr/>
            </w:pPr>
            <w:r>
              <w:rPr/>
              <w:t>​</w:t>
            </w:r>
          </w:p>
        </w:tc>
        <w:tc>
          <w:tcPr>
            <w:tcW w:w="4277"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200"/>
              <w:ind w:left="0" w:right="0" w:hanging="0"/>
              <w:jc w:val="both"/>
              <w:rPr/>
            </w:pPr>
            <w:r>
              <w:rPr/>
              <w:t>​</w:t>
            </w:r>
          </w:p>
        </w:tc>
        <w:tc>
          <w:tcPr>
            <w:tcW w:w="4277" w:type="dxa"/>
            <w:gridSpan w:val="2"/>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FS BANCORP, INC.</w:t>
            </w:r>
          </w:p>
        </w:tc>
      </w:tr>
      <w:tr>
        <w:trPr/>
        <w:tc>
          <w:tcPr>
            <w:tcW w:w="1741" w:type="dxa"/>
            <w:tcBorders/>
            <w:shd w:fill="auto" w:val="clear"/>
            <w:vAlign w:val="center"/>
          </w:tcPr>
          <w:p>
            <w:pPr>
              <w:pStyle w:val="TableContents"/>
              <w:spacing w:before="0" w:after="200"/>
              <w:ind w:left="0" w:right="0" w:hanging="0"/>
              <w:jc w:val="both"/>
              <w:rPr/>
            </w:pPr>
            <w:r>
              <w:rPr/>
              <w:t>​</w:t>
            </w:r>
          </w:p>
        </w:tc>
        <w:tc>
          <w:tcPr>
            <w:tcW w:w="4277" w:type="dxa"/>
            <w:gridSpan w:val="2"/>
            <w:tcBorders/>
            <w:shd w:fill="auto" w:val="clear"/>
            <w:vAlign w:val="center"/>
          </w:tcPr>
          <w:p>
            <w:pPr>
              <w:pStyle w:val="TableContents"/>
              <w:spacing w:before="0" w:after="200"/>
              <w:ind w:left="0" w:right="0" w:hanging="0"/>
              <w:jc w:val="both"/>
              <w:rPr/>
            </w:pPr>
            <w:r>
              <w:rPr/>
              <w:t>​</w:t>
            </w:r>
          </w:p>
        </w:tc>
      </w:tr>
      <w:tr>
        <w:trPr/>
        <w:tc>
          <w:tcPr>
            <w:tcW w:w="1741" w:type="dxa"/>
            <w:tcBorders/>
            <w:shd w:fill="auto" w:val="clear"/>
            <w:vAlign w:val="center"/>
          </w:tcPr>
          <w:p>
            <w:pPr>
              <w:pStyle w:val="TableContents"/>
              <w:spacing w:before="0" w:after="200"/>
              <w:ind w:left="0" w:right="0" w:hanging="0"/>
              <w:jc w:val="both"/>
              <w:rPr/>
            </w:pPr>
            <w:r>
              <w:rPr/>
              <w:t>​</w:t>
            </w:r>
          </w:p>
        </w:tc>
        <w:tc>
          <w:tcPr>
            <w:tcW w:w="4277" w:type="dxa"/>
            <w:gridSpan w:val="2"/>
            <w:tcBorders/>
            <w:shd w:fill="auto" w:val="clear"/>
            <w:vAlign w:val="center"/>
          </w:tcPr>
          <w:p>
            <w:pPr>
              <w:pStyle w:val="TableContents"/>
              <w:spacing w:before="0" w:after="200"/>
              <w:ind w:left="0" w:right="0" w:hanging="0"/>
              <w:jc w:val="both"/>
              <w:rPr/>
            </w:pPr>
            <w:r>
              <w:rPr/>
              <w:t>​</w:t>
            </w:r>
          </w:p>
        </w:tc>
      </w:tr>
      <w:tr>
        <w:trPr/>
        <w:tc>
          <w:tcPr>
            <w:tcW w:w="17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 May 10, 2023</w:t>
            </w:r>
          </w:p>
        </w:tc>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/s/Joseph C. Adams</w:t>
            </w:r>
          </w:p>
        </w:tc>
      </w:tr>
      <w:tr>
        <w:trPr/>
        <w:tc>
          <w:tcPr>
            <w:tcW w:w="1741" w:type="dxa"/>
            <w:tcBorders/>
            <w:shd w:fill="auto" w:val="clear"/>
            <w:vAlign w:val="center"/>
          </w:tcPr>
          <w:p>
            <w:pPr>
              <w:pStyle w:val="TableContents"/>
              <w:spacing w:before="0" w:after="200"/>
              <w:ind w:left="0" w:right="0" w:hanging="0"/>
              <w:jc w:val="both"/>
              <w:rPr/>
            </w:pPr>
            <w:r>
              <w:rPr/>
              <w:t>​</w:t>
            </w:r>
          </w:p>
        </w:tc>
        <w:tc>
          <w:tcPr>
            <w:tcW w:w="406" w:type="dxa"/>
            <w:tcBorders/>
            <w:shd w:fill="auto" w:val="clear"/>
            <w:vAlign w:val="center"/>
          </w:tcPr>
          <w:p>
            <w:pPr>
              <w:pStyle w:val="TableContents"/>
              <w:spacing w:before="0" w:after="200"/>
              <w:ind w:left="0" w:right="0" w:hanging="0"/>
              <w:jc w:val="both"/>
              <w:rPr/>
            </w:pPr>
            <w:r>
              <w:rPr/>
              <w:t>​</w:t>
            </w:r>
          </w:p>
        </w:tc>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Joseph C. Adams,</w:t>
            </w:r>
          </w:p>
        </w:tc>
      </w:tr>
      <w:tr>
        <w:trPr/>
        <w:tc>
          <w:tcPr>
            <w:tcW w:w="1741" w:type="dxa"/>
            <w:tcBorders/>
            <w:shd w:fill="auto" w:val="clear"/>
            <w:vAlign w:val="center"/>
          </w:tcPr>
          <w:p>
            <w:pPr>
              <w:pStyle w:val="TableContents"/>
              <w:spacing w:before="0" w:after="200"/>
              <w:ind w:left="0" w:right="0" w:hanging="0"/>
              <w:jc w:val="both"/>
              <w:rPr/>
            </w:pPr>
            <w:r>
              <w:rPr/>
              <w:t>​</w:t>
            </w:r>
          </w:p>
        </w:tc>
        <w:tc>
          <w:tcPr>
            <w:tcW w:w="406" w:type="dxa"/>
            <w:tcBorders/>
            <w:shd w:fill="auto" w:val="clear"/>
            <w:vAlign w:val="center"/>
          </w:tcPr>
          <w:p>
            <w:pPr>
              <w:pStyle w:val="TableContents"/>
              <w:spacing w:before="0" w:after="200"/>
              <w:ind w:left="0" w:right="0" w:hanging="0"/>
              <w:jc w:val="both"/>
              <w:rPr/>
            </w:pPr>
            <w:r>
              <w:rPr/>
              <w:t>​</w:t>
            </w:r>
          </w:p>
        </w:tc>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shd w:fill="auto" w:val="clear"/>
            <w:vAlign w:val="center"/>
          </w:tcPr>
          <w:p>
            <w:pPr>
              <w:pStyle w:val="TableContents"/>
              <w:spacing w:before="0" w:after="200"/>
              <w:ind w:left="0" w:right="0" w:hanging="0"/>
              <w:jc w:val="both"/>
              <w:rPr/>
            </w:pPr>
            <w:r>
              <w:rPr/>
              <w:t>​</w:t>
            </w:r>
          </w:p>
        </w:tc>
        <w:tc>
          <w:tcPr>
            <w:tcW w:w="406" w:type="dxa"/>
            <w:tcBorders/>
            <w:shd w:fill="auto" w:val="clear"/>
            <w:vAlign w:val="center"/>
          </w:tcPr>
          <w:p>
            <w:pPr>
              <w:pStyle w:val="TableContents"/>
              <w:spacing w:before="0" w:after="200"/>
              <w:ind w:left="0" w:right="0" w:hanging="0"/>
              <w:jc w:val="both"/>
              <w:rPr/>
            </w:pPr>
            <w:r>
              <w:rPr/>
              <w:t>​</w:t>
            </w:r>
          </w:p>
        </w:tc>
        <w:tc>
          <w:tcPr>
            <w:tcW w:w="387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(Principal Executive Officer)</w:t>
            </w:r>
          </w:p>
        </w:tc>
      </w:tr>
      <w:tr>
        <w:trPr/>
        <w:tc>
          <w:tcPr>
            <w:tcW w:w="1741" w:type="dxa"/>
            <w:tcBorders/>
            <w:shd w:fill="auto" w:val="clear"/>
            <w:vAlign w:val="center"/>
          </w:tcPr>
          <w:p>
            <w:pPr>
              <w:pStyle w:val="TableContents"/>
              <w:spacing w:before="0" w:after="200"/>
              <w:ind w:left="0" w:right="0" w:hanging="0"/>
              <w:jc w:val="both"/>
              <w:rPr/>
            </w:pPr>
            <w:r>
              <w:rPr/>
              <w:t>​</w:t>
            </w:r>
          </w:p>
        </w:tc>
        <w:tc>
          <w:tcPr>
            <w:tcW w:w="406" w:type="dxa"/>
            <w:tcBorders/>
            <w:shd w:fill="auto" w:val="clear"/>
            <w:vAlign w:val="center"/>
          </w:tcPr>
          <w:p>
            <w:pPr>
              <w:pStyle w:val="TableContents"/>
              <w:spacing w:before="0" w:after="200"/>
              <w:ind w:left="0" w:right="0" w:hanging="0"/>
              <w:jc w:val="both"/>
              <w:rPr/>
            </w:pPr>
            <w:r>
              <w:rPr/>
              <w:t>​</w:t>
            </w:r>
          </w:p>
        </w:tc>
        <w:tc>
          <w:tcPr>
            <w:tcW w:w="3871" w:type="dxa"/>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 May 10, 2023</w:t>
            </w:r>
          </w:p>
        </w:tc>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/s/Matthew D. Mullet</w:t>
            </w:r>
          </w:p>
        </w:tc>
      </w:tr>
      <w:tr>
        <w:trPr/>
        <w:tc>
          <w:tcPr>
            <w:tcW w:w="1741" w:type="dxa"/>
            <w:tcBorders/>
            <w:shd w:fill="auto" w:val="clear"/>
            <w:vAlign w:val="center"/>
          </w:tcPr>
          <w:p>
            <w:pPr>
              <w:pStyle w:val="TableContents"/>
              <w:spacing w:before="0" w:after="200"/>
              <w:ind w:left="0" w:right="0" w:hanging="0"/>
              <w:jc w:val="both"/>
              <w:rPr/>
            </w:pPr>
            <w:r>
              <w:rPr/>
              <w:t>​</w:t>
            </w:r>
          </w:p>
        </w:tc>
        <w:tc>
          <w:tcPr>
            <w:tcW w:w="406" w:type="dxa"/>
            <w:tcBorders/>
            <w:shd w:fill="auto" w:val="clear"/>
            <w:vAlign w:val="center"/>
          </w:tcPr>
          <w:p>
            <w:pPr>
              <w:pStyle w:val="TableContents"/>
              <w:spacing w:before="0" w:after="200"/>
              <w:ind w:left="0" w:right="0" w:hanging="0"/>
              <w:jc w:val="both"/>
              <w:rPr/>
            </w:pPr>
            <w:r>
              <w:rPr/>
              <w:t>​</w:t>
            </w:r>
          </w:p>
        </w:tc>
        <w:tc>
          <w:tcPr>
            <w:tcW w:w="38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Matthew D. Mullet</w:t>
            </w:r>
          </w:p>
        </w:tc>
      </w:tr>
      <w:tr>
        <w:trPr/>
        <w:tc>
          <w:tcPr>
            <w:tcW w:w="1741" w:type="dxa"/>
            <w:tcBorders/>
            <w:shd w:fill="auto" w:val="clear"/>
            <w:vAlign w:val="center"/>
          </w:tcPr>
          <w:p>
            <w:pPr>
              <w:pStyle w:val="TableContents"/>
              <w:spacing w:before="0" w:after="200"/>
              <w:ind w:left="0" w:right="0" w:hanging="0"/>
              <w:jc w:val="both"/>
              <w:rPr/>
            </w:pPr>
            <w:r>
              <w:rPr/>
              <w:t>​</w:t>
            </w:r>
          </w:p>
        </w:tc>
        <w:tc>
          <w:tcPr>
            <w:tcW w:w="406" w:type="dxa"/>
            <w:tcBorders/>
            <w:shd w:fill="auto" w:val="clear"/>
            <w:vAlign w:val="center"/>
          </w:tcPr>
          <w:p>
            <w:pPr>
              <w:pStyle w:val="TableContents"/>
              <w:spacing w:before="0" w:after="200"/>
              <w:ind w:left="0" w:right="0" w:hanging="0"/>
              <w:jc w:val="both"/>
              <w:rPr/>
            </w:pPr>
            <w:r>
              <w:rPr/>
              <w:t>​</w:t>
            </w:r>
          </w:p>
        </w:tc>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Secretary, Treasurer and</w:t>
            </w:r>
          </w:p>
        </w:tc>
      </w:tr>
      <w:tr>
        <w:trPr/>
        <w:tc>
          <w:tcPr>
            <w:tcW w:w="1741" w:type="dxa"/>
            <w:tcBorders/>
            <w:shd w:fill="auto" w:val="clear"/>
            <w:vAlign w:val="center"/>
          </w:tcPr>
          <w:p>
            <w:pPr>
              <w:pStyle w:val="TableContents"/>
              <w:spacing w:before="0" w:after="200"/>
              <w:ind w:left="0" w:right="0" w:hanging="0"/>
              <w:jc w:val="both"/>
              <w:rPr/>
            </w:pPr>
            <w:r>
              <w:rPr/>
              <w:t>​</w:t>
            </w:r>
          </w:p>
        </w:tc>
        <w:tc>
          <w:tcPr>
            <w:tcW w:w="406" w:type="dxa"/>
            <w:tcBorders/>
            <w:shd w:fill="auto" w:val="clear"/>
            <w:vAlign w:val="center"/>
          </w:tcPr>
          <w:p>
            <w:pPr>
              <w:pStyle w:val="TableContents"/>
              <w:spacing w:before="0" w:after="200"/>
              <w:ind w:left="0" w:right="0" w:hanging="0"/>
              <w:jc w:val="both"/>
              <w:rPr/>
            </w:pPr>
            <w:r>
              <w:rPr/>
              <w:t>​</w:t>
            </w:r>
          </w:p>
        </w:tc>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shd w:fill="auto" w:val="clear"/>
            <w:vAlign w:val="center"/>
          </w:tcPr>
          <w:p>
            <w:pPr>
              <w:pStyle w:val="TableContents"/>
              <w:spacing w:before="0" w:after="200"/>
              <w:ind w:left="0" w:right="0" w:hanging="0"/>
              <w:jc w:val="both"/>
              <w:rPr/>
            </w:pPr>
            <w:r>
              <w:rPr/>
              <w:t>​</w:t>
            </w:r>
          </w:p>
        </w:tc>
        <w:tc>
          <w:tcPr>
            <w:tcW w:w="406" w:type="dxa"/>
            <w:tcBorders/>
            <w:shd w:fill="auto" w:val="clear"/>
            <w:vAlign w:val="center"/>
          </w:tcPr>
          <w:p>
            <w:pPr>
              <w:pStyle w:val="TableContents"/>
              <w:spacing w:before="0" w:after="200"/>
              <w:ind w:left="0" w:right="0" w:hanging="0"/>
              <w:jc w:val="both"/>
              <w:rPr/>
            </w:pPr>
            <w:r>
              <w:rPr/>
              <w:t>​</w:t>
            </w:r>
          </w:p>
        </w:tc>
        <w:tc>
          <w:tcPr>
            <w:tcW w:w="387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r>
        <w:br w:type="page"/>
      </w:r>
    </w:p>
    <w:p>
      <w:pPr>
        <w:pStyle w:val="TextBody"/>
        <w:spacing w:before="0" w:after="0"/>
        <w:ind w:left="0" w:right="0" w:hanging="0"/>
        <w:jc w:val="right"/>
        <w:rPr>
          <w:rFonts w:ascii="Times New Roman;Times;serif" w:hAnsi="Times New Roman;Times;serif"/>
          <w:b/>
          <w:sz w:val="20"/>
        </w:rPr>
      </w:pPr>
      <w:bookmarkStart w:id="3559" w:name="fsbw-20230331xex31d1.htm"/>
      <w:bookmarkStart w:id="3560" w:name="ksfsbw20230331xex31d1"/>
      <w:bookmarkEnd w:id="3559"/>
      <w:bookmarkEnd w:id="3560"/>
      <w:r>
        <w:rPr>
          <w:rFonts w:ascii="Times New Roman;Times;serif" w:hAnsi="Times New Roman;Times;serif"/>
          <w:b/>
          <w:sz w:val="20"/>
        </w:rPr>
        <w:t>EXHIBIT 31.1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Section 302 of the Sarbanes-Oxley Act of 2002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Joseph C. Adams, certify that:</w:t>
      </w:r>
    </w:p>
    <w:p>
      <w:pPr>
        <w:pStyle w:val="TextBody"/>
        <w:spacing w:before="0" w:after="0"/>
        <w:ind w:left="0" w:right="0" w:hanging="0"/>
        <w:jc w:val="both"/>
        <w:rPr/>
      </w:pPr>
      <w:r>
        <w:rPr/>
        <w:t>​</w:t>
      </w:r>
    </w:p>
    <w:tbl>
      <w:tblPr>
        <w:tblW w:w="6040" w:type="dxa"/>
        <w:jc w:val="left"/>
        <w:tblInd w:w="0" w:type="dxa"/>
        <w:tblCellMar>
          <w:top w:w="0" w:type="dxa"/>
          <w:left w:w="0" w:type="dxa"/>
          <w:bottom w:w="0" w:type="dxa"/>
          <w:right w:w="0" w:type="dxa"/>
        </w:tblCellMar>
      </w:tblPr>
      <w:tblGrid>
        <w:gridCol w:w="170"/>
        <w:gridCol w:w="5870"/>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8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FS Bancorp, Inc.;</w:t>
            </w:r>
          </w:p>
        </w:tc>
      </w:tr>
    </w:tbl>
    <w:p>
      <w:pPr>
        <w:pStyle w:val="TextBody"/>
        <w:pBdr/>
        <w:spacing w:before="0" w:after="0"/>
        <w:ind w:left="0" w:right="0" w:hanging="720"/>
        <w:jc w:val="both"/>
        <w:rPr/>
      </w:pPr>
      <w:r>
        <w:rPr/>
        <w:t>​</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spacing w:before="0" w:after="0"/>
        <w:ind w:left="0" w:right="0" w:hanging="720"/>
        <w:jc w:val="both"/>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spacing w:before="0" w:after="0"/>
        <w:ind w:left="0" w:right="0" w:hanging="720"/>
        <w:jc w:val="both"/>
        <w:rPr/>
      </w:pPr>
      <w:r>
        <w:rPr/>
        <w:t>​</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before="0" w:after="0"/>
        <w:ind w:left="1440" w:right="0" w:hanging="720"/>
        <w:jc w:val="both"/>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spacing w:before="0" w:after="0"/>
        <w:ind w:left="1440" w:right="0" w:hanging="720"/>
        <w:jc w:val="both"/>
        <w:rPr/>
      </w:pPr>
      <w:r>
        <w:rPr/>
        <w:t>​</w:t>
      </w:r>
    </w:p>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before="0" w:after="0"/>
        <w:ind w:left="1440" w:right="0" w:hanging="720"/>
        <w:jc w:val="both"/>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spacing w:before="0" w:after="0"/>
        <w:ind w:left="1440" w:right="0" w:hanging="720"/>
        <w:jc w:val="both"/>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3982" w:type="dxa"/>
        <w:jc w:val="center"/>
        <w:tblInd w:w="0" w:type="dxa"/>
        <w:tblCellMar>
          <w:top w:w="0" w:type="dxa"/>
          <w:left w:w="0" w:type="dxa"/>
          <w:bottom w:w="0" w:type="dxa"/>
          <w:right w:w="0" w:type="dxa"/>
        </w:tblCellMar>
      </w:tblPr>
      <w:tblGrid>
        <w:gridCol w:w="556"/>
        <w:gridCol w:w="1246"/>
        <w:gridCol w:w="109"/>
        <w:gridCol w:w="2071"/>
      </w:tblGrid>
      <w:tr>
        <w:trPr/>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353060" cy="175260"/>
                      <wp:effectExtent l="0" t="0" r="0" b="0"/>
                      <wp:wrapNone/>
                      <wp:docPr id="823" name="Frame823"/>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791210" cy="175260"/>
                      <wp:effectExtent l="0" t="0" r="0" b="0"/>
                      <wp:wrapNone/>
                      <wp:docPr id="824" name="Frame824"/>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69215" cy="175260"/>
                      <wp:effectExtent l="0" t="0" r="0" b="0"/>
                      <wp:wrapNone/>
                      <wp:docPr id="825" name="Frame82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1315720" cy="175260"/>
                      <wp:effectExtent l="0" t="0" r="0" b="0"/>
                      <wp:wrapNone/>
                      <wp:docPr id="826" name="Frame826"/>
                      <a:graphic xmlns:a="http://schemas.openxmlformats.org/drawingml/2006/main">
                        <a:graphicData uri="http://schemas.microsoft.com/office/word/2010/wordprocessingShape">
                          <wps:wsp>
                            <wps:cNvSpPr txBox="1"/>
                            <wps:spPr>
                              <a:xfrm>
                                <a:off x="0" y="0"/>
                                <a:ext cx="1315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2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May 10, 2023</w:t>
            </w:r>
          </w:p>
        </w:tc>
        <w:tc>
          <w:tcPr>
            <w:tcW w:w="109" w:type="dxa"/>
            <w:tcBorders/>
            <w:shd w:fill="auto" w:val="clear"/>
            <w:vAlign w:val="center"/>
          </w:tcPr>
          <w:p>
            <w:pPr>
              <w:pStyle w:val="TableContents"/>
              <w:spacing w:before="0" w:after="0"/>
              <w:ind w:left="0" w:right="0" w:hanging="0"/>
              <w:rPr/>
            </w:pPr>
            <w:r>
              <w:rPr/>
              <w:t>​</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/s/Joseph C. Adams</w:t>
            </w:r>
          </w:p>
        </w:tc>
      </w:tr>
      <w:tr>
        <w:trPr/>
        <w:tc>
          <w:tcPr>
            <w:tcW w:w="55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Joseph C. Adams</w:t>
            </w:r>
          </w:p>
        </w:tc>
      </w:tr>
      <w:tr>
        <w:trPr/>
        <w:tc>
          <w:tcPr>
            <w:tcW w:w="55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3561" w:name="fsbw-20230331xex31d2.htm"/>
      <w:bookmarkStart w:id="3562" w:name="ksfsbw20230331xex31d2"/>
      <w:bookmarkEnd w:id="3561"/>
      <w:bookmarkEnd w:id="3562"/>
      <w:r>
        <w:rPr>
          <w:rFonts w:ascii="Times New Roman;Times;serif" w:hAnsi="Times New Roman;Times;serif"/>
          <w:b/>
          <w:sz w:val="20"/>
        </w:rPr>
        <w:t>EXHIBIT 31.2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Section 302 of the Sarbanes-Oxley Act of 2002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Matthew D. Mullet, certify that:</w:t>
      </w:r>
    </w:p>
    <w:p>
      <w:pPr>
        <w:pStyle w:val="TextBody"/>
        <w:spacing w:before="0" w:after="0"/>
        <w:ind w:left="0" w:right="0" w:hanging="0"/>
        <w:rPr/>
      </w:pPr>
      <w:r>
        <w:rPr/>
        <w:t>​</w:t>
      </w:r>
    </w:p>
    <w:tbl>
      <w:tblPr>
        <w:tblW w:w="6040" w:type="dxa"/>
        <w:jc w:val="left"/>
        <w:tblInd w:w="0" w:type="dxa"/>
        <w:tblCellMar>
          <w:top w:w="0" w:type="dxa"/>
          <w:left w:w="0" w:type="dxa"/>
          <w:bottom w:w="0" w:type="dxa"/>
          <w:right w:w="0" w:type="dxa"/>
        </w:tblCellMar>
      </w:tblPr>
      <w:tblGrid>
        <w:gridCol w:w="170"/>
        <w:gridCol w:w="5870"/>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8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FS Bancorp, Inc.;</w:t>
            </w:r>
          </w:p>
        </w:tc>
      </w:tr>
    </w:tbl>
    <w:p>
      <w:pPr>
        <w:pStyle w:val="TextBody"/>
        <w:pBdr/>
        <w:spacing w:before="0" w:after="0"/>
        <w:ind w:left="0" w:right="0" w:hanging="720"/>
        <w:jc w:val="both"/>
        <w:rPr/>
      </w:pPr>
      <w:r>
        <w:rPr/>
        <w:t>​</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spacing w:before="0" w:after="0"/>
        <w:ind w:left="0" w:right="0" w:hanging="720"/>
        <w:jc w:val="both"/>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spacing w:before="0" w:after="0"/>
        <w:ind w:left="0" w:right="0" w:hanging="720"/>
        <w:jc w:val="both"/>
        <w:rPr/>
      </w:pPr>
      <w:r>
        <w:rPr/>
        <w:t>​</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before="0" w:after="0"/>
        <w:ind w:left="1440" w:right="0" w:hanging="720"/>
        <w:jc w:val="both"/>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spacing w:before="0" w:after="0"/>
        <w:ind w:left="1440" w:right="0" w:hanging="720"/>
        <w:jc w:val="both"/>
        <w:rPr/>
      </w:pPr>
      <w:r>
        <w:rPr/>
        <w:t>​</w:t>
      </w:r>
    </w:p>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before="0" w:after="0"/>
        <w:ind w:left="1440" w:right="0" w:hanging="720"/>
        <w:jc w:val="both"/>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spacing w:before="0" w:after="0"/>
        <w:ind w:left="1440" w:right="0" w:hanging="720"/>
        <w:jc w:val="both"/>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spacing w:before="0" w:after="0"/>
        <w:ind w:left="1440" w:right="0" w:hanging="720"/>
        <w:jc w:val="both"/>
        <w:rPr/>
      </w:pPr>
      <w:r>
        <w:rPr/>
        <w:t>​</w:t>
      </w:r>
    </w:p>
    <w:tbl>
      <w:tblPr>
        <w:tblW w:w="3922" w:type="dxa"/>
        <w:jc w:val="center"/>
        <w:tblInd w:w="0" w:type="dxa"/>
        <w:tblCellMar>
          <w:top w:w="0" w:type="dxa"/>
          <w:left w:w="0" w:type="dxa"/>
          <w:bottom w:w="0" w:type="dxa"/>
          <w:right w:w="0" w:type="dxa"/>
        </w:tblCellMar>
      </w:tblPr>
      <w:tblGrid>
        <w:gridCol w:w="556"/>
        <w:gridCol w:w="1246"/>
        <w:gridCol w:w="109"/>
        <w:gridCol w:w="2011"/>
      </w:tblGrid>
      <w:tr>
        <w:trPr/>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353060" cy="175260"/>
                      <wp:effectExtent l="0" t="0" r="0" b="0"/>
                      <wp:wrapNone/>
                      <wp:docPr id="827" name="Frame827"/>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791210" cy="175260"/>
                      <wp:effectExtent l="0" t="0" r="0" b="0"/>
                      <wp:wrapNone/>
                      <wp:docPr id="828" name="Frame828"/>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69215" cy="175260"/>
                      <wp:effectExtent l="0" t="0" r="0" b="0"/>
                      <wp:wrapNone/>
                      <wp:docPr id="829" name="Frame8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1277620" cy="175260"/>
                      <wp:effectExtent l="0" t="0" r="0" b="0"/>
                      <wp:wrapNone/>
                      <wp:docPr id="830" name="Frame830"/>
                      <a:graphic xmlns:a="http://schemas.openxmlformats.org/drawingml/2006/main">
                        <a:graphicData uri="http://schemas.microsoft.com/office/word/2010/wordprocessingShape">
                          <wps:wsp>
                            <wps:cNvSpPr txBox="1"/>
                            <wps:spPr>
                              <a:xfrm>
                                <a:off x="0" y="0"/>
                                <a:ext cx="1277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2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May 10, 2023</w:t>
            </w:r>
          </w:p>
        </w:tc>
        <w:tc>
          <w:tcPr>
            <w:tcW w:w="109" w:type="dxa"/>
            <w:tcBorders/>
            <w:shd w:fill="auto" w:val="clear"/>
            <w:vAlign w:val="center"/>
          </w:tcPr>
          <w:p>
            <w:pPr>
              <w:pStyle w:val="TableContents"/>
              <w:spacing w:before="0" w:after="0"/>
              <w:ind w:left="0" w:right="0" w:hanging="0"/>
              <w:rPr/>
            </w:pPr>
            <w:r>
              <w:rPr/>
              <w:t>​</w:t>
            </w:r>
          </w:p>
        </w:tc>
        <w:tc>
          <w:tcPr>
            <w:tcW w:w="20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/s/Matthew D. Mullet</w:t>
            </w:r>
          </w:p>
        </w:tc>
      </w:tr>
      <w:tr>
        <w:trPr/>
        <w:tc>
          <w:tcPr>
            <w:tcW w:w="55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Matthew D. Mullet</w:t>
            </w:r>
          </w:p>
        </w:tc>
      </w:tr>
      <w:tr>
        <w:trPr/>
        <w:tc>
          <w:tcPr>
            <w:tcW w:w="55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3563" w:name="fsbw-20230331xex32d1.htm"/>
      <w:bookmarkStart w:id="3564" w:name="ksfsbw20230331xex32d1"/>
      <w:bookmarkEnd w:id="3563"/>
      <w:bookmarkEnd w:id="3564"/>
      <w:r>
        <w:rPr>
          <w:rFonts w:ascii="Times New Roman;Times;serif" w:hAnsi="Times New Roman;Times;serif"/>
          <w:b/>
          <w:sz w:val="20"/>
        </w:rPr>
        <w:t>EXHIBIT 32.1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Section 906 of the Sarbanes-Oxley Act of 2002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accompanying Quarterly Report on Form 10-Q of FS Bancorp, Inc. (the “Company”) for the quarter ended March 31, 2023 (the “Report”), I, Joseph C. Adams, in my capacity as Chief Executive Officer of the Company, hereby certify pursuant to 18 U.S.C. Section 1350, as adopted pursuant to Section 906 of the Sarbanes-Oxley Act of 2002, that:</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5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spacing w:before="0" w:after="0"/>
        <w:ind w:left="0" w:right="0" w:hanging="0"/>
        <w:jc w:val="center"/>
        <w:rPr/>
      </w:pPr>
      <w:r>
        <w:rPr/>
        <w:t>​</w:t>
      </w:r>
    </w:p>
    <w:tbl>
      <w:tblPr>
        <w:tblW w:w="3982" w:type="dxa"/>
        <w:jc w:val="center"/>
        <w:tblInd w:w="0" w:type="dxa"/>
        <w:tblCellMar>
          <w:top w:w="0" w:type="dxa"/>
          <w:left w:w="0" w:type="dxa"/>
          <w:bottom w:w="0" w:type="dxa"/>
          <w:right w:w="0" w:type="dxa"/>
        </w:tblCellMar>
      </w:tblPr>
      <w:tblGrid>
        <w:gridCol w:w="556"/>
        <w:gridCol w:w="1246"/>
        <w:gridCol w:w="109"/>
        <w:gridCol w:w="2071"/>
      </w:tblGrid>
      <w:tr>
        <w:trPr/>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353060" cy="175260"/>
                      <wp:effectExtent l="0" t="0" r="0" b="0"/>
                      <wp:wrapNone/>
                      <wp:docPr id="831" name="Frame831"/>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791210" cy="175260"/>
                      <wp:effectExtent l="0" t="0" r="0" b="0"/>
                      <wp:wrapNone/>
                      <wp:docPr id="832" name="Frame832"/>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69215" cy="175260"/>
                      <wp:effectExtent l="0" t="0" r="0" b="0"/>
                      <wp:wrapNone/>
                      <wp:docPr id="833" name="Frame8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1315720" cy="175260"/>
                      <wp:effectExtent l="0" t="0" r="0" b="0"/>
                      <wp:wrapNone/>
                      <wp:docPr id="834" name="Frame834"/>
                      <a:graphic xmlns:a="http://schemas.openxmlformats.org/drawingml/2006/main">
                        <a:graphicData uri="http://schemas.microsoft.com/office/word/2010/wordprocessingShape">
                          <wps:wsp>
                            <wps:cNvSpPr txBox="1"/>
                            <wps:spPr>
                              <a:xfrm>
                                <a:off x="0" y="0"/>
                                <a:ext cx="1315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10, 2023</w:t>
            </w:r>
          </w:p>
        </w:tc>
        <w:tc>
          <w:tcPr>
            <w:tcW w:w="109" w:type="dxa"/>
            <w:tcBorders/>
            <w:shd w:fill="auto" w:val="clear"/>
            <w:vAlign w:val="center"/>
          </w:tcPr>
          <w:p>
            <w:pPr>
              <w:pStyle w:val="TableContents"/>
              <w:spacing w:before="0" w:after="0"/>
              <w:ind w:left="0" w:right="0" w:hanging="0"/>
              <w:rPr/>
            </w:pPr>
            <w:r>
              <w:rPr/>
              <w:t>​</w:t>
            </w:r>
          </w:p>
        </w:tc>
        <w:tc>
          <w:tcPr>
            <w:tcW w:w="20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/s/Joseph C. Adams</w:t>
            </w:r>
          </w:p>
        </w:tc>
      </w:tr>
      <w:tr>
        <w:trPr/>
        <w:tc>
          <w:tcPr>
            <w:tcW w:w="55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Joseph C. Adams</w:t>
            </w:r>
          </w:p>
        </w:tc>
      </w:tr>
      <w:tr>
        <w:trPr/>
        <w:tc>
          <w:tcPr>
            <w:tcW w:w="55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3565" w:name="fsbw-20230331xex32d2.htm"/>
      <w:bookmarkStart w:id="3566" w:name="ksfsbw20230331xex32d2"/>
      <w:bookmarkEnd w:id="3565"/>
      <w:bookmarkEnd w:id="3566"/>
      <w:r>
        <w:rPr>
          <w:rFonts w:ascii="Times New Roman;Times;serif" w:hAnsi="Times New Roman;Times;serif"/>
          <w:b/>
          <w:sz w:val="20"/>
        </w:rPr>
        <w:t>EXHIBIT 32.2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Section 906 of the Sarbanes-Oxley Act of 2002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accompanying Quarterly Report on Form 10-Q of FS Bancorp, Inc. (the “Company”) for the quarter ended March 31, 2023 (the “Report”), I, Matthew D. Mullet, in my capacity as Chief Financial Officer of the Company, hereby certify pursuant to 18 U.S.C. Section 1350, as adopted pursuant to Section 906 of the Sarbanes-Oxley Act of 2002, that:</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5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spacing w:before="0" w:after="0"/>
        <w:ind w:left="0" w:right="0" w:hanging="0"/>
        <w:jc w:val="both"/>
        <w:rPr/>
      </w:pPr>
      <w:r>
        <w:rPr/>
        <w:t>​</w:t>
      </w:r>
    </w:p>
    <w:tbl>
      <w:tblPr>
        <w:tblW w:w="3922" w:type="dxa"/>
        <w:jc w:val="center"/>
        <w:tblInd w:w="0" w:type="dxa"/>
        <w:tblCellMar>
          <w:top w:w="0" w:type="dxa"/>
          <w:left w:w="0" w:type="dxa"/>
          <w:bottom w:w="0" w:type="dxa"/>
          <w:right w:w="0" w:type="dxa"/>
        </w:tblCellMar>
      </w:tblPr>
      <w:tblGrid>
        <w:gridCol w:w="556"/>
        <w:gridCol w:w="1246"/>
        <w:gridCol w:w="109"/>
        <w:gridCol w:w="2011"/>
      </w:tblGrid>
      <w:tr>
        <w:trPr/>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353060" cy="175260"/>
                      <wp:effectExtent l="0" t="0" r="0" b="0"/>
                      <wp:wrapNone/>
                      <wp:docPr id="835" name="Frame835"/>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791210" cy="175260"/>
                      <wp:effectExtent l="0" t="0" r="0" b="0"/>
                      <wp:wrapNone/>
                      <wp:docPr id="836" name="Frame836"/>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69215" cy="175260"/>
                      <wp:effectExtent l="0" t="0" r="0" b="0"/>
                      <wp:wrapNone/>
                      <wp:docPr id="837" name="Frame8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1277620" cy="175260"/>
                      <wp:effectExtent l="0" t="0" r="0" b="0"/>
                      <wp:wrapNone/>
                      <wp:docPr id="838" name="Frame838"/>
                      <a:graphic xmlns:a="http://schemas.openxmlformats.org/drawingml/2006/main">
                        <a:graphicData uri="http://schemas.microsoft.com/office/word/2010/wordprocessingShape">
                          <wps:wsp>
                            <wps:cNvSpPr txBox="1"/>
                            <wps:spPr>
                              <a:xfrm>
                                <a:off x="0" y="0"/>
                                <a:ext cx="1277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2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May 10, 2023</w:t>
            </w:r>
          </w:p>
        </w:tc>
        <w:tc>
          <w:tcPr>
            <w:tcW w:w="109" w:type="dxa"/>
            <w:tcBorders/>
            <w:shd w:fill="auto" w:val="clear"/>
            <w:vAlign w:val="center"/>
          </w:tcPr>
          <w:p>
            <w:pPr>
              <w:pStyle w:val="TableContents"/>
              <w:spacing w:before="0" w:after="0"/>
              <w:ind w:left="0" w:right="0" w:hanging="0"/>
              <w:rPr/>
            </w:pPr>
            <w:r>
              <w:rPr/>
              <w:t>​</w:t>
            </w:r>
          </w:p>
        </w:tc>
        <w:tc>
          <w:tcPr>
            <w:tcW w:w="20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/s/Matthew D. Mullet</w:t>
            </w:r>
          </w:p>
        </w:tc>
      </w:tr>
      <w:tr>
        <w:trPr/>
        <w:tc>
          <w:tcPr>
            <w:tcW w:w="55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Matthew D. Mullet</w:t>
            </w:r>
          </w:p>
        </w:tc>
      </w:tr>
      <w:tr>
        <w:trPr/>
        <w:tc>
          <w:tcPr>
            <w:tcW w:w="55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inherit">
    <w:charset w:val="00"/>
    <w:family w:val="auto"/>
    <w:pitch w:val="default"/>
  </w:font>
  <w:font w:name="Calibri">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30249/000118811211002766/ex3-1.htm" TargetMode="External"/><Relationship Id="rId3" Type="http://schemas.openxmlformats.org/officeDocument/2006/relationships/hyperlink" Target="http://www.sec.gov/Archives/edgar/data/1530249/000093905713000269/ex328k7913.htm" TargetMode="External"/><Relationship Id="rId4" Type="http://schemas.openxmlformats.org/officeDocument/2006/relationships/hyperlink" Target="http://www.sec.gov/Archives/edgar/data/1530249/000118811211002766/ex4-0.htm" TargetMode="External"/><Relationship Id="rId5" Type="http://schemas.openxmlformats.org/officeDocument/2006/relationships/hyperlink" Target="https://www.sec.gov/Archives/edgar/data/1530249/000093905721000056/fsbanc8k21021exh41.htm" TargetMode="External"/><Relationship Id="rId6" Type="http://schemas.openxmlformats.org/officeDocument/2006/relationships/hyperlink" Target="https://www.sec.gov/Archives/edgar/data/1530249/000093905721000056/fsbanc8k21021exh41.htm" TargetMode="External"/><Relationship Id="rId7" Type="http://schemas.openxmlformats.org/officeDocument/2006/relationships/hyperlink" Target="http://www.sec.gov/Archives/edgar/data/1530249/000118811211002766/ex10-1.htm" TargetMode="External"/><Relationship Id="rId8" Type="http://schemas.openxmlformats.org/officeDocument/2006/relationships/hyperlink" Target="http://www.sec.gov/Archives/edgar/data/1530249/000118811211002766/ex10-2.htm" TargetMode="External"/><Relationship Id="rId9" Type="http://schemas.openxmlformats.org/officeDocument/2006/relationships/hyperlink" Target="http://www.sec.gov/Archives/edgar/data/1530249/000093905713000311/fsbancproxy2013.htm" TargetMode="External"/><Relationship Id="rId10" Type="http://schemas.openxmlformats.org/officeDocument/2006/relationships/hyperlink" Target="http://www.sec.gov/Archives/edgar/data/1530249/000093905713000550/ex102s82013fsbancorp.htm" TargetMode="External"/><Relationship Id="rId11" Type="http://schemas.openxmlformats.org/officeDocument/2006/relationships/hyperlink" Target="http://www.sec.gov/Archives/edgar/data/1530249/000093905713000550/ex103s82013fsbancorp.htm" TargetMode="External"/><Relationship Id="rId12" Type="http://schemas.openxmlformats.org/officeDocument/2006/relationships/hyperlink" Target="http://www.sec.gov/Archives/edgar/data/1530249/000093905713000550/ex104s82013fsbancorp.htm" TargetMode="External"/><Relationship Id="rId13" Type="http://schemas.openxmlformats.org/officeDocument/2006/relationships/hyperlink" Target="http://www.sec.gov/Archives/edgar/data/1530249/000093905716000633/exhibit1012116.htm" TargetMode="External"/><Relationship Id="rId14" Type="http://schemas.openxmlformats.org/officeDocument/2006/relationships/hyperlink" Target="http://www.sec.gov/Archives/edgar/data/1530249/000155837018009146/fsbw-20180930ex10108016b.htm" TargetMode="External"/><Relationship Id="rId15" Type="http://schemas.openxmlformats.org/officeDocument/2006/relationships/hyperlink" Target="http://www.sec.gov/Archives/edgar/data/1530249/000093905718000306/fsbancs8518exh102.htm" TargetMode="External"/><Relationship Id="rId16" Type="http://schemas.openxmlformats.org/officeDocument/2006/relationships/hyperlink" Target="http://www.sec.gov/Archives/edgar/data/1530249/000093905718000306/fsbancs8518exh103.htm" TargetMode="External"/><Relationship Id="rId17" Type="http://schemas.openxmlformats.org/officeDocument/2006/relationships/hyperlink" Target="http://www.sec.gov/Archives/edgar/data/1530249/000093905718000306/fsbancs8518exh104.htm" TargetMode="External"/><Relationship Id="rId18" Type="http://schemas.openxmlformats.org/officeDocument/2006/relationships/hyperlink" Target="https://www.sec.gov/Archives/edgar/data/0001530249/000093905722000175/0000939057-22-000175-index.html" TargetMode="External"/><Relationship Id="rId19" Type="http://schemas.openxmlformats.org/officeDocument/2006/relationships/hyperlink" Target="https://www.sec.gov/Archives/edgar/data/0001530249/000093905722000175/0000939057-22-000175-index.html" TargetMode="External"/><Relationship Id="rId20" Type="http://schemas.openxmlformats.org/officeDocument/2006/relationships/hyperlink" Target="https://www.sec.gov/Archives/edgar/data/0001530249/000093905722000175/0000939057-22-000175-index.html" TargetMode="External"/><Relationship Id="rId21" Type="http://schemas.openxmlformats.org/officeDocument/2006/relationships/hyperlink" Target="https://www.sec.gov/Archives/edgar/data/0001530249/000093905722000175/ex102s8622.htm" TargetMode="External"/><Relationship Id="rId22" Type="http://schemas.openxmlformats.org/officeDocument/2006/relationships/hyperlink" Target="https://www.sec.gov/Archives/edgar/data/0001530249/000093905722000175/ex102s8622.htm" TargetMode="External"/><Relationship Id="rId23" Type="http://schemas.openxmlformats.org/officeDocument/2006/relationships/hyperlink" Target="https://www.sec.gov/Archives/edgar/data/0001530249/000093905722000175/ex102s8622.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34143</Words>
  <CharactersWithSpaces>228366</CharactersWithSpaces>
  <Paragraphs>15133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